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Flexible Hours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DOC003 | Version 1.6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Human Resources and IT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2026-02-01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document.read_public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Project_Manager, Finance_Manager, Sales_Manager, Security_Officer,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Standard remote-work allowance</w:t>
      </w:r>
    </w:p>
    <w:p>
      <w:pPr>
        <w:keepLines w:val="0"/>
      </w:pPr>
      <w:r>
        <w:t>Employees in eligible roles may work remotely for a maximum of two days per week with manager approval.</w:t>
      </w:r>
    </w:p>
    <w:p>
      <w:pPr>
        <w:keepLines w:val="0"/>
      </w:pPr>
      <w:r>
        <w:t>The arrangement must preserve customer coverage, project commitments, security controls, and any location-specific employment requirements.</w:t>
      </w:r>
    </w:p>
    <w:p>
      <w:pPr>
        <w:pStyle w:val="ListBullet"/>
      </w:pPr>
      <w:r>
        <w:t>Additional remote days require a documented manager exception.</w:t>
      </w:r>
    </w:p>
    <w:p>
      <w:pPr>
        <w:pStyle w:val="ListBullet"/>
      </w:pPr>
      <w:r>
        <w:t>Remote work is not an automatic entitlement for roles that require on-site activity.</w:t>
      </w:r>
    </w:p>
    <w:p>
      <w:pPr>
        <w:pStyle w:val="ListBullet"/>
      </w:pPr>
      <w:r>
        <w:t>The manager may pause an arrangement when delivery, security, or attendance concerns are documented.</w:t>
      </w:r>
    </w:p>
    <w:p>
      <w:pPr>
        <w:pStyle w:val="Heading1"/>
      </w:pPr>
      <w:r>
        <w:t>2. Security requirements</w:t>
      </w:r>
    </w:p>
    <w:p>
      <w:pPr>
        <w:keepLines w:val="0"/>
      </w:pPr>
      <w:r>
        <w:t>Remote access must use approved devices, encrypted connections, multi-factor authentication, and company-managed storage.</w:t>
      </w:r>
    </w:p>
    <w:p>
      <w:pPr>
        <w:keepLines w:val="0"/>
      </w:pPr>
      <w:r>
        <w:t>Restricted data should not be displayed in public spaces or accessed from shared household devices.</w:t>
      </w:r>
    </w:p>
    <w:p>
      <w:pPr>
        <w:pStyle w:val="ListBullet"/>
      </w:pPr>
      <w:r>
        <w:t>Report lost devices immediately.</w:t>
      </w:r>
    </w:p>
    <w:p>
      <w:pPr>
        <w:pStyle w:val="ListBullet"/>
      </w:pPr>
      <w:r>
        <w:t>Do not forward company documents to personal email.</w:t>
      </w:r>
    </w:p>
    <w:p>
      <w:pPr>
        <w:pStyle w:val="ListBullet"/>
      </w:pPr>
      <w:r>
        <w:t>Use the company VPN when the access standard requires it.</w:t>
      </w:r>
    </w:p>
    <w:p>
      <w:pPr>
        <w:pStyle w:val="ListBullet"/>
      </w:pPr>
      <w:r>
        <w:t>Do not upload enterprise files to unapproved AI or file-sharing services.</w:t>
      </w:r>
    </w:p>
    <w:p>
      <w:pPr>
        <w:pStyle w:val="Heading1"/>
      </w:pPr>
      <w:r>
        <w:t>3. Flexible hours</w:t>
      </w:r>
    </w:p>
    <w:p>
      <w:pPr>
        <w:keepLines w:val="0"/>
      </w:pPr>
      <w:r>
        <w:t>Teams may use flexible start and finish times when core collaboration hours and service coverage are maintained.</w:t>
      </w:r>
    </w:p>
    <w:p>
      <w:pPr>
        <w:keepLines w:val="0"/>
      </w:pPr>
      <w:r>
        <w:t>Flexible hours do not change the employee's contracted workload or approval requirements for overtime.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DOC003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and Flexible Hours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