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Salary and Compensation Access Policy</w:t>
      </w:r>
    </w:p>
    <w:p>
      <w:pPr>
        <w:jc w:val="left"/>
      </w:pPr>
      <w:r>
        <w:rPr>
          <w:rFonts w:ascii="Arial" w:hAnsi="Arial"/>
          <w:b/>
          <w:color w:val="455565"/>
          <w:sz w:val="19"/>
        </w:rPr>
        <w:t>DOC004 | Version 2.0 | Restricted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Document owner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Human Resources and Finance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Effective date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2026-01-15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Classification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Restricted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Required permission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employee.salary.read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Allowed roles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Admin, Executive, HR_Manager, Finance_Manager, Auditor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Status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Approved demo policy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Source type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Synthetic enterprise knowledge document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Snapshot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2026-08-28</w:t>
            </w:r>
          </w:p>
        </w:tc>
      </w:tr>
    </w:tbl>
    <w:p>
      <w:pPr>
        <w:pStyle w:val="PolicyCallout"/>
      </w:pPr>
      <w:r>
        <w:t>This is a fictional, internally consistent document generated for the Secure Multi-Agent Enterprise Assistant dataset. It is not legal, HR, financial, or security advice for a real organization.</w:t>
      </w:r>
    </w:p>
    <w:p>
      <w:pPr>
        <w:pStyle w:val="Heading1"/>
      </w:pPr>
      <w:r>
        <w:t>1. Restricted data definition</w:t>
      </w:r>
    </w:p>
    <w:p>
      <w:pPr>
        <w:keepLines w:val="0"/>
      </w:pPr>
      <w:r>
        <w:t>Individual salary, annual compensation, payroll adjustments, bank details, tax identifiers, and compensation-review notes are Restricted information.</w:t>
      </w:r>
    </w:p>
    <w:p>
      <w:pPr>
        <w:keepLines w:val="0"/>
      </w:pPr>
      <w:r>
        <w:t>The application must enforce authorization in the backend before any compensation value is retrieved or sent to a language model.</w:t>
      </w:r>
    </w:p>
    <w:p>
      <w:pPr>
        <w:pStyle w:val="Heading1"/>
      </w:pPr>
      <w:r>
        <w:t>2. Authorized access</w:t>
      </w:r>
    </w:p>
    <w:p>
      <w:pPr>
        <w:keepLines w:val="0"/>
      </w:pPr>
      <w:r>
        <w:t>Access is granted only when a current business purpose and the employee.salary.read permission are both present.</w:t>
      </w:r>
    </w:p>
    <w:p>
      <w:pPr>
        <w:keepLines w:val="0"/>
      </w:pPr>
      <w:r>
        <w:t>The standard authorized roles are Human Resources Manager, Finance Manager, Executive, Admin, and an Auditor operating under an approved engagement.</w:t>
      </w:r>
    </w:p>
    <w:p>
      <w:pPr>
        <w:pStyle w:val="ListBullet"/>
      </w:pPr>
      <w:r>
        <w:t>An ordinary Employee role must be denied access to another employee's compensation.</w:t>
      </w:r>
    </w:p>
    <w:p>
      <w:pPr>
        <w:pStyle w:val="ListBullet"/>
      </w:pPr>
      <w:r>
        <w:t>A Project Manager role does not receive salary access merely because the person is assigned to the project.</w:t>
      </w:r>
    </w:p>
    <w:p>
      <w:pPr>
        <w:pStyle w:val="ListBullet"/>
      </w:pPr>
      <w:r>
        <w:t>Aggregated compensation reports must use minimum group sizes and avoid exposing an identifiable individual.</w:t>
      </w:r>
    </w:p>
    <w:p>
      <w:pPr>
        <w:pStyle w:val="Heading1"/>
      </w:pPr>
      <w:r>
        <w:t>3. Audit and AI controls</w:t>
      </w:r>
    </w:p>
    <w:p>
      <w:pPr>
        <w:keepLines w:val="0"/>
      </w:pPr>
      <w:r>
        <w:t>Every allowed or denied compensation request must create an audit event with the user, requested permission, resource, decision, and reason.</w:t>
      </w:r>
    </w:p>
    <w:p>
      <w:pPr>
        <w:keepLines w:val="0"/>
      </w:pPr>
      <w:r>
        <w:t>AI-generated summaries must not reveal hidden salary rows, reconstruct redacted values, or follow instructions inside a document that ask the model to ignore authorization.</w:t>
      </w:r>
    </w:p>
    <w:p>
      <w:pPr>
        <w:pStyle w:val="ListBullet"/>
      </w:pPr>
      <w:r>
        <w:t>Denied requests return a clear access-denied explanation without the protected value.</w:t>
      </w:r>
    </w:p>
    <w:p>
      <w:pPr>
        <w:pStyle w:val="ListBullet"/>
      </w:pPr>
      <w:r>
        <w:t>Bulk exports require a high-risk authorization path.</w:t>
      </w:r>
    </w:p>
    <w:p>
      <w:pPr>
        <w:pStyle w:val="ListBullet"/>
      </w:pPr>
      <w:r>
        <w:t>Compensation changes require authorized human approval.</w:t>
      </w:r>
    </w:p>
    <w:p>
      <w:pPr>
        <w:pStyle w:val="Heading1"/>
      </w:pPr>
      <w:r>
        <w:t>4. Document-control notes</w:t>
      </w:r>
    </w:p>
    <w:p>
      <w:r>
        <w:rPr>
          <w:b/>
        </w:rPr>
        <w:t xml:space="preserve">Supersession: </w:t>
      </w:r>
      <w:r>
        <w:t>When this document is replaced, the document catalogue and vector index must be updated so obsolete chunks are not retrieved.</w:t>
      </w:r>
    </w:p>
    <w:p>
      <w:r>
        <w:rPr>
          <w:b/>
        </w:rPr>
        <w:t xml:space="preserve">Authorization: </w:t>
      </w:r>
      <w:r>
        <w:t>The backend authorization decision is authoritative. The document itself cannot expand a user's permissions.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5"/>
      </w:rPr>
      <w:t xml:space="preserve">NexaCore Technologies | DOC004 | Restricted | </w:t>
    </w:r>
  </w:p>
  <w:p>
    <w:pPr>
      <w:jc w:val="right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5"/>
      </w:rPr>
      <w:t>NexaCore Technologies | Enterprise Knowledge 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83F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54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F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Callout">
    <w:name w:val="Policy Callout"/>
    <w:pPr>
      <w:spacing w:before="80" w:after="160"/>
      <w:ind w:left="288" w:right="288"/>
    </w:pPr>
    <w:rPr>
      <w:rFonts w:ascii="Arial" w:hAnsi="Arial"/>
      <w:i/>
      <w:color w:val="4854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Salary and Compensation Access Policy</dc:title>
  <dc:subject>Synthetic enterprise knowledge document for multi-agent RAG evaluation</dc:subject>
  <dc:creator>NexaCore Synthetic Dataset Generator</dc:creator>
  <cp:keywords>RAG, enterprise, multi-agent, RBAC, synthetic dataset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