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Expense and Purchase Approval Policy</w:t>
      </w:r>
    </w:p>
    <w:p>
      <w:pPr>
        <w:jc w:val="left"/>
      </w:pPr>
      <w:r>
        <w:rPr>
          <w:rFonts w:ascii="Arial" w:hAnsi="Arial"/>
          <w:b/>
          <w:color w:val="455565"/>
          <w:sz w:val="19"/>
        </w:rPr>
        <w:t>DOC006 | Version 3.0 | Confidential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Document owner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Finance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Effective date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2026-01-01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Classification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Confidential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Required permission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document.read_finance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Allowed roles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Admin, Executive, Finance_Manager, Employee, Auditor, AI_Reviewer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Status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Approved demo policy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Source type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Synthetic enterprise knowledge document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Snapshot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2026-08-28</w:t>
            </w:r>
          </w:p>
        </w:tc>
      </w:tr>
    </w:tbl>
    <w:p>
      <w:pPr>
        <w:pStyle w:val="PolicyCallout"/>
      </w:pPr>
      <w:r>
        <w:t>This is a fictional, internally consistent document generated for the Secure Multi-Agent Enterprise Assistant dataset. It is not legal, HR, financial, or security advice for a real organization.</w:t>
      </w:r>
    </w:p>
    <w:p>
      <w:pPr>
        <w:pStyle w:val="Heading1"/>
      </w:pPr>
      <w:r>
        <w:t>1. Purchase approval thresholds</w:t>
      </w:r>
    </w:p>
    <w:p>
      <w:pPr>
        <w:keepLines w:val="0"/>
      </w:pPr>
      <w:r>
        <w:t>All purchases require a recorded human approval. The assistant may validate policy, identify the approver chain, and create a request, but it must not finalize a purchase without human approval.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4A6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Purchase amount</w:t>
            </w:r>
          </w:p>
        </w:tc>
        <w:tc>
          <w:tcPr>
            <w:tcW w:type="dxa" w:w="5083"/>
            <w:shd w:fill="244A6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Required approval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Below USD 1,000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Line or project manager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USD 1,000 to USD 5,000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Finance Manager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Above USD 5,000 to USD 25,000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Finance Manager and Executive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Above USD 25,000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Finance Manager, Executive, and second authorized approver</w:t>
            </w:r>
          </w:p>
        </w:tc>
      </w:tr>
    </w:tbl>
    <w:p>
      <w:pPr>
        <w:spacing w:after="0"/>
      </w:pPr>
    </w:p>
    <w:p>
      <w:pPr>
        <w:pStyle w:val="Heading1"/>
      </w:pPr>
      <w:r>
        <w:t>2. Expense claims</w:t>
      </w:r>
    </w:p>
    <w:p>
      <w:pPr>
        <w:keepLines w:val="0"/>
      </w:pPr>
      <w:r>
        <w:t>Employees must submit business expenses with a description, date, category, amount, and supporting receipt.</w:t>
      </w:r>
    </w:p>
    <w:p>
      <w:pPr>
        <w:keepLines w:val="0"/>
      </w:pPr>
      <w:r>
        <w:t>Claims with missing evidence, unusual amounts, personal items, or policy exceptions are routed for clarification or rejection.</w:t>
      </w:r>
    </w:p>
    <w:p>
      <w:pPr>
        <w:pStyle w:val="ListBullet"/>
      </w:pPr>
      <w:r>
        <w:t>Receipts must be legible and connected to the business purpose.</w:t>
      </w:r>
    </w:p>
    <w:p>
      <w:pPr>
        <w:pStyle w:val="ListBullet"/>
      </w:pPr>
      <w:r>
        <w:t>The approver must not approve their own claim.</w:t>
      </w:r>
    </w:p>
    <w:p>
      <w:pPr>
        <w:pStyle w:val="ListBullet"/>
      </w:pPr>
      <w:r>
        <w:t>Claims above USD 2,500 are treated as policy exceptions in this demonstration dataset.</w:t>
      </w:r>
    </w:p>
    <w:p>
      <w:pPr>
        <w:pStyle w:val="ListBullet"/>
      </w:pPr>
      <w:r>
        <w:t>The system records the final human decision and policy version.</w:t>
      </w:r>
    </w:p>
    <w:p>
      <w:pPr>
        <w:pStyle w:val="Heading1"/>
      </w:pPr>
      <w:r>
        <w:t>3. AI and audit controls</w:t>
      </w:r>
    </w:p>
    <w:p>
      <w:pPr>
        <w:keepLines w:val="0"/>
      </w:pPr>
      <w:r>
        <w:t>A Finance Agent may calculate thresholds and summarize evidence, but it must not alter the amount, supplier, receipt, or approver identity.</w:t>
      </w:r>
    </w:p>
    <w:p>
      <w:pPr>
        <w:keepLines w:val="0"/>
      </w:pPr>
      <w:r>
        <w:t>Approval creation, approval actions, and execution results must share a correlation identifier in the audit log.</w:t>
      </w:r>
    </w:p>
    <w:p>
      <w:pPr>
        <w:pStyle w:val="Heading1"/>
      </w:pPr>
      <w:r>
        <w:t>4. Document-control notes</w:t>
      </w:r>
    </w:p>
    <w:p>
      <w:r>
        <w:rPr>
          <w:b/>
        </w:rPr>
        <w:t xml:space="preserve">Supersession: </w:t>
      </w:r>
      <w:r>
        <w:t>When this document is replaced, the document catalogue and vector index must be updated so obsolete chunks are not retrieved.</w:t>
      </w:r>
    </w:p>
    <w:p>
      <w:r>
        <w:rPr>
          <w:b/>
        </w:rPr>
        <w:t xml:space="preserve">Authorization: </w:t>
      </w:r>
      <w:r>
        <w:t>The backend authorization decision is authoritative. The document itself cannot expand a user's permissions.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5"/>
      </w:rPr>
      <w:t xml:space="preserve">NexaCore Technologies | DOC006 | Confidential | </w:t>
    </w:r>
  </w:p>
  <w:p>
    <w:pPr>
      <w:jc w:val="right"/>
    </w:pPr>
    <w:r>
      <w:rPr>
        <w:rFonts w:ascii="Arial" w:hAnsi="Arial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5"/>
      </w:rPr>
      <w:t>NexaCore Technologies | Enterprise Knowledge Base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83F5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54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3F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licyCallout">
    <w:name w:val="Policy Callout"/>
    <w:pPr>
      <w:spacing w:before="80" w:after="160"/>
      <w:ind w:left="288" w:right="288"/>
    </w:pPr>
    <w:rPr>
      <w:rFonts w:ascii="Arial" w:hAnsi="Arial"/>
      <w:i/>
      <w:color w:val="48546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Expense and Purchase Approval Policy</dc:title>
  <dc:subject>Synthetic enterprise knowledge document for multi-agent RAG evaluation</dc:subject>
  <dc:creator>NexaCore Synthetic Dataset Generator</dc:creator>
  <cp:keywords>RAG, enterprise, multi-agent, RBAC, synthetic dataset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