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Governance and Task Reassignment Policy</w:t>
      </w:r>
    </w:p>
    <w:p>
      <w:pPr>
        <w:jc w:val="left"/>
      </w:pPr>
      <w:r>
        <w:rPr>
          <w:rFonts w:ascii="Arial" w:hAnsi="Arial"/>
          <w:b/>
          <w:color w:val="455565"/>
          <w:sz w:val="19"/>
        </w:rPr>
        <w:t>DOC007 | Version 2.2 | Internal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Document owner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Enterprise PMO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Effective date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2026-01-20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Classification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Internal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Required permission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document.read_public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Allowed roles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Admin, Executive, HR_Manager, Project_Manager, Finance_Manager, Sales_Manager, Security_Officer, Employee, Auditor, AI_Reviewer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Status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Approved demo policy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Source type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Synthetic enterprise knowledge document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Snapshot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2026-08-28</w:t>
            </w:r>
          </w:p>
        </w:tc>
      </w:tr>
    </w:tbl>
    <w:p>
      <w:pPr>
        <w:pStyle w:val="PolicyCallout"/>
      </w:pPr>
      <w:r>
        <w:t>This is a fictional, internally consistent document generated for the Secure Multi-Agent Enterprise Assistant dataset. It is not legal, HR, financial, or security advice for a real organization.</w:t>
      </w:r>
    </w:p>
    <w:p>
      <w:pPr>
        <w:pStyle w:val="Heading1"/>
      </w:pPr>
      <w:r>
        <w:t>1. Project status and risk</w:t>
      </w:r>
    </w:p>
    <w:p>
      <w:pPr>
        <w:keepLines w:val="0"/>
      </w:pPr>
      <w:r>
        <w:t>Project status is evaluated from progress against plan, overdue tasks, blocked critical work, unresolved risks, budget consumption, and team capacity.</w:t>
      </w:r>
    </w:p>
    <w:p>
      <w:pPr>
        <w:keepLines w:val="0"/>
      </w:pPr>
      <w:r>
        <w:t>A project may be marked At Risk even when the end date has not passed if evidence shows that planned progress is unlikely to be achieved.</w:t>
      </w:r>
    </w:p>
    <w:p>
      <w:pPr>
        <w:pStyle w:val="ListBullet"/>
      </w:pPr>
      <w:r>
        <w:t>The Project Agent must state the data date used for analysis.</w:t>
      </w:r>
    </w:p>
    <w:p>
      <w:pPr>
        <w:pStyle w:val="ListBullet"/>
      </w:pPr>
      <w:r>
        <w:t>Recommendations must distinguish facts from inference.</w:t>
      </w:r>
    </w:p>
    <w:p>
      <w:pPr>
        <w:pStyle w:val="ListBullet"/>
      </w:pPr>
      <w:r>
        <w:t>A project status change by the AI is advisory until an authorized manager records it.</w:t>
      </w:r>
    </w:p>
    <w:p>
      <w:pPr>
        <w:pStyle w:val="Heading1"/>
      </w:pPr>
      <w:r>
        <w:t>2. Task reassignment controls</w:t>
      </w:r>
    </w:p>
    <w:p>
      <w:pPr>
        <w:keepLines w:val="0"/>
      </w:pPr>
      <w:r>
        <w:t>The system may recommend reassignment when an employee is overloaded, unavailable, missing a required skill, or when a critical dependency is blocked.</w:t>
      </w:r>
    </w:p>
    <w:p>
      <w:pPr>
        <w:keepLines w:val="0"/>
      </w:pPr>
      <w:r>
        <w:t>Human approval is required for Critical tasks, Deployment tasks, Security tasks, or tasks estimated above forty hours.</w:t>
      </w:r>
    </w:p>
    <w:p>
      <w:pPr>
        <w:pStyle w:val="ListBullet"/>
      </w:pPr>
      <w:r>
        <w:t>The proposed assignee must be an active project member or be formally added.</w:t>
      </w:r>
    </w:p>
    <w:p>
      <w:pPr>
        <w:pStyle w:val="ListBullet"/>
      </w:pPr>
      <w:r>
        <w:t>The system must compare current workload and required skills.</w:t>
      </w:r>
    </w:p>
    <w:p>
      <w:pPr>
        <w:pStyle w:val="ListBullet"/>
      </w:pPr>
      <w:r>
        <w:t>The original and proposed assignee, reason, approver, and timestamp must be audited.</w:t>
      </w:r>
    </w:p>
    <w:p>
      <w:pPr>
        <w:pStyle w:val="ListBullet"/>
      </w:pPr>
      <w:r>
        <w:t>The actual task record changes only after approval succeeds.</w:t>
      </w:r>
    </w:p>
    <w:p>
      <w:pPr>
        <w:pStyle w:val="Heading1"/>
      </w:pPr>
      <w:r>
        <w:t>3. Workload thresholds</w:t>
      </w:r>
    </w:p>
    <w:p>
      <w:pPr>
        <w:keepLines w:val="0"/>
      </w:pPr>
      <w:r>
        <w:t>A total workload above 100 percent is Overloaded. A workload from 85 through 100 percent is High. A workload from 55 through 84.99 percent is Normal. A lower workload is Available.</w:t>
      </w:r>
    </w:p>
    <w:p>
      <w:pPr>
        <w:keepLines w:val="0"/>
      </w:pPr>
      <w:r>
        <w:t>Workload is a planning indicator and must be interpreted with delivery context, leave, task complexity, and part-time arrangements.</w:t>
      </w:r>
    </w:p>
    <w:p>
      <w:pPr>
        <w:pStyle w:val="Heading1"/>
      </w:pPr>
      <w:r>
        <w:t>4. Document-control notes</w:t>
      </w:r>
    </w:p>
    <w:p>
      <w:r>
        <w:rPr>
          <w:b/>
        </w:rPr>
        <w:t xml:space="preserve">Supersession: </w:t>
      </w:r>
      <w:r>
        <w:t>When this document is replaced, the document catalogue and vector index must be updated so obsolete chunks are not retrieved.</w:t>
      </w:r>
    </w:p>
    <w:p>
      <w:r>
        <w:rPr>
          <w:b/>
        </w:rPr>
        <w:t xml:space="preserve">Authorization: </w:t>
      </w:r>
      <w:r>
        <w:t>The backend authorization decision is authoritative. The document itself cannot expand a user's permissions.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5"/>
      </w:rPr>
      <w:t xml:space="preserve">NexaCore Technologies | DOC007 | Internal | </w:t>
    </w:r>
  </w:p>
  <w:p>
    <w:pPr>
      <w:jc w:val="right"/>
    </w:pPr>
    <w:r>
      <w:rPr>
        <w:rFonts w:ascii="Arial" w:hAnsi="Arial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5"/>
      </w:rPr>
      <w:t>NexaCore Technologies | Enterprise Knowledge 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83F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54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3F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licyCallout">
    <w:name w:val="Policy Callout"/>
    <w:pPr>
      <w:spacing w:before="80" w:after="160"/>
      <w:ind w:left="288" w:right="288"/>
    </w:pPr>
    <w:rPr>
      <w:rFonts w:ascii="Arial" w:hAnsi="Arial"/>
      <w:i/>
      <w:color w:val="48546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Governance and Task Reassignment Policy</dc:title>
  <dc:subject>Synthetic enterprise knowledge document for multi-agent RAG evaluation</dc:subject>
  <dc:creator>NexaCore Synthetic Dataset Generator</dc:creator>
  <cp:keywords>RAG, enterprise, multi-agent, RBAC, synthetic dataset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