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DOC010 | Version 3.4 | Restricted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 Operations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2026-01-05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Restricted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document.read_security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Security_Officer, Auditor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Severity and response targets</w:t>
      </w:r>
    </w:p>
    <w:p>
      <w:pPr>
        <w:keepLines w:val="0"/>
      </w:pPr>
      <w:r>
        <w:t>Incidents are assigned a severity based on business impact, data sensitivity, scope, and current exploitation.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Initial response target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 Critical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Active major breach or enterprise outage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 minutes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P2 High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Confirmed compromise with limited scope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30 minutes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P3 Medium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Contained event requiring investigation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business hours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P4 Low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Low-impact policy or monitoring issue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business day</w:t>
            </w:r>
          </w:p>
        </w:tc>
      </w:tr>
    </w:tbl>
    <w:p>
      <w:pPr>
        <w:spacing w:after="0"/>
      </w:pPr>
    </w:p>
    <w:p>
      <w:pPr>
        <w:pStyle w:val="Heading1"/>
      </w:pPr>
      <w:r>
        <w:t>2. Response workflow</w:t>
      </w:r>
    </w:p>
    <w:p>
      <w:pPr>
        <w:keepLines w:val="0"/>
      </w:pPr>
      <w:r>
        <w:t>The response lifecycle is detect, validate, contain, preserve evidence, eradicate, recover, communicate, and review.</w:t>
      </w:r>
    </w:p>
    <w:p>
      <w:pPr>
        <w:keepLines w:val="0"/>
      </w:pPr>
      <w:r>
        <w:t>The Security Agent may classify and summarize evidence, but containment actions that can interrupt production require authorized human approval unless an approved emergency control already exists.</w:t>
      </w:r>
    </w:p>
    <w:p>
      <w:pPr>
        <w:pStyle w:val="Heading1"/>
      </w:pPr>
      <w:r>
        <w:t>3. Evidence and audit</w:t>
      </w:r>
    </w:p>
    <w:p>
      <w:pPr>
        <w:keepLines w:val="0"/>
      </w:pPr>
      <w:r>
        <w:t>Incident evidence must be time stamped, access controlled, and retained according to the retention policy.</w:t>
      </w:r>
    </w:p>
    <w:p>
      <w:pPr>
        <w:keepLines w:val="0"/>
      </w:pPr>
      <w:r>
        <w:t>Do not paste secrets, full credentials, or Restricted evidence into general chat responses.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DOC010 | Restricted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