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Data Retention Policy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DOC011 | Version 2.0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Legal, Security, and Data Governance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2026-01-01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document.read_public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HR_Manager, Project_Manager, Finance_Manager, Sales_Manager, Security_Officer,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Retention schedule</w:t>
      </w:r>
    </w:p>
    <w:p>
      <w:pPr>
        <w:keepLines w:val="0"/>
      </w:pPr>
      <w:r>
        <w:t>A legal hold, security investigation, or regulatory requirement may suspend deletion. The system must record the hold and the authorized owner.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5083"/>
            <w:shd w:fill="244A6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Standard retention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Security and approval audit logs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 years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HR and payroll records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 years after separation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Purchase and expense evidence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 years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working records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 years after project closure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chat transcripts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 days unless a legal, audit, or incident hold applies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AI evaluation results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years</w:t>
            </w:r>
          </w:p>
        </w:tc>
      </w:tr>
    </w:tbl>
    <w:p>
      <w:pPr>
        <w:spacing w:after="0"/>
      </w:pPr>
    </w:p>
    <w:p>
      <w:pPr>
        <w:pStyle w:val="Heading1"/>
      </w:pPr>
      <w:r>
        <w:t>2. Deletion and minimization</w:t>
      </w:r>
    </w:p>
    <w:p>
      <w:pPr>
        <w:keepLines w:val="0"/>
      </w:pPr>
      <w:r>
        <w:t>Data should be deleted or anonymized when the retention period ends and no hold applies.</w:t>
      </w:r>
    </w:p>
    <w:p>
      <w:pPr>
        <w:keepLines w:val="0"/>
      </w:pPr>
      <w:r>
        <w:t>RAG indexes must be refreshed when a source document is deleted, superseded, or reclassified so obsolete chunks are not retrieved.</w:t>
      </w:r>
    </w:p>
    <w:p>
      <w:pPr>
        <w:pStyle w:val="Heading1"/>
      </w:pPr>
      <w:r>
        <w:t>3.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DOC011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Data Retention Policy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