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16C36" w14:textId="052B6A27" w:rsidR="00A85C86" w:rsidRDefault="00A85C86" w:rsidP="00A85C86">
      <w:pPr>
        <w:rPr>
          <w:b/>
          <w:bCs/>
        </w:rPr>
      </w:pPr>
      <w:r>
        <w:rPr>
          <w:b/>
          <w:bCs/>
        </w:rPr>
        <w:t>Team-14-DSC Second Level Corrections</w:t>
      </w:r>
    </w:p>
    <w:p w14:paraId="5958FABB" w14:textId="77777777" w:rsidR="00A85C86" w:rsidRDefault="00A85C86" w:rsidP="00A85C86">
      <w:pPr>
        <w:rPr>
          <w:b/>
          <w:bCs/>
        </w:rPr>
      </w:pPr>
    </w:p>
    <w:p w14:paraId="487D38C8" w14:textId="5B013B9E" w:rsidR="00A85C86" w:rsidRPr="00A85C86" w:rsidRDefault="00A85C86" w:rsidP="00A85C86">
      <w:r w:rsidRPr="00A85C86">
        <w:rPr>
          <w:b/>
          <w:bCs/>
        </w:rPr>
        <w:t>a clean, honest, small-scale study — publishable at a workshop/conference as is; a journal needs the scale-up the authors already list as future work.</w:t>
      </w:r>
      <w:r w:rsidRPr="00A85C86">
        <w:t xml:space="preserve"> Everything checks: the parameter count is exact (544 + 32,832 + 131,200 + 131,136 + 32,800 + 513 = 329,025), communication is 1.316 MB × 2 × 2 × 10 = 52.6 MB, the frame counts match UCSD (34 × 200, 36 × 200, 2,550, 2,010), the mean AUCs follow from the site AUCs, and the figures are real. The revision added what was missing last time: five seeds, paired tests, PR-AUC/EER, a round-wise curve, cost accounting, example detections and an AI-use statement.</w:t>
      </w:r>
    </w:p>
    <w:p w14:paraId="06F81CCA" w14:textId="77777777" w:rsidR="00A85C86" w:rsidRPr="00A85C86" w:rsidRDefault="00A85C86" w:rsidP="00A85C86">
      <w:r w:rsidRPr="00A85C86">
        <w:rPr>
          <w:b/>
          <w:bCs/>
        </w:rPr>
        <w:t>What limits 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5262"/>
        <w:gridCol w:w="3577"/>
      </w:tblGrid>
      <w:tr w:rsidR="00A85C86" w:rsidRPr="00A85C86" w14:paraId="6473E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51379" w14:textId="77777777" w:rsidR="00A85C86" w:rsidRPr="00A85C86" w:rsidRDefault="00A85C86" w:rsidP="00A85C86">
            <w:pPr>
              <w:rPr>
                <w:b/>
                <w:bCs/>
              </w:rPr>
            </w:pPr>
            <w:r w:rsidRPr="00A85C8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178FB98" w14:textId="77777777" w:rsidR="00A85C86" w:rsidRPr="00A85C86" w:rsidRDefault="00A85C86" w:rsidP="00A85C86">
            <w:pPr>
              <w:rPr>
                <w:b/>
                <w:bCs/>
              </w:rPr>
            </w:pPr>
            <w:r w:rsidRPr="00A85C86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958F31F" w14:textId="77777777" w:rsidR="00A85C86" w:rsidRPr="00A85C86" w:rsidRDefault="00A85C86" w:rsidP="00A85C86">
            <w:pPr>
              <w:rPr>
                <w:b/>
                <w:bCs/>
              </w:rPr>
            </w:pPr>
            <w:r w:rsidRPr="00A85C86">
              <w:rPr>
                <w:b/>
                <w:bCs/>
              </w:rPr>
              <w:t>Fix</w:t>
            </w:r>
          </w:p>
        </w:tc>
      </w:tr>
      <w:tr w:rsidR="00A85C86" w:rsidRPr="00A85C86" w14:paraId="081C8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90A2" w14:textId="77777777" w:rsidR="00A85C86" w:rsidRPr="00A85C86" w:rsidRDefault="00A85C86" w:rsidP="00A85C86">
            <w:r w:rsidRPr="00A85C86">
              <w:t>1</w:t>
            </w:r>
          </w:p>
        </w:tc>
        <w:tc>
          <w:tcPr>
            <w:tcW w:w="0" w:type="auto"/>
            <w:vAlign w:val="center"/>
            <w:hideMark/>
          </w:tcPr>
          <w:p w14:paraId="4F5A6287" w14:textId="77777777" w:rsidR="00A85C86" w:rsidRPr="00A85C86" w:rsidRDefault="00A85C86" w:rsidP="00A85C86">
            <w:r w:rsidRPr="00A85C86">
              <w:t xml:space="preserve">Two clients, one of which holds 73 % of the data — </w:t>
            </w:r>
            <w:proofErr w:type="spellStart"/>
            <w:r w:rsidRPr="00A85C86">
              <w:t>FedAvg</w:t>
            </w:r>
            <w:proofErr w:type="spellEnd"/>
            <w:r w:rsidRPr="00A85C86">
              <w:t xml:space="preserve"> here is one weighted average of two models (acknowledged). Reviewers will not accept conclusions about “camera networks” from K = 2</w:t>
            </w:r>
          </w:p>
        </w:tc>
        <w:tc>
          <w:tcPr>
            <w:tcW w:w="0" w:type="auto"/>
            <w:vAlign w:val="center"/>
            <w:hideMark/>
          </w:tcPr>
          <w:p w14:paraId="5982C06A" w14:textId="77777777" w:rsidR="00A85C86" w:rsidRPr="00A85C86" w:rsidRDefault="00A85C86" w:rsidP="00A85C86">
            <w:r w:rsidRPr="00A85C86">
              <w:t xml:space="preserve">Use </w:t>
            </w:r>
            <w:proofErr w:type="spellStart"/>
            <w:r w:rsidRPr="00A85C86">
              <w:t>ShanghaiTech’s</w:t>
            </w:r>
            <w:proofErr w:type="spellEnd"/>
            <w:r w:rsidRPr="00A85C86">
              <w:t xml:space="preserve"> 13 scenes (or UCSD + Avenue + </w:t>
            </w:r>
            <w:proofErr w:type="spellStart"/>
            <w:r w:rsidRPr="00A85C86">
              <w:t>ShanghaiTech</w:t>
            </w:r>
            <w:proofErr w:type="spellEnd"/>
            <w:r w:rsidRPr="00A85C86">
              <w:t>) as clients; report gap vs number of clients and vs scene dissimilarity</w:t>
            </w:r>
          </w:p>
        </w:tc>
      </w:tr>
      <w:tr w:rsidR="00A85C86" w:rsidRPr="00A85C86" w14:paraId="20DA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80BC" w14:textId="77777777" w:rsidR="00A85C86" w:rsidRPr="00A85C86" w:rsidRDefault="00A85C86" w:rsidP="00A85C86">
            <w:r w:rsidRPr="00A85C86">
              <w:t>2</w:t>
            </w:r>
          </w:p>
        </w:tc>
        <w:tc>
          <w:tcPr>
            <w:tcW w:w="0" w:type="auto"/>
            <w:vAlign w:val="center"/>
            <w:hideMark/>
          </w:tcPr>
          <w:p w14:paraId="6E628576" w14:textId="77777777" w:rsidR="00A85C86" w:rsidRPr="00A85C86" w:rsidRDefault="00A85C86" w:rsidP="00A85C86">
            <w:r w:rsidRPr="00A85C86">
              <w:t>Base model is weak: single 64 × 64 frames give Ped2 AUC 0.75 where a plain conv-AE on frame stacks reaches ~0.85–0.90. A federated-vs-centralised gap measured on a model that barely works may not hold for a working one</w:t>
            </w:r>
          </w:p>
        </w:tc>
        <w:tc>
          <w:tcPr>
            <w:tcW w:w="0" w:type="auto"/>
            <w:vAlign w:val="center"/>
            <w:hideMark/>
          </w:tcPr>
          <w:p w14:paraId="54A6DF8D" w14:textId="77777777" w:rsidR="00A85C86" w:rsidRPr="00A85C86" w:rsidRDefault="00A85C86" w:rsidP="00A85C86">
            <w:r w:rsidRPr="00A85C86">
              <w:t>Frame stacks (e.g. 8–16 frames) or 128 × 128 input; keep the model small</w:t>
            </w:r>
          </w:p>
        </w:tc>
      </w:tr>
      <w:tr w:rsidR="00A85C86" w:rsidRPr="00A85C86" w14:paraId="4783A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4055" w14:textId="77777777" w:rsidR="00A85C86" w:rsidRPr="00A85C86" w:rsidRDefault="00A85C86" w:rsidP="00A85C86">
            <w:r w:rsidRPr="00A85C86">
              <w:t>3</w:t>
            </w:r>
          </w:p>
        </w:tc>
        <w:tc>
          <w:tcPr>
            <w:tcW w:w="0" w:type="auto"/>
            <w:vAlign w:val="center"/>
            <w:hideMark/>
          </w:tcPr>
          <w:p w14:paraId="333ABDD8" w14:textId="77777777" w:rsidR="00A85C86" w:rsidRPr="00A85C86" w:rsidRDefault="00A85C86" w:rsidP="00A85C86">
            <w:r w:rsidRPr="00A85C86">
              <w:t>“Unlike the single-site models it did not degrade when moved to the other site” — the federated model was trained on both sites; nothing was moved</w:t>
            </w:r>
          </w:p>
        </w:tc>
        <w:tc>
          <w:tcPr>
            <w:tcW w:w="0" w:type="auto"/>
            <w:vAlign w:val="center"/>
            <w:hideMark/>
          </w:tcPr>
          <w:p w14:paraId="6F91CD73" w14:textId="77777777" w:rsidR="00A85C86" w:rsidRPr="00A85C86" w:rsidRDefault="00A85C86" w:rsidP="00A85C86">
            <w:r w:rsidRPr="00A85C86">
              <w:t>Reword: one shared model serves both sites, which single-site training cannot</w:t>
            </w:r>
          </w:p>
        </w:tc>
      </w:tr>
      <w:tr w:rsidR="00A85C86" w:rsidRPr="00A85C86" w14:paraId="0D029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29F4" w14:textId="77777777" w:rsidR="00A85C86" w:rsidRPr="00A85C86" w:rsidRDefault="00A85C86" w:rsidP="00A85C86">
            <w:r w:rsidRPr="00A85C86">
              <w:t>4</w:t>
            </w:r>
          </w:p>
        </w:tc>
        <w:tc>
          <w:tcPr>
            <w:tcW w:w="0" w:type="auto"/>
            <w:vAlign w:val="center"/>
            <w:hideMark/>
          </w:tcPr>
          <w:p w14:paraId="7A2D3447" w14:textId="77777777" w:rsidR="00A85C86" w:rsidRPr="00A85C86" w:rsidRDefault="00A85C86" w:rsidP="00A85C86">
            <w:r w:rsidRPr="00A85C86">
              <w:t>p = 0.28 with n = 5 is not evidence of equivalence</w:t>
            </w:r>
          </w:p>
        </w:tc>
        <w:tc>
          <w:tcPr>
            <w:tcW w:w="0" w:type="auto"/>
            <w:vAlign w:val="center"/>
            <w:hideMark/>
          </w:tcPr>
          <w:p w14:paraId="333B824D" w14:textId="77777777" w:rsidR="00A85C86" w:rsidRPr="00A85C86" w:rsidRDefault="00A85C86" w:rsidP="00A85C86">
            <w:r w:rsidRPr="00A85C86">
              <w:t>Report the CI of the mean-AUC difference (or a TOST equivalence test) instead of “not significant”</w:t>
            </w:r>
          </w:p>
        </w:tc>
      </w:tr>
      <w:tr w:rsidR="00A85C86" w:rsidRPr="00A85C86" w14:paraId="39EF1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0745" w14:textId="77777777" w:rsidR="00A85C86" w:rsidRPr="00A85C86" w:rsidRDefault="00A85C86" w:rsidP="00A85C86">
            <w:r w:rsidRPr="00A85C86">
              <w:t>5</w:t>
            </w:r>
          </w:p>
        </w:tc>
        <w:tc>
          <w:tcPr>
            <w:tcW w:w="0" w:type="auto"/>
            <w:vAlign w:val="center"/>
            <w:hideMark/>
          </w:tcPr>
          <w:p w14:paraId="5761B60F" w14:textId="77777777" w:rsidR="00A85C86" w:rsidRPr="00A85C86" w:rsidRDefault="00A85C86" w:rsidP="00A85C86">
            <w:r w:rsidRPr="00A85C86">
              <w:t xml:space="preserve">Only </w:t>
            </w:r>
            <w:proofErr w:type="spellStart"/>
            <w:r w:rsidRPr="00A85C86">
              <w:t>FedAvg</w:t>
            </w:r>
            <w:proofErr w:type="spellEnd"/>
            <w:r w:rsidRPr="00A85C86">
              <w:t>; the non-IID literature the paper cites (</w:t>
            </w:r>
            <w:proofErr w:type="spellStart"/>
            <w:r w:rsidRPr="00A85C86">
              <w:t>FedProx</w:t>
            </w:r>
            <w:proofErr w:type="spellEnd"/>
            <w:r w:rsidRPr="00A85C86">
              <w:t>, SCAFFOLD) is not run</w:t>
            </w:r>
          </w:p>
        </w:tc>
        <w:tc>
          <w:tcPr>
            <w:tcW w:w="0" w:type="auto"/>
            <w:vAlign w:val="center"/>
            <w:hideMark/>
          </w:tcPr>
          <w:p w14:paraId="5A924F0A" w14:textId="77777777" w:rsidR="00A85C86" w:rsidRPr="00A85C86" w:rsidRDefault="00A85C86" w:rsidP="00A85C86">
            <w:r w:rsidRPr="00A85C86">
              <w:t xml:space="preserve">Add </w:t>
            </w:r>
            <w:proofErr w:type="spellStart"/>
            <w:r w:rsidRPr="00A85C86">
              <w:t>FedProx</w:t>
            </w:r>
            <w:proofErr w:type="spellEnd"/>
            <w:r w:rsidRPr="00A85C86">
              <w:t xml:space="preserve"> at least; it is a one-line change</w:t>
            </w:r>
          </w:p>
        </w:tc>
      </w:tr>
      <w:tr w:rsidR="00A85C86" w:rsidRPr="00A85C86" w14:paraId="1C40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B751" w14:textId="77777777" w:rsidR="00A85C86" w:rsidRPr="00A85C86" w:rsidRDefault="00A85C86" w:rsidP="00A85C86">
            <w:r w:rsidRPr="00A85C86">
              <w:t>6</w:t>
            </w:r>
          </w:p>
        </w:tc>
        <w:tc>
          <w:tcPr>
            <w:tcW w:w="0" w:type="auto"/>
            <w:vAlign w:val="center"/>
            <w:hideMark/>
          </w:tcPr>
          <w:p w14:paraId="75B77052" w14:textId="77777777" w:rsidR="00A85C86" w:rsidRPr="00A85C86" w:rsidRDefault="00A85C86" w:rsidP="00A85C86">
            <w:r w:rsidRPr="00A85C86">
              <w:t>“Privacy” is asserted, not measured (acknowledged)</w:t>
            </w:r>
          </w:p>
        </w:tc>
        <w:tc>
          <w:tcPr>
            <w:tcW w:w="0" w:type="auto"/>
            <w:vAlign w:val="center"/>
            <w:hideMark/>
          </w:tcPr>
          <w:p w14:paraId="195CE816" w14:textId="77777777" w:rsidR="00A85C86" w:rsidRPr="00A85C86" w:rsidRDefault="00A85C86" w:rsidP="00A85C86">
            <w:r w:rsidRPr="00A85C86">
              <w:t>Run the gradient-inversion check [25] on one round’s update; even a negative result strengthens the paper</w:t>
            </w:r>
          </w:p>
        </w:tc>
      </w:tr>
      <w:tr w:rsidR="00A85C86" w:rsidRPr="00A85C86" w14:paraId="71345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7F6F" w14:textId="77777777" w:rsidR="00A85C86" w:rsidRPr="00A85C86" w:rsidRDefault="00A85C86" w:rsidP="00A85C86">
            <w:r w:rsidRPr="00A85C86">
              <w:t>7</w:t>
            </w:r>
          </w:p>
        </w:tc>
        <w:tc>
          <w:tcPr>
            <w:tcW w:w="0" w:type="auto"/>
            <w:vAlign w:val="center"/>
            <w:hideMark/>
          </w:tcPr>
          <w:p w14:paraId="5867AD19" w14:textId="77777777" w:rsidR="00A85C86" w:rsidRPr="00A85C86" w:rsidRDefault="00A85C86" w:rsidP="00A85C86">
            <w:r w:rsidRPr="00A85C86">
              <w:t>No code link despite the reproducibility paragraph; “</w:t>
            </w:r>
            <w:proofErr w:type="spellStart"/>
            <w:r w:rsidRPr="00A85C86">
              <w:t>PyTorch</w:t>
            </w:r>
            <w:proofErr w:type="spellEnd"/>
            <w:r w:rsidRPr="00A85C86">
              <w:t xml:space="preserve"> 2.14, scikit-learn 1.9” look like typos</w:t>
            </w:r>
          </w:p>
        </w:tc>
        <w:tc>
          <w:tcPr>
            <w:tcW w:w="0" w:type="auto"/>
            <w:vAlign w:val="center"/>
            <w:hideMark/>
          </w:tcPr>
          <w:p w14:paraId="1C6887F4" w14:textId="77777777" w:rsidR="00A85C86" w:rsidRPr="00A85C86" w:rsidRDefault="00A85C86" w:rsidP="00A85C86">
            <w:r w:rsidRPr="00A85C86">
              <w:t>Release the repository; verify versions</w:t>
            </w:r>
          </w:p>
        </w:tc>
      </w:tr>
      <w:tr w:rsidR="00A85C86" w:rsidRPr="00A85C86" w14:paraId="4BD8D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2D706" w14:textId="77777777" w:rsidR="00A85C86" w:rsidRPr="00A85C86" w:rsidRDefault="00A85C86" w:rsidP="00A85C86">
            <w:r w:rsidRPr="00A85C86">
              <w:t>8</w:t>
            </w:r>
          </w:p>
        </w:tc>
        <w:tc>
          <w:tcPr>
            <w:tcW w:w="0" w:type="auto"/>
            <w:vAlign w:val="center"/>
            <w:hideMark/>
          </w:tcPr>
          <w:p w14:paraId="3C5FF0E6" w14:textId="77777777" w:rsidR="00A85C86" w:rsidRPr="00A85C86" w:rsidRDefault="00A85C86" w:rsidP="00A85C86">
            <w:r w:rsidRPr="00A85C86">
              <w:t xml:space="preserve">Ref [18] (IJEAST) is a weak anchor for federated VAD; </w:t>
            </w:r>
            <w:proofErr w:type="spellStart"/>
            <w:r w:rsidRPr="00A85C86">
              <w:t>FedVision</w:t>
            </w:r>
            <w:proofErr w:type="spellEnd"/>
            <w:r w:rsidRPr="00A85C86">
              <w:t xml:space="preserve"> (Liu et al., AAAI 2020) and FL-for-edge-video work are missing</w:t>
            </w:r>
          </w:p>
        </w:tc>
        <w:tc>
          <w:tcPr>
            <w:tcW w:w="0" w:type="auto"/>
            <w:vAlign w:val="center"/>
            <w:hideMark/>
          </w:tcPr>
          <w:p w14:paraId="47A97ACD" w14:textId="77777777" w:rsidR="00A85C86" w:rsidRPr="00A85C86" w:rsidRDefault="00A85C86" w:rsidP="00A85C86">
            <w:r w:rsidRPr="00A85C86">
              <w:t>Replace/add</w:t>
            </w:r>
          </w:p>
        </w:tc>
      </w:tr>
      <w:tr w:rsidR="00A85C86" w:rsidRPr="00A85C86" w14:paraId="64CD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4FCC" w14:textId="77777777" w:rsidR="00A85C86" w:rsidRPr="00A85C86" w:rsidRDefault="00A85C86" w:rsidP="00A85C86">
            <w:r w:rsidRPr="00A85C86">
              <w:t>9</w:t>
            </w:r>
          </w:p>
        </w:tc>
        <w:tc>
          <w:tcPr>
            <w:tcW w:w="0" w:type="auto"/>
            <w:vAlign w:val="center"/>
            <w:hideMark/>
          </w:tcPr>
          <w:p w14:paraId="699718BA" w14:textId="77777777" w:rsidR="00A85C86" w:rsidRPr="00A85C86" w:rsidRDefault="00A85C86" w:rsidP="00A85C86">
            <w:r w:rsidRPr="00A85C86">
              <w:t>Supervisor named only in the e-mail line; no affiliation superscripts</w:t>
            </w:r>
          </w:p>
        </w:tc>
        <w:tc>
          <w:tcPr>
            <w:tcW w:w="0" w:type="auto"/>
            <w:vAlign w:val="center"/>
            <w:hideMark/>
          </w:tcPr>
          <w:p w14:paraId="649C8CAE" w14:textId="77777777" w:rsidR="00A85C86" w:rsidRPr="00A85C86" w:rsidRDefault="00A85C86" w:rsidP="00A85C86">
            <w:r w:rsidRPr="00A85C86">
              <w:t>Front-matter clean-up</w:t>
            </w:r>
          </w:p>
        </w:tc>
      </w:tr>
    </w:tbl>
    <w:p w14:paraId="4AD9AD84" w14:textId="77777777" w:rsidR="00A85C86" w:rsidRPr="00A85C86" w:rsidRDefault="00A85C86" w:rsidP="00A85C86">
      <w:r w:rsidRPr="00A85C86">
        <w:rPr>
          <w:b/>
          <w:bCs/>
        </w:rPr>
        <w:t>Venues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3541"/>
        <w:gridCol w:w="1641"/>
      </w:tblGrid>
      <w:tr w:rsidR="00A85C86" w:rsidRPr="00A85C86" w14:paraId="344DA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28476" w14:textId="77777777" w:rsidR="00A85C86" w:rsidRPr="00A85C86" w:rsidRDefault="00A85C86" w:rsidP="00A85C86">
            <w:pPr>
              <w:rPr>
                <w:b/>
                <w:bCs/>
              </w:rPr>
            </w:pPr>
            <w:r w:rsidRPr="00A85C86">
              <w:rPr>
                <w:b/>
                <w:bCs/>
              </w:rPr>
              <w:lastRenderedPageBreak/>
              <w:t>Venue</w:t>
            </w:r>
          </w:p>
        </w:tc>
        <w:tc>
          <w:tcPr>
            <w:tcW w:w="0" w:type="auto"/>
            <w:vAlign w:val="center"/>
            <w:hideMark/>
          </w:tcPr>
          <w:p w14:paraId="5C005EBC" w14:textId="77777777" w:rsidR="00A85C86" w:rsidRPr="00A85C86" w:rsidRDefault="00A85C86" w:rsidP="00A85C86">
            <w:pPr>
              <w:rPr>
                <w:b/>
                <w:bCs/>
              </w:rPr>
            </w:pPr>
            <w:r w:rsidRPr="00A85C86">
              <w:rPr>
                <w:b/>
                <w:bCs/>
              </w:rPr>
              <w:t>Fit</w:t>
            </w:r>
          </w:p>
        </w:tc>
        <w:tc>
          <w:tcPr>
            <w:tcW w:w="0" w:type="auto"/>
            <w:vAlign w:val="center"/>
            <w:hideMark/>
          </w:tcPr>
          <w:p w14:paraId="153F3129" w14:textId="77777777" w:rsidR="00A85C86" w:rsidRPr="00A85C86" w:rsidRDefault="00A85C86" w:rsidP="00A85C86">
            <w:pPr>
              <w:rPr>
                <w:b/>
                <w:bCs/>
              </w:rPr>
            </w:pPr>
            <w:r w:rsidRPr="00A85C86">
              <w:rPr>
                <w:b/>
                <w:bCs/>
              </w:rPr>
              <w:t>Note</w:t>
            </w:r>
          </w:p>
        </w:tc>
      </w:tr>
      <w:tr w:rsidR="00A85C86" w:rsidRPr="00A85C86" w14:paraId="42CF0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C208" w14:textId="77777777" w:rsidR="00A85C86" w:rsidRPr="00A85C86" w:rsidRDefault="00A85C86" w:rsidP="00A85C86">
            <w:r w:rsidRPr="00A85C86">
              <w:t>IEEE AVSS / ICPR or FL workshops (now)</w:t>
            </w:r>
          </w:p>
        </w:tc>
        <w:tc>
          <w:tcPr>
            <w:tcW w:w="0" w:type="auto"/>
            <w:vAlign w:val="center"/>
            <w:hideMark/>
          </w:tcPr>
          <w:p w14:paraId="7CB66DDE" w14:textId="77777777" w:rsidR="00A85C86" w:rsidRPr="00A85C86" w:rsidRDefault="00A85C86" w:rsidP="00A85C86">
            <w:r w:rsidRPr="00A85C86">
              <w:t>Two-site federated VAD study is a good workshop paper</w:t>
            </w:r>
          </w:p>
        </w:tc>
        <w:tc>
          <w:tcPr>
            <w:tcW w:w="0" w:type="auto"/>
            <w:vAlign w:val="center"/>
            <w:hideMark/>
          </w:tcPr>
          <w:p w14:paraId="7DA1C9FE" w14:textId="77777777" w:rsidR="00A85C86" w:rsidRPr="00A85C86" w:rsidRDefault="00A85C86" w:rsidP="00A85C86">
            <w:r w:rsidRPr="00A85C86">
              <w:t>—</w:t>
            </w:r>
          </w:p>
        </w:tc>
      </w:tr>
      <w:tr w:rsidR="00A85C86" w:rsidRPr="00A85C86" w14:paraId="4E012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D1D5" w14:textId="77777777" w:rsidR="00A85C86" w:rsidRPr="00A85C86" w:rsidRDefault="00A85C86" w:rsidP="00A85C86">
            <w:r w:rsidRPr="00A85C86">
              <w:t>Journal of Imaging (MDPI)</w:t>
            </w:r>
          </w:p>
        </w:tc>
        <w:tc>
          <w:tcPr>
            <w:tcW w:w="0" w:type="auto"/>
            <w:vAlign w:val="center"/>
            <w:hideMark/>
          </w:tcPr>
          <w:p w14:paraId="44E78EC7" w14:textId="77777777" w:rsidR="00A85C86" w:rsidRPr="00A85C86" w:rsidRDefault="00A85C86" w:rsidP="00A85C86">
            <w:r w:rsidRPr="00A85C86">
              <w:t>VAD and surveillance studies</w:t>
            </w:r>
          </w:p>
        </w:tc>
        <w:tc>
          <w:tcPr>
            <w:tcW w:w="0" w:type="auto"/>
            <w:vAlign w:val="center"/>
            <w:hideMark/>
          </w:tcPr>
          <w:p w14:paraId="025D3D31" w14:textId="77777777" w:rsidR="00A85C86" w:rsidRPr="00A85C86" w:rsidRDefault="00A85C86" w:rsidP="00A85C86">
            <w:r w:rsidRPr="00A85C86">
              <w:t>Q2; OA, APC</w:t>
            </w:r>
          </w:p>
        </w:tc>
      </w:tr>
      <w:tr w:rsidR="00A85C86" w:rsidRPr="00A85C86" w14:paraId="3372E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46CA" w14:textId="77777777" w:rsidR="00A85C86" w:rsidRPr="00A85C86" w:rsidRDefault="00A85C86" w:rsidP="00A85C86">
            <w:r w:rsidRPr="00A85C86">
              <w:t>Multimedia Tools and Applications (Springer)</w:t>
            </w:r>
          </w:p>
        </w:tc>
        <w:tc>
          <w:tcPr>
            <w:tcW w:w="0" w:type="auto"/>
            <w:vAlign w:val="center"/>
            <w:hideMark/>
          </w:tcPr>
          <w:p w14:paraId="7E037FE2" w14:textId="77777777" w:rsidR="00A85C86" w:rsidRPr="00A85C86" w:rsidRDefault="00A85C86" w:rsidP="00A85C86">
            <w:r w:rsidRPr="00A85C86">
              <w:t>VAD common; benchmarks accepted</w:t>
            </w:r>
          </w:p>
        </w:tc>
        <w:tc>
          <w:tcPr>
            <w:tcW w:w="0" w:type="auto"/>
            <w:vAlign w:val="center"/>
            <w:hideMark/>
          </w:tcPr>
          <w:p w14:paraId="674DEC66" w14:textId="77777777" w:rsidR="00A85C86" w:rsidRPr="00A85C86" w:rsidRDefault="00A85C86" w:rsidP="00A85C86">
            <w:r w:rsidRPr="00A85C86">
              <w:t>Q2; hybrid</w:t>
            </w:r>
          </w:p>
        </w:tc>
      </w:tr>
      <w:tr w:rsidR="00A85C86" w:rsidRPr="00A85C86" w14:paraId="13198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C19F" w14:textId="77777777" w:rsidR="00A85C86" w:rsidRPr="00A85C86" w:rsidRDefault="00A85C86" w:rsidP="00A85C86">
            <w:r w:rsidRPr="00A85C86">
              <w:t>Signal, Image and Video Processing (Springer)</w:t>
            </w:r>
          </w:p>
        </w:tc>
        <w:tc>
          <w:tcPr>
            <w:tcW w:w="0" w:type="auto"/>
            <w:vAlign w:val="center"/>
            <w:hideMark/>
          </w:tcPr>
          <w:p w14:paraId="6ED6C98D" w14:textId="77777777" w:rsidR="00A85C86" w:rsidRPr="00A85C86" w:rsidRDefault="00A85C86" w:rsidP="00A85C86">
            <w:r w:rsidRPr="00A85C86">
              <w:t>Video analytics methods</w:t>
            </w:r>
          </w:p>
        </w:tc>
        <w:tc>
          <w:tcPr>
            <w:tcW w:w="0" w:type="auto"/>
            <w:vAlign w:val="center"/>
            <w:hideMark/>
          </w:tcPr>
          <w:p w14:paraId="40FF096E" w14:textId="77777777" w:rsidR="00A85C86" w:rsidRPr="00A85C86" w:rsidRDefault="00A85C86" w:rsidP="00A85C86">
            <w:r w:rsidRPr="00A85C86">
              <w:t>Q2; hybrid</w:t>
            </w:r>
          </w:p>
        </w:tc>
      </w:tr>
      <w:tr w:rsidR="00A85C86" w:rsidRPr="00A85C86" w14:paraId="42496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1DC5" w14:textId="77777777" w:rsidR="00A85C86" w:rsidRPr="00A85C86" w:rsidRDefault="00A85C86" w:rsidP="00A85C86">
            <w:r w:rsidRPr="00A85C86">
              <w:t>Sensors (MDPI)</w:t>
            </w:r>
          </w:p>
        </w:tc>
        <w:tc>
          <w:tcPr>
            <w:tcW w:w="0" w:type="auto"/>
            <w:vAlign w:val="center"/>
            <w:hideMark/>
          </w:tcPr>
          <w:p w14:paraId="3CA7E542" w14:textId="77777777" w:rsidR="00A85C86" w:rsidRPr="00A85C86" w:rsidRDefault="00A85C86" w:rsidP="00A85C86">
            <w:r w:rsidRPr="00A85C86">
              <w:t>Edge/camera networks, FL</w:t>
            </w:r>
          </w:p>
        </w:tc>
        <w:tc>
          <w:tcPr>
            <w:tcW w:w="0" w:type="auto"/>
            <w:vAlign w:val="center"/>
            <w:hideMark/>
          </w:tcPr>
          <w:p w14:paraId="1012F4E3" w14:textId="77777777" w:rsidR="00A85C86" w:rsidRPr="00A85C86" w:rsidRDefault="00A85C86" w:rsidP="00A85C86">
            <w:r w:rsidRPr="00A85C86">
              <w:t>Q2; APC ≈ CHF 2,600</w:t>
            </w:r>
          </w:p>
        </w:tc>
      </w:tr>
      <w:tr w:rsidR="00A85C86" w:rsidRPr="00A85C86" w14:paraId="71ADB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8DD1E" w14:textId="77777777" w:rsidR="00A85C86" w:rsidRPr="00A85C86" w:rsidRDefault="00A85C86" w:rsidP="00A85C86">
            <w:r w:rsidRPr="00A85C86">
              <w:t>Internet of Things (Elsevier)</w:t>
            </w:r>
          </w:p>
        </w:tc>
        <w:tc>
          <w:tcPr>
            <w:tcW w:w="0" w:type="auto"/>
            <w:vAlign w:val="center"/>
            <w:hideMark/>
          </w:tcPr>
          <w:p w14:paraId="1E878E1C" w14:textId="77777777" w:rsidR="00A85C86" w:rsidRPr="00A85C86" w:rsidRDefault="00A85C86" w:rsidP="00A85C86">
            <w:r w:rsidRPr="00A85C86">
              <w:t>FL on edge cameras — after #1, #5, #6</w:t>
            </w:r>
          </w:p>
        </w:tc>
        <w:tc>
          <w:tcPr>
            <w:tcW w:w="0" w:type="auto"/>
            <w:vAlign w:val="center"/>
            <w:hideMark/>
          </w:tcPr>
          <w:p w14:paraId="51638337" w14:textId="77777777" w:rsidR="00A85C86" w:rsidRPr="00A85C86" w:rsidRDefault="00A85C86" w:rsidP="00A85C86">
            <w:r w:rsidRPr="00A85C86">
              <w:t>Q1; hybrid</w:t>
            </w:r>
          </w:p>
        </w:tc>
      </w:tr>
      <w:tr w:rsidR="00A85C86" w:rsidRPr="00A85C86" w14:paraId="62FC8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F72B" w14:textId="77777777" w:rsidR="00A85C86" w:rsidRPr="00A85C86" w:rsidRDefault="00A85C86" w:rsidP="00A85C86">
            <w:r w:rsidRPr="00A85C86">
              <w:t>Journal of Visual Communication and Image Representation</w:t>
            </w:r>
          </w:p>
        </w:tc>
        <w:tc>
          <w:tcPr>
            <w:tcW w:w="0" w:type="auto"/>
            <w:vAlign w:val="center"/>
            <w:hideMark/>
          </w:tcPr>
          <w:p w14:paraId="24A5FA79" w14:textId="77777777" w:rsidR="00A85C86" w:rsidRPr="00A85C86" w:rsidRDefault="00A85C86" w:rsidP="00A85C86">
            <w:r w:rsidRPr="00A85C86">
              <w:t>After #1–#2</w:t>
            </w:r>
          </w:p>
        </w:tc>
        <w:tc>
          <w:tcPr>
            <w:tcW w:w="0" w:type="auto"/>
            <w:vAlign w:val="center"/>
            <w:hideMark/>
          </w:tcPr>
          <w:p w14:paraId="0E86C33C" w14:textId="77777777" w:rsidR="00A85C86" w:rsidRPr="00A85C86" w:rsidRDefault="00A85C86" w:rsidP="00A85C86">
            <w:r w:rsidRPr="00A85C86">
              <w:t>Q1–Q2; hybrid</w:t>
            </w:r>
          </w:p>
        </w:tc>
      </w:tr>
      <w:tr w:rsidR="00A85C86" w:rsidRPr="00A85C86" w14:paraId="1B9F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6B77" w14:textId="77777777" w:rsidR="00A85C86" w:rsidRPr="00A85C86" w:rsidRDefault="00A85C86" w:rsidP="00A85C86">
            <w:r w:rsidRPr="00A85C86">
              <w:t>IEEE Access</w:t>
            </w:r>
          </w:p>
        </w:tc>
        <w:tc>
          <w:tcPr>
            <w:tcW w:w="0" w:type="auto"/>
            <w:vAlign w:val="center"/>
            <w:hideMark/>
          </w:tcPr>
          <w:p w14:paraId="4DB273FE" w14:textId="77777777" w:rsidR="00A85C86" w:rsidRPr="00A85C86" w:rsidRDefault="00A85C86" w:rsidP="00A85C86">
            <w:r w:rsidRPr="00A85C86">
              <w:t>Broad</w:t>
            </w:r>
          </w:p>
        </w:tc>
        <w:tc>
          <w:tcPr>
            <w:tcW w:w="0" w:type="auto"/>
            <w:vAlign w:val="center"/>
            <w:hideMark/>
          </w:tcPr>
          <w:p w14:paraId="5218C737" w14:textId="77777777" w:rsidR="00A85C86" w:rsidRPr="00A85C86" w:rsidRDefault="00A85C86" w:rsidP="00A85C86">
            <w:r w:rsidRPr="00A85C86">
              <w:t>Q1–Q2; APC ≈ USD 2,000</w:t>
            </w:r>
          </w:p>
        </w:tc>
      </w:tr>
    </w:tbl>
    <w:p w14:paraId="49E1FBD9" w14:textId="77777777" w:rsidR="00C75883" w:rsidRDefault="00C75883"/>
    <w:sectPr w:rsidR="00C75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86"/>
    <w:rsid w:val="00071CBB"/>
    <w:rsid w:val="00A85C86"/>
    <w:rsid w:val="00B700F3"/>
    <w:rsid w:val="00C7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F26D"/>
  <w15:chartTrackingRefBased/>
  <w15:docId w15:val="{7F9B789B-616A-40EE-926B-912E62FC5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DrKalaavathi Buvaneshwaran</dc:creator>
  <cp:keywords/>
  <dc:description/>
  <cp:lastModifiedBy>DrKalaavathi Buvaneshwaran</cp:lastModifiedBy>
  <cp:revision>1</cp:revision>
  <dcterms:created xsi:type="dcterms:W3CDTF">2026-10-24T13:17:00Z</dcterms:created>
  <dcterms:modified xsi:type="dcterms:W3CDTF">2026-10-24T13:18:00Z</dcterms:modified>
</cp:coreProperties>
</file>