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ind/>
        <w:jc w:val="center"/>
        <w:rPr/>
      </w:pPr>
      <w:r>
        <w:rPr>
          <w:b/>
          <w:bCs/>
          <w:color w:val="1f4e79"/>
          <w:sz w:val="36"/>
          <w:szCs w:val="36"/>
        </w:rPr>
        <w:t xml:space="preserve">Smart Cascading Risk Prediction for Data Center Monitoring</w:t>
      </w:r>
      <w:r/>
    </w:p>
    <w:p>
      <w:pPr>
        <w:pBdr/>
        <w:spacing w:after="120"/>
        <w:ind/>
        <w:jc w:val="center"/>
        <w:rPr/>
      </w:pPr>
      <w:r>
        <w:rPr>
          <w:i/>
          <w:iCs/>
          <w:color w:val="555555"/>
          <w:sz w:val="22"/>
          <w:szCs w:val="22"/>
        </w:rPr>
        <w:t xml:space="preserve">On-site anomaly detection and short-term fault-risk forecasting</w:t>
      </w:r>
      <w:r/>
    </w:p>
    <w:p>
      <w:pPr>
        <w:pBdr>
          <w:bottom w:val="single" w:color="1f4e79" w:sz="6" w:space="8"/>
        </w:pBdr>
        <w:spacing w:after="240"/>
        <w:ind/>
        <w:jc w:val="center"/>
        <w:rPr/>
      </w:pPr>
      <w:r>
        <w:rPr>
          <w:sz w:val="22"/>
          <w:szCs w:val="22"/>
        </w:rPr>
        <w:t xml:space="preserve">Nishant Ajit (23BCT0097)   ·   Vishnu Charan (23BCT0081)</w:t>
      </w:r>
      <w:r/>
    </w:p>
    <w:p>
      <w:pPr>
        <w:pStyle w:val="752"/>
        <w:pBdr/>
        <w:spacing/>
        <w:ind/>
        <w:rPr/>
      </w:pPr>
      <w:r>
        <w:t xml:space="preserve">Abstract</w:t>
      </w:r>
      <w:r/>
    </w:p>
    <w:p>
      <w:pPr>
        <w:pBdr/>
        <w:spacing w:after="120" w:line="276" w:lineRule="auto"/>
        <w:ind/>
        <w:jc w:val="both"/>
        <w:rPr/>
      </w:pPr>
      <w:r>
        <w:t xml:space="preserve">Server rooms need early warning before temperature, humidity or air quality reach unsafe levels, but most IoT monitors only alert after a fixed limit is crossed. This project builds a predictive monitor. An ESP32-S3 node strea</w:t>
      </w:r>
      <w:r>
        <w:t xml:space="preserve">ms temperature, humidity and eCO2 to a local server, which looks at the level, spread and trend of the last five readings. An Isolation Forest flags abnormal behaviour, a fault-attribution step names the likely cause (thermal, ventilation, dust or sensor),</w:t>
      </w:r>
      <w:r>
        <w:t xml:space="preserve"> and a Markov chain estimates the risk of a fault 10, 15 and 30 minutes ahead. Results stream live to a web dashboard. On data it had not seen, the detector caught 92% of planted faults and outperformed a standard z-score check (ROC-AUC 0.80 against 0.71).</w:t>
      </w:r>
      <w:r/>
    </w:p>
    <w:p>
      <w:pPr>
        <w:pStyle w:val="752"/>
        <w:pBdr/>
        <w:spacing/>
        <w:ind/>
        <w:rPr/>
      </w:pPr>
      <w:r>
        <w:t xml:space="preserve">1. Novelty</w:t>
      </w:r>
      <w:r/>
    </w:p>
    <w:p>
      <w:pPr>
        <w:keepNext w:val="true"/>
        <w:pBdr/>
        <w:spacing w:before="120"/>
        <w:ind/>
        <w:jc w:val="center"/>
        <w:rPr/>
      </w:pPr>
      <w:r>
        <mc:AlternateContent>
          <mc:Choice Requires="wpg">
            <w:drawing>
              <wp:inline xmlns:wp="http://schemas.openxmlformats.org/drawingml/2006/wordprocessingDrawing" distT="0" distB="0" distL="0" distR="0">
                <wp:extent cx="5143500" cy="14954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0"/>
                        <a:stretch/>
                      </pic:blipFill>
                      <pic:spPr bwMode="auto">
                        <a:xfrm>
                          <a:off x="0" y="0"/>
                          <a:ext cx="5143500" cy="1495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05.00pt;height:117.75pt;mso-wrap-distance-left:0.00pt;mso-wrap-distance-top:0.00pt;mso-wrap-distance-right:0.00pt;mso-wrap-distance-bottom:0.00pt;z-index:1;" stroked="false">
                <v:imagedata r:id="rId10" o:title=""/>
                <o:lock v:ext="edit" rotation="t"/>
              </v:shape>
            </w:pict>
          </mc:Fallback>
        </mc:AlternateContent>
      </w:r>
      <w:r/>
    </w:p>
    <w:p>
      <w:pPr>
        <w:pBdr/>
        <w:spacing w:after="240" w:before="60"/>
        <w:ind/>
        <w:jc w:val="center"/>
        <w:rPr/>
      </w:pPr>
      <w:r>
        <w:rPr>
          <w:i/>
          <w:iCs/>
          <w:color w:val="444444"/>
          <w:sz w:val="19"/>
          <w:szCs w:val="19"/>
        </w:rPr>
        <w:t xml:space="preserve">Figure 1. Reactive threshold monitoring compared with the cascading prediction in this project.</w:t>
      </w:r>
      <w:r/>
    </w:p>
    <w:p>
      <w:pPr>
        <w:pBdr/>
        <w:spacing w:after="120" w:line="276" w:lineRule="auto"/>
        <w:ind/>
        <w:jc w:val="both"/>
        <w:rPr/>
      </w:pPr>
      <w:r>
        <w:t xml:space="preserve">The principal contribution of this work is a cascaded predicti</w:t>
      </w:r>
      <w:r>
        <w:t xml:space="preserve">on scheme. The anomaly probability produced by the detector is converted into a distribution over fault types and then propagated forward in time with a Markov chain, giving fault-risk estimates at 10, 15 and 30 minutes instead of a single threshold alert.</w:t>
      </w:r>
      <w:r/>
    </w:p>
    <w:p>
      <w:pPr>
        <w:pBdr/>
        <w:spacing w:after="120" w:line="276" w:lineRule="auto"/>
        <w:ind/>
        <w:jc w:val="both"/>
        <w:rPr/>
      </w:pPr>
      <w:r>
        <w:t xml:space="preserve">Three further aspects distinguish the system. Windowed trend features (mean, standard deviation and slope) allow gradual drift to be detected, which per-reading thresholds largely miss (ROC-AUC 0.8</w:t>
      </w:r>
      <w:r>
        <w:t xml:space="preserve">0 against 0.65). All inference runs on a local server, so operation does not depend on internet connectivity. Finally, since labelled fault data is unavailable, the system is evaluated with planted faults and baseline comparisons.</w:t>
      </w:r>
      <w:r/>
    </w:p>
    <w:p>
      <w:pPr>
        <w:pStyle w:val="752"/>
        <w:pBdr/>
        <w:spacing/>
        <w:ind/>
        <w:rPr/>
      </w:pPr>
      <w:r>
        <w:t xml:space="preserve">2. Literature Review</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3700"/>
        <w:gridCol w:w="2726"/>
      </w:tblGrid>
      <w:tr>
        <w:trPr>
          <w:tblHeader/>
        </w:trPr>
        <w:tc>
          <w:tcPr>
            <w:shd w:val="clear" w:color="auto" w:fill="1f4e79"/>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600" w:type="dxa"/>
            <w:textDirection w:val="lrTb"/>
            <w:noWrap w:val="false"/>
          </w:tcPr>
          <w:p>
            <w:pPr>
              <w:keepNext w:val="true"/>
              <w:pBdr/>
              <w:spacing/>
              <w:ind/>
              <w:jc w:val="left"/>
              <w:rPr/>
            </w:pPr>
            <w:r>
              <w:rPr>
                <w:b/>
                <w:bCs/>
                <w:color w:val="ffffff"/>
                <w:sz w:val="19"/>
                <w:szCs w:val="19"/>
              </w:rPr>
              <w:t xml:space="preserve">Work</w:t>
            </w:r>
            <w:r/>
          </w:p>
        </w:tc>
        <w:tc>
          <w:tcPr>
            <w:shd w:val="clear" w:color="auto" w:fill="1f4e79"/>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3700" w:type="dxa"/>
            <w:textDirection w:val="lrTb"/>
            <w:noWrap w:val="false"/>
          </w:tcPr>
          <w:p>
            <w:pPr>
              <w:keepNext w:val="true"/>
              <w:pBdr/>
              <w:spacing/>
              <w:ind/>
              <w:jc w:val="left"/>
              <w:rPr/>
            </w:pPr>
            <w:r>
              <w:rPr>
                <w:b/>
                <w:bCs/>
                <w:color w:val="ffffff"/>
                <w:sz w:val="19"/>
                <w:szCs w:val="19"/>
              </w:rPr>
              <w:t xml:space="preserve">Focus</w:t>
            </w:r>
            <w:r/>
          </w:p>
        </w:tc>
        <w:tc>
          <w:tcPr>
            <w:shd w:val="clear" w:color="auto" w:fill="1f4e79"/>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726" w:type="dxa"/>
            <w:textDirection w:val="lrTb"/>
            <w:noWrap w:val="false"/>
          </w:tcPr>
          <w:p>
            <w:pPr>
              <w:keepNext w:val="true"/>
              <w:pBdr/>
              <w:spacing/>
              <w:ind/>
              <w:jc w:val="left"/>
              <w:rPr/>
            </w:pPr>
            <w:r>
              <w:rPr>
                <w:b/>
                <w:bCs/>
                <w:color w:val="ffffff"/>
                <w:sz w:val="19"/>
                <w:szCs w:val="19"/>
              </w:rPr>
              <w:t xml:space="preserve">Gap</w:t>
            </w:r>
            <w:r/>
          </w:p>
        </w:tc>
      </w:tr>
      <w:tr>
        <w:trPr/>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600" w:type="dxa"/>
            <w:textDirection w:val="lrTb"/>
            <w:noWrap w:val="false"/>
          </w:tcPr>
          <w:p>
            <w:pPr>
              <w:keepNext w:val="true"/>
              <w:pBdr/>
              <w:spacing/>
              <w:ind/>
              <w:jc w:val="left"/>
              <w:rPr/>
            </w:pPr>
            <w:r>
              <w:rPr>
                <w:sz w:val="19"/>
                <w:szCs w:val="19"/>
              </w:rPr>
              <w:t xml:space="preserve">Onibonoje et al., 2019</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3700" w:type="dxa"/>
            <w:textDirection w:val="lrTb"/>
            <w:noWrap w:val="false"/>
          </w:tcPr>
          <w:p>
            <w:pPr>
              <w:keepNext w:val="true"/>
              <w:pBdr/>
              <w:spacing/>
              <w:ind/>
              <w:jc w:val="left"/>
              <w:rPr/>
            </w:pPr>
            <w:r>
              <w:rPr>
                <w:sz w:val="19"/>
                <w:szCs w:val="19"/>
              </w:rPr>
              <w:t xml:space="preserve">Cloud-based server-room monitoring and control</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726" w:type="dxa"/>
            <w:textDirection w:val="lrTb"/>
            <w:noWrap w:val="false"/>
          </w:tcPr>
          <w:p>
            <w:pPr>
              <w:keepNext w:val="true"/>
              <w:pBdr/>
              <w:spacing/>
              <w:ind/>
              <w:jc w:val="left"/>
              <w:rPr/>
            </w:pPr>
            <w:r>
              <w:rPr>
                <w:sz w:val="19"/>
                <w:szCs w:val="19"/>
              </w:rPr>
              <w:t xml:space="preserve">Reactive; needs internet</w:t>
            </w:r>
            <w:r/>
          </w:p>
        </w:tc>
      </w:tr>
      <w:tr>
        <w:trPr/>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600" w:type="dxa"/>
            <w:textDirection w:val="lrTb"/>
            <w:noWrap w:val="false"/>
          </w:tcPr>
          <w:p>
            <w:pPr>
              <w:keepNext w:val="true"/>
              <w:pBdr/>
              <w:spacing/>
              <w:ind/>
              <w:jc w:val="left"/>
              <w:rPr/>
            </w:pPr>
            <w:r>
              <w:rPr>
                <w:sz w:val="19"/>
                <w:szCs w:val="19"/>
              </w:rPr>
              <w:t xml:space="preserve">Widodo et al., 2022</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3700" w:type="dxa"/>
            <w:textDirection w:val="lrTb"/>
            <w:noWrap w:val="false"/>
          </w:tcPr>
          <w:p>
            <w:pPr>
              <w:keepNext w:val="true"/>
              <w:pBdr/>
              <w:spacing/>
              <w:ind/>
              <w:jc w:val="left"/>
              <w:rPr/>
            </w:pPr>
            <w:r>
              <w:rPr>
                <w:sz w:val="19"/>
                <w:szCs w:val="19"/>
              </w:rPr>
              <w:t xml:space="preserve">Fuzzy-logic temperature and humidity control</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726" w:type="dxa"/>
            <w:textDirection w:val="lrTb"/>
            <w:noWrap w:val="false"/>
          </w:tcPr>
          <w:p>
            <w:pPr>
              <w:keepNext w:val="true"/>
              <w:pBdr/>
              <w:spacing/>
              <w:ind/>
              <w:jc w:val="left"/>
              <w:rPr/>
            </w:pPr>
            <w:r>
              <w:rPr>
                <w:sz w:val="19"/>
                <w:szCs w:val="19"/>
              </w:rPr>
              <w:t xml:space="preserve">No failure prediction</w:t>
            </w:r>
            <w:r/>
          </w:p>
        </w:tc>
      </w:tr>
      <w:tr>
        <w:trPr/>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600" w:type="dxa"/>
            <w:textDirection w:val="lrTb"/>
            <w:noWrap w:val="false"/>
          </w:tcPr>
          <w:p>
            <w:pPr>
              <w:keepNext w:val="true"/>
              <w:pBdr/>
              <w:spacing/>
              <w:ind/>
              <w:jc w:val="left"/>
              <w:rPr/>
            </w:pPr>
            <w:r>
              <w:rPr>
                <w:sz w:val="19"/>
                <w:szCs w:val="19"/>
              </w:rPr>
              <w:t xml:space="preserve">Tishan, Ashly et al., 2023</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3700" w:type="dxa"/>
            <w:textDirection w:val="lrTb"/>
            <w:noWrap w:val="false"/>
          </w:tcPr>
          <w:p>
            <w:pPr>
              <w:keepNext w:val="true"/>
              <w:pBdr/>
              <w:spacing/>
              <w:ind/>
              <w:jc w:val="left"/>
              <w:rPr/>
            </w:pPr>
            <w:r>
              <w:rPr>
                <w:sz w:val="19"/>
                <w:szCs w:val="19"/>
              </w:rPr>
              <w:t xml:space="preserve">Server-room monitoring with instant alerts</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726" w:type="dxa"/>
            <w:textDirection w:val="lrTb"/>
            <w:noWrap w:val="false"/>
          </w:tcPr>
          <w:p>
            <w:pPr>
              <w:keepNext w:val="true"/>
              <w:pBdr/>
              <w:spacing/>
              <w:ind/>
              <w:jc w:val="left"/>
              <w:rPr/>
            </w:pPr>
            <w:r>
              <w:rPr>
                <w:sz w:val="19"/>
                <w:szCs w:val="19"/>
              </w:rPr>
              <w:t xml:space="preserve">Limited prediction</w:t>
            </w:r>
            <w:r/>
          </w:p>
        </w:tc>
      </w:tr>
      <w:tr>
        <w:trPr/>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600" w:type="dxa"/>
            <w:textDirection w:val="lrTb"/>
            <w:noWrap w:val="false"/>
          </w:tcPr>
          <w:p>
            <w:pPr>
              <w:keepNext w:val="true"/>
              <w:pBdr/>
              <w:spacing/>
              <w:ind/>
              <w:jc w:val="left"/>
              <w:rPr/>
            </w:pPr>
            <w:r>
              <w:rPr>
                <w:sz w:val="19"/>
                <w:szCs w:val="19"/>
              </w:rPr>
              <w:t xml:space="preserve">Liu, Ting &amp; Zhou, 2008</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3700" w:type="dxa"/>
            <w:textDirection w:val="lrTb"/>
            <w:noWrap w:val="false"/>
          </w:tcPr>
          <w:p>
            <w:pPr>
              <w:keepNext w:val="true"/>
              <w:pBdr/>
              <w:spacing/>
              <w:ind/>
              <w:jc w:val="left"/>
              <w:rPr/>
            </w:pPr>
            <w:r>
              <w:rPr>
                <w:sz w:val="19"/>
                <w:szCs w:val="19"/>
              </w:rPr>
              <w:t xml:space="preserve">Isolation Forest anomaly detection</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726" w:type="dxa"/>
            <w:textDirection w:val="lrTb"/>
            <w:noWrap w:val="false"/>
          </w:tcPr>
          <w:p>
            <w:pPr>
              <w:keepNext w:val="true"/>
              <w:pBdr/>
              <w:spacing/>
              <w:ind/>
              <w:jc w:val="left"/>
              <w:rPr/>
            </w:pPr>
            <w:r>
              <w:rPr>
                <w:sz w:val="19"/>
                <w:szCs w:val="19"/>
              </w:rPr>
              <w:t xml:space="preserve">No fault type or time horizon</w:t>
            </w:r>
            <w:r/>
          </w:p>
        </w:tc>
      </w:tr>
    </w:tbl>
    <w:p>
      <w:pPr>
        <w:pBdr/>
        <w:spacing w:after="240" w:before="60"/>
        <w:ind/>
        <w:jc w:val="center"/>
        <w:rPr/>
      </w:pPr>
      <w:r>
        <w:rPr>
          <w:i/>
          <w:iCs/>
          <w:color w:val="444444"/>
          <w:sz w:val="19"/>
          <w:szCs w:val="19"/>
        </w:rPr>
        <w:t xml:space="preserve">Table 1. Related work.</w:t>
      </w:r>
      <w:r/>
    </w:p>
    <w:p>
      <w:pPr>
        <w:pBdr/>
        <w:spacing w:after="120" w:line="276" w:lineRule="auto"/>
        <w:ind/>
        <w:jc w:val="both"/>
        <w:rPr/>
      </w:pPr>
      <w:r>
        <w:t xml:space="preserve">None of these systems combines detection, fault attribution and time-horizon forecasting on a local server.</w:t>
      </w:r>
      <w:r/>
    </w:p>
    <w:p>
      <w:pPr>
        <w:pStyle w:val="753"/>
        <w:pBdr/>
        <w:spacing/>
        <w:ind/>
        <w:rPr/>
      </w:pPr>
      <w:r>
        <w:t xml:space="preserve">2.1 How the dataset is used</w:t>
      </w:r>
      <w:r/>
    </w:p>
    <w:p>
      <w:pPr>
        <w:keepNext w:val="true"/>
        <w:pBdr/>
        <w:spacing w:before="120"/>
        <w:ind/>
        <w:jc w:val="center"/>
        <w:rPr/>
      </w:pPr>
      <w:r>
        <mc:AlternateContent>
          <mc:Choice Requires="wpg">
            <w:drawing>
              <wp:inline xmlns:wp="http://schemas.openxmlformats.org/drawingml/2006/wordprocessingDrawing" distT="0" distB="0" distL="0" distR="0">
                <wp:extent cx="4762500" cy="204787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4762500" cy="2047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75.00pt;height:161.25pt;mso-wrap-distance-left:0.00pt;mso-wrap-distance-top:0.00pt;mso-wrap-distance-right:0.00pt;mso-wrap-distance-bottom:0.00pt;z-index:1;" stroked="false">
                <v:imagedata r:id="rId11" o:title=""/>
                <o:lock v:ext="edit" rotation="t"/>
              </v:shape>
            </w:pict>
          </mc:Fallback>
        </mc:AlternateContent>
      </w:r>
      <w:r/>
    </w:p>
    <w:p>
      <w:pPr>
        <w:pBdr/>
        <w:spacing w:after="240" w:before="60"/>
        <w:ind/>
        <w:jc w:val="center"/>
        <w:rPr/>
      </w:pPr>
      <w:r>
        <w:rPr>
          <w:i/>
          <w:iCs/>
          <w:color w:val="444444"/>
          <w:sz w:val="19"/>
          <w:szCs w:val="19"/>
        </w:rPr>
        <w:t xml:space="preserve">Figure 2. One raw dataset, four separate uses.</w:t>
      </w:r>
      <w:r/>
    </w:p>
    <w:p>
      <w:pPr>
        <w:pBdr/>
        <w:spacing w:after="120" w:line="276" w:lineRule="auto"/>
        <w:ind/>
        <w:jc w:val="both"/>
        <w:rPr/>
      </w:pPr>
      <w:r>
        <w:t xml:space="preserve">The dataset contains only raw sensor readings, with no faults or labels. The proj</w:t>
      </w:r>
      <w:r>
        <w:t xml:space="preserve">ect derives four new things from it: a normal baseline, a trained detector, a matrix of how the system moves between states, and a test bed with planted faults. None of these exist in the data itself; the combination is what turns readings into a forecast.</w:t>
      </w:r>
      <w:r/>
    </w:p>
    <w:p>
      <w:pPr>
        <w:pStyle w:val="752"/>
        <w:pBdr/>
        <w:spacing/>
        <w:ind/>
        <w:rPr/>
      </w:pPr>
      <w:r>
        <w:t xml:space="preserve">3. System Architecture</w:t>
      </w:r>
      <w:r/>
    </w:p>
    <w:p>
      <w:pPr>
        <w:keepNext w:val="true"/>
        <w:pBdr/>
        <w:spacing w:before="120"/>
        <w:ind/>
        <w:jc w:val="center"/>
        <w:rPr/>
      </w:pPr>
      <w:r>
        <mc:AlternateContent>
          <mc:Choice Requires="wpg">
            <w:drawing>
              <wp:inline xmlns:wp="http://schemas.openxmlformats.org/drawingml/2006/wordprocessingDrawing" distT="0" distB="0" distL="0" distR="0">
                <wp:extent cx="3810000" cy="28194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3810000" cy="2819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00.00pt;height:222.00pt;mso-wrap-distance-left:0.00pt;mso-wrap-distance-top:0.00pt;mso-wrap-distance-right:0.00pt;mso-wrap-distance-bottom:0.00pt;z-index:1;" stroked="false">
                <v:imagedata r:id="rId12" o:title=""/>
                <o:lock v:ext="edit" rotation="t"/>
              </v:shape>
            </w:pict>
          </mc:Fallback>
        </mc:AlternateContent>
      </w:r>
      <w:r/>
    </w:p>
    <w:p>
      <w:pPr>
        <w:pBdr/>
        <w:spacing w:after="240" w:before="60"/>
        <w:ind/>
        <w:jc w:val="center"/>
        <w:rPr/>
      </w:pPr>
      <w:r>
        <w:rPr>
          <w:i/>
          <w:iCs/>
          <w:color w:val="444444"/>
          <w:sz w:val="19"/>
          <w:szCs w:val="19"/>
        </w:rPr>
        <w:t xml:space="preserve">Figure 3. System architecture.</w:t>
      </w:r>
      <w:r/>
    </w:p>
    <w:p>
      <w:pPr>
        <w:pStyle w:val="752"/>
        <w:pBdr/>
        <w:spacing/>
        <w:ind/>
        <w:rPr/>
      </w:pPr>
      <w:r>
        <w:t xml:space="preserve">4. Interfacing Diagram</w:t>
      </w:r>
      <w:r/>
    </w:p>
    <w:p>
      <w:pPr>
        <w:keepNext w:val="true"/>
        <w:pBdr/>
        <w:spacing w:before="120"/>
        <w:ind/>
        <w:jc w:val="center"/>
        <w:rPr/>
      </w:pPr>
      <w:r>
        <mc:AlternateContent>
          <mc:Choice Requires="wpg">
            <w:drawing>
              <wp:inline xmlns:wp="http://schemas.openxmlformats.org/drawingml/2006/wordprocessingDrawing" distT="0" distB="0" distL="0" distR="0">
                <wp:extent cx="4381500" cy="32766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4381500" cy="3276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45.00pt;height:258.00pt;mso-wrap-distance-left:0.00pt;mso-wrap-distance-top:0.00pt;mso-wrap-distance-right:0.00pt;mso-wrap-distance-bottom:0.00pt;z-index:1;" stroked="false">
                <v:imagedata r:id="rId13" o:title=""/>
                <o:lock v:ext="edit" rotation="t"/>
              </v:shape>
            </w:pict>
          </mc:Fallback>
        </mc:AlternateContent>
      </w:r>
      <w:r/>
    </w:p>
    <w:p>
      <w:pPr>
        <w:pBdr/>
        <w:spacing w:after="240" w:before="60"/>
        <w:ind/>
        <w:jc w:val="center"/>
        <w:rPr/>
      </w:pPr>
      <w:r>
        <w:rPr>
          <w:i/>
          <w:iCs/>
          <w:color w:val="444444"/>
          <w:sz w:val="19"/>
          <w:szCs w:val="19"/>
        </w:rPr>
        <w:t xml:space="preserve">Figure 4. Hardware and software interfaces.</w:t>
      </w:r>
      <w:r/>
    </w:p>
    <w:p>
      <w:pPr>
        <w:pBdr/>
        <w:spacing w:after="120" w:line="276" w:lineRule="auto"/>
        <w:ind/>
        <w:jc w:val="both"/>
        <w:rPr/>
      </w:pPr>
      <w:r>
        <w:rPr>
          <w:i/>
          <w:iCs/>
          <w:sz w:val="19"/>
          <w:szCs w:val="19"/>
        </w:rPr>
        <w:t xml:space="preserve">The prototype has no dust sensor yet, so the server substitutes a typical value for the dust channel.</w:t>
      </w:r>
      <w:r/>
    </w:p>
    <w:p>
      <w:pPr>
        <w:pStyle w:val="752"/>
        <w:pBdr/>
        <w:spacing/>
        <w:ind/>
        <w:rPr/>
      </w:pPr>
      <w:r>
        <w:t xml:space="preserve">5. Processing Pipeline</w:t>
      </w:r>
      <w:r/>
    </w:p>
    <w:p>
      <w:pPr>
        <w:keepNext w:val="true"/>
        <w:pBdr/>
        <w:spacing w:before="120"/>
        <w:ind/>
        <w:jc w:val="center"/>
        <w:rPr/>
      </w:pPr>
      <w:r>
        <mc:AlternateContent>
          <mc:Choice Requires="wpg">
            <w:drawing>
              <wp:inline xmlns:wp="http://schemas.openxmlformats.org/drawingml/2006/wordprocessingDrawing" distT="0" distB="0" distL="0" distR="0">
                <wp:extent cx="5715000" cy="13335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5715000" cy="1333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0.00pt;height:105.00pt;mso-wrap-distance-left:0.00pt;mso-wrap-distance-top:0.00pt;mso-wrap-distance-right:0.00pt;mso-wrap-distance-bottom:0.00pt;z-index:1;" stroked="false">
                <v:imagedata r:id="rId14" o:title=""/>
                <o:lock v:ext="edit" rotation="t"/>
              </v:shape>
            </w:pict>
          </mc:Fallback>
        </mc:AlternateContent>
      </w:r>
      <w:r/>
    </w:p>
    <w:p>
      <w:pPr>
        <w:pBdr/>
        <w:spacing w:after="240" w:before="60"/>
        <w:ind/>
        <w:jc w:val="center"/>
        <w:rPr/>
      </w:pPr>
      <w:r>
        <w:rPr>
          <w:i/>
          <w:iCs/>
          <w:color w:val="444444"/>
          <w:sz w:val="19"/>
          <w:szCs w:val="19"/>
        </w:rPr>
        <w:t xml:space="preserve">Figure 5. Processing pipeline for each 5-reading window. One Markov step is one reading (about one minute).</w:t>
      </w:r>
      <w:r/>
    </w:p>
    <w:p>
      <w:pPr>
        <w:pStyle w:val="752"/>
        <w:pBdr/>
        <w:spacing/>
        <w:ind/>
        <w:rPr/>
      </w:pPr>
      <w:r>
        <w:t xml:space="preserve">6. Results</w:t>
      </w:r>
      <w:r/>
    </w:p>
    <w:p>
      <w:pPr>
        <w:keepNext w:val="true"/>
        <w:pBdr/>
        <w:spacing w:before="120"/>
        <w:ind/>
        <w:jc w:val="center"/>
        <w:rPr/>
      </w:pPr>
      <w:r>
        <mc:AlternateContent>
          <mc:Choice Requires="wpg">
            <w:drawing>
              <wp:inline xmlns:wp="http://schemas.openxmlformats.org/drawingml/2006/wordprocessingDrawing" distT="0" distB="0" distL="0" distR="0">
                <wp:extent cx="4381500" cy="199072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4381500" cy="1990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45.00pt;height:156.75pt;mso-wrap-distance-left:0.00pt;mso-wrap-distance-top:0.00pt;mso-wrap-distance-right:0.00pt;mso-wrap-distance-bottom:0.00pt;z-index:1;" stroked="false">
                <v:imagedata r:id="rId15" o:title=""/>
                <o:lock v:ext="edit" rotation="t"/>
              </v:shape>
            </w:pict>
          </mc:Fallback>
        </mc:AlternateContent>
      </w:r>
      <w:r/>
    </w:p>
    <w:p>
      <w:pPr>
        <w:pBdr/>
        <w:spacing w:after="240" w:before="60"/>
        <w:ind/>
        <w:jc w:val="center"/>
        <w:rPr/>
      </w:pPr>
      <w:r>
        <w:rPr>
          <w:i/>
          <w:iCs/>
          <w:color w:val="444444"/>
          <w:sz w:val="19"/>
          <w:szCs w:val="19"/>
        </w:rPr>
        <w:t xml:space="preserve">Figure 6. How each component was validated. All tests use data the models were not trained on.</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56"/>
        <w:gridCol w:w="2256"/>
        <w:gridCol w:w="2256"/>
        <w:gridCol w:w="2258"/>
      </w:tblGrid>
      <w:tr>
        <w:trPr/>
        <w:tc>
          <w:tcPr>
            <w:shd w:val="clear" w:color="auto" w:fill="eaf2fa"/>
            <w:tcBorders>
              <w:top w:val="single" w:color="ffffff" w:sz="24" w:space="0"/>
              <w:left w:val="single" w:color="ffffff" w:sz="24" w:space="0"/>
              <w:bottom w:val="single" w:color="ffffff" w:sz="24" w:space="0"/>
              <w:right w:val="single" w:color="ffffff" w:sz="24" w:space="0"/>
            </w:tcBorders>
            <w:tcMar>
              <w:left w:w="80" w:type="dxa"/>
              <w:top w:w="120" w:type="dxa"/>
              <w:right w:w="80" w:type="dxa"/>
              <w:bottom w:w="120" w:type="dxa"/>
            </w:tcMar>
            <w:tcW w:w="2256" w:type="dxa"/>
            <w:textDirection w:val="lrTb"/>
            <w:noWrap w:val="false"/>
          </w:tcPr>
          <w:p>
            <w:pPr>
              <w:pBdr/>
              <w:spacing/>
              <w:ind/>
              <w:jc w:val="center"/>
              <w:rPr/>
            </w:pPr>
            <w:r>
              <w:rPr>
                <w:b/>
                <w:bCs/>
                <w:color w:val="1f4e79"/>
                <w:sz w:val="40"/>
                <w:szCs w:val="40"/>
              </w:rPr>
              <w:t xml:space="preserve">0.80</w:t>
            </w:r>
            <w:r/>
          </w:p>
          <w:p>
            <w:pPr>
              <w:pBdr/>
              <w:spacing/>
              <w:ind/>
              <w:jc w:val="center"/>
              <w:rPr/>
            </w:pPr>
            <w:r>
              <w:rPr>
                <w:color w:val="444444"/>
                <w:sz w:val="17"/>
                <w:szCs w:val="17"/>
              </w:rPr>
              <w:t xml:space="preserve">Isolation Forest ROC-AUC</w:t>
            </w:r>
            <w:r/>
          </w:p>
          <w:p>
            <w:pPr>
              <w:pBdr/>
              <w:spacing/>
              <w:ind/>
              <w:jc w:val="center"/>
              <w:rPr/>
            </w:pPr>
            <w:r>
              <w:rPr>
                <w:color w:val="444444"/>
                <w:sz w:val="17"/>
                <w:szCs w:val="17"/>
              </w:rPr>
              <w:t xml:space="preserve">(baseline 0.71)</w:t>
            </w:r>
            <w:r/>
          </w:p>
        </w:tc>
        <w:tc>
          <w:tcPr>
            <w:shd w:val="clear" w:color="auto" w:fill="eaf2fa"/>
            <w:tcBorders>
              <w:top w:val="single" w:color="ffffff" w:sz="24" w:space="0"/>
              <w:left w:val="single" w:color="ffffff" w:sz="24" w:space="0"/>
              <w:bottom w:val="single" w:color="ffffff" w:sz="24" w:space="0"/>
              <w:right w:val="single" w:color="ffffff" w:sz="24" w:space="0"/>
            </w:tcBorders>
            <w:tcMar>
              <w:left w:w="80" w:type="dxa"/>
              <w:top w:w="120" w:type="dxa"/>
              <w:right w:w="80" w:type="dxa"/>
              <w:bottom w:w="120" w:type="dxa"/>
            </w:tcMar>
            <w:tcW w:w="2256" w:type="dxa"/>
            <w:textDirection w:val="lrTb"/>
            <w:noWrap w:val="false"/>
          </w:tcPr>
          <w:p>
            <w:pPr>
              <w:pBdr/>
              <w:spacing/>
              <w:ind/>
              <w:jc w:val="center"/>
              <w:rPr/>
            </w:pPr>
            <w:r>
              <w:rPr>
                <w:b/>
                <w:bCs/>
                <w:color w:val="1f4e79"/>
                <w:sz w:val="40"/>
                <w:szCs w:val="40"/>
              </w:rPr>
              <w:t xml:space="preserve">92%</w:t>
            </w:r>
            <w:r/>
          </w:p>
          <w:p>
            <w:pPr>
              <w:pBdr/>
              <w:spacing/>
              <w:ind/>
              <w:jc w:val="center"/>
              <w:rPr/>
            </w:pPr>
            <w:r>
              <w:rPr>
                <w:color w:val="444444"/>
                <w:sz w:val="17"/>
                <w:szCs w:val="17"/>
              </w:rPr>
              <w:t xml:space="preserve">planted faults detected</w:t>
            </w:r>
            <w:r/>
          </w:p>
        </w:tc>
        <w:tc>
          <w:tcPr>
            <w:shd w:val="clear" w:color="auto" w:fill="eaf2fa"/>
            <w:tcBorders>
              <w:top w:val="single" w:color="ffffff" w:sz="24" w:space="0"/>
              <w:left w:val="single" w:color="ffffff" w:sz="24" w:space="0"/>
              <w:bottom w:val="single" w:color="ffffff" w:sz="24" w:space="0"/>
              <w:right w:val="single" w:color="ffffff" w:sz="24" w:space="0"/>
            </w:tcBorders>
            <w:tcMar>
              <w:left w:w="80" w:type="dxa"/>
              <w:top w:w="120" w:type="dxa"/>
              <w:right w:w="80" w:type="dxa"/>
              <w:bottom w:w="120" w:type="dxa"/>
            </w:tcMar>
            <w:tcW w:w="2256" w:type="dxa"/>
            <w:textDirection w:val="lrTb"/>
            <w:noWrap w:val="false"/>
          </w:tcPr>
          <w:p>
            <w:pPr>
              <w:pBdr/>
              <w:spacing/>
              <w:ind/>
              <w:jc w:val="center"/>
              <w:rPr/>
            </w:pPr>
            <w:r>
              <w:rPr>
                <w:b/>
                <w:bCs/>
                <w:color w:val="1f4e79"/>
                <w:sz w:val="40"/>
                <w:szCs w:val="40"/>
              </w:rPr>
              <w:t xml:space="preserve">0.82</w:t>
            </w:r>
            <w:r/>
          </w:p>
          <w:p>
            <w:pPr>
              <w:pBdr/>
              <w:spacing/>
              <w:ind/>
              <w:jc w:val="center"/>
              <w:rPr/>
            </w:pPr>
            <w:r>
              <w:rPr>
                <w:color w:val="444444"/>
                <w:sz w:val="17"/>
                <w:szCs w:val="17"/>
              </w:rPr>
              <w:t xml:space="preserve">10-min forecast ROC-AUC</w:t>
            </w:r>
            <w:r/>
          </w:p>
        </w:tc>
        <w:tc>
          <w:tcPr>
            <w:shd w:val="clear" w:color="auto" w:fill="eaf2fa"/>
            <w:tcBorders>
              <w:top w:val="single" w:color="ffffff" w:sz="24" w:space="0"/>
              <w:left w:val="single" w:color="ffffff" w:sz="24" w:space="0"/>
              <w:bottom w:val="single" w:color="ffffff" w:sz="24" w:space="0"/>
              <w:right w:val="single" w:color="ffffff" w:sz="24" w:space="0"/>
            </w:tcBorders>
            <w:tcMar>
              <w:left w:w="80" w:type="dxa"/>
              <w:top w:w="120" w:type="dxa"/>
              <w:right w:w="80" w:type="dxa"/>
              <w:bottom w:w="120" w:type="dxa"/>
            </w:tcMar>
            <w:tcW w:w="2258" w:type="dxa"/>
            <w:textDirection w:val="lrTb"/>
            <w:noWrap w:val="false"/>
          </w:tcPr>
          <w:p>
            <w:pPr>
              <w:pBdr/>
              <w:spacing/>
              <w:ind/>
              <w:jc w:val="center"/>
              <w:rPr/>
            </w:pPr>
            <w:r>
              <w:rPr>
                <w:b/>
                <w:bCs/>
                <w:color w:val="1f4e79"/>
                <w:sz w:val="40"/>
                <w:szCs w:val="40"/>
              </w:rPr>
              <w:t xml:space="preserve">36%</w:t>
            </w:r>
            <w:r/>
          </w:p>
          <w:p>
            <w:pPr>
              <w:pBdr/>
              <w:spacing/>
              <w:ind/>
              <w:jc w:val="center"/>
              <w:rPr/>
            </w:pPr>
            <w:r>
              <w:rPr>
                <w:color w:val="444444"/>
                <w:sz w:val="17"/>
                <w:szCs w:val="17"/>
              </w:rPr>
              <w:t xml:space="preserve">lower Brier score than</w:t>
            </w:r>
            <w:r/>
          </w:p>
          <w:p>
            <w:pPr>
              <w:pBdr/>
              <w:spacing/>
              <w:ind/>
              <w:jc w:val="center"/>
              <w:rPr/>
            </w:pPr>
            <w:r>
              <w:rPr>
                <w:color w:val="444444"/>
                <w:sz w:val="17"/>
                <w:szCs w:val="17"/>
              </w:rPr>
              <w:t xml:space="preserve">P(A) now</w:t>
            </w:r>
            <w:r/>
          </w:p>
        </w:tc>
      </w:tr>
    </w:tbl>
    <w:p>
      <w:pPr>
        <w:pBdr/>
        <w:spacing w:after="120"/>
        <w:ind/>
        <w:rPr/>
      </w:pPr>
      <w:r/>
      <w:r/>
    </w:p>
    <w:p>
      <w:pPr>
        <w:pStyle w:val="753"/>
        <w:pBdr/>
        <w:spacing/>
        <w:ind/>
        <w:rPr/>
      </w:pPr>
      <w:r>
        <w:t xml:space="preserve">6.1 Anomaly detection (planted faults)</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2600"/>
        <w:gridCol w:w="2600"/>
        <w:gridCol w:w="1826"/>
      </w:tblGrid>
      <w:tr>
        <w:trPr>
          <w:tblHeader/>
        </w:trPr>
        <w:tc>
          <w:tcPr>
            <w:shd w:val="clear" w:color="auto" w:fill="1f4e79"/>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000" w:type="dxa"/>
            <w:textDirection w:val="lrTb"/>
            <w:noWrap w:val="false"/>
          </w:tcPr>
          <w:p>
            <w:pPr>
              <w:keepNext w:val="true"/>
              <w:pBdr/>
              <w:spacing/>
              <w:ind/>
              <w:jc w:val="left"/>
              <w:rPr/>
            </w:pPr>
            <w:r>
              <w:rPr>
                <w:b/>
                <w:bCs/>
                <w:color w:val="ffffff"/>
                <w:sz w:val="19"/>
                <w:szCs w:val="19"/>
              </w:rPr>
              <w:t xml:space="preserve">Fault</w:t>
            </w:r>
            <w:r/>
          </w:p>
        </w:tc>
        <w:tc>
          <w:tcPr>
            <w:shd w:val="clear" w:color="auto" w:fill="1f4e79"/>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600" w:type="dxa"/>
            <w:textDirection w:val="lrTb"/>
            <w:noWrap w:val="false"/>
          </w:tcPr>
          <w:p>
            <w:pPr>
              <w:keepNext w:val="true"/>
              <w:pBdr/>
              <w:spacing/>
              <w:ind/>
              <w:jc w:val="center"/>
              <w:rPr/>
            </w:pPr>
            <w:r>
              <w:rPr>
                <w:b/>
                <w:bCs/>
                <w:color w:val="ffffff"/>
                <w:sz w:val="19"/>
                <w:szCs w:val="19"/>
              </w:rPr>
              <w:t xml:space="preserve">Isolation Forest</w:t>
            </w:r>
            <w:r/>
          </w:p>
        </w:tc>
        <w:tc>
          <w:tcPr>
            <w:shd w:val="clear" w:color="auto" w:fill="1f4e79"/>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600" w:type="dxa"/>
            <w:textDirection w:val="lrTb"/>
            <w:noWrap w:val="false"/>
          </w:tcPr>
          <w:p>
            <w:pPr>
              <w:keepNext w:val="true"/>
              <w:pBdr/>
              <w:spacing/>
              <w:ind/>
              <w:jc w:val="center"/>
              <w:rPr/>
            </w:pPr>
            <w:r>
              <w:rPr>
                <w:b/>
                <w:bCs/>
                <w:color w:val="ffffff"/>
                <w:sz w:val="19"/>
                <w:szCs w:val="19"/>
              </w:rPr>
              <w:t xml:space="preserve">z-score</w:t>
            </w:r>
            <w:r/>
          </w:p>
        </w:tc>
        <w:tc>
          <w:tcPr>
            <w:shd w:val="clear" w:color="auto" w:fill="1f4e79"/>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1826" w:type="dxa"/>
            <w:textDirection w:val="lrTb"/>
            <w:noWrap w:val="false"/>
          </w:tcPr>
          <w:p>
            <w:pPr>
              <w:keepNext w:val="true"/>
              <w:pBdr/>
              <w:spacing/>
              <w:ind/>
              <w:jc w:val="center"/>
              <w:rPr/>
            </w:pPr>
            <w:r>
              <w:rPr>
                <w:b/>
                <w:bCs/>
                <w:color w:val="ffffff"/>
                <w:sz w:val="19"/>
                <w:szCs w:val="19"/>
              </w:rPr>
              <w:t xml:space="preserve">Detected</w:t>
            </w:r>
            <w:r/>
          </w:p>
        </w:tc>
      </w:tr>
      <w:tr>
        <w:trPr/>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000" w:type="dxa"/>
            <w:textDirection w:val="lrTb"/>
            <w:noWrap w:val="false"/>
          </w:tcPr>
          <w:p>
            <w:pPr>
              <w:keepNext w:val="true"/>
              <w:pBdr/>
              <w:spacing/>
              <w:ind/>
              <w:jc w:val="left"/>
              <w:rPr/>
            </w:pPr>
            <w:r>
              <w:rPr>
                <w:sz w:val="19"/>
                <w:szCs w:val="19"/>
              </w:rPr>
              <w:t xml:space="preserve">Spike</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600" w:type="dxa"/>
            <w:textDirection w:val="lrTb"/>
            <w:noWrap w:val="false"/>
          </w:tcPr>
          <w:p>
            <w:pPr>
              <w:keepNext w:val="true"/>
              <w:pBdr/>
              <w:spacing/>
              <w:ind/>
              <w:jc w:val="center"/>
              <w:rPr/>
            </w:pPr>
            <w:r>
              <w:rPr>
                <w:sz w:val="19"/>
                <w:szCs w:val="19"/>
              </w:rPr>
              <w:t xml:space="preserve">0.82 ± 0.06</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600" w:type="dxa"/>
            <w:textDirection w:val="lrTb"/>
            <w:noWrap w:val="false"/>
          </w:tcPr>
          <w:p>
            <w:pPr>
              <w:keepNext w:val="true"/>
              <w:pBdr/>
              <w:spacing/>
              <w:ind/>
              <w:jc w:val="center"/>
              <w:rPr/>
            </w:pPr>
            <w:r>
              <w:rPr>
                <w:sz w:val="19"/>
                <w:szCs w:val="19"/>
              </w:rPr>
              <w:t xml:space="preserve">0.81 ± 0.09</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1826" w:type="dxa"/>
            <w:textDirection w:val="lrTb"/>
            <w:noWrap w:val="false"/>
          </w:tcPr>
          <w:p>
            <w:pPr>
              <w:keepNext w:val="true"/>
              <w:pBdr/>
              <w:spacing/>
              <w:ind/>
              <w:jc w:val="center"/>
              <w:rPr/>
            </w:pPr>
            <w:r>
              <w:rPr>
                <w:sz w:val="19"/>
                <w:szCs w:val="19"/>
              </w:rPr>
              <w:t xml:space="preserve">89%</w:t>
            </w:r>
            <w:r/>
          </w:p>
        </w:tc>
      </w:tr>
      <w:tr>
        <w:trPr/>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000" w:type="dxa"/>
            <w:textDirection w:val="lrTb"/>
            <w:noWrap w:val="false"/>
          </w:tcPr>
          <w:p>
            <w:pPr>
              <w:keepNext w:val="true"/>
              <w:pBdr/>
              <w:spacing/>
              <w:ind/>
              <w:jc w:val="left"/>
              <w:rPr/>
            </w:pPr>
            <w:r>
              <w:rPr>
                <w:sz w:val="19"/>
                <w:szCs w:val="19"/>
              </w:rPr>
              <w:t xml:space="preserve">Dropout</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600" w:type="dxa"/>
            <w:textDirection w:val="lrTb"/>
            <w:noWrap w:val="false"/>
          </w:tcPr>
          <w:p>
            <w:pPr>
              <w:keepNext w:val="true"/>
              <w:pBdr/>
              <w:spacing/>
              <w:ind/>
              <w:jc w:val="center"/>
              <w:rPr/>
            </w:pPr>
            <w:r>
              <w:rPr>
                <w:sz w:val="19"/>
                <w:szCs w:val="19"/>
              </w:rPr>
              <w:t xml:space="preserve">0.80 ± 0.06</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600" w:type="dxa"/>
            <w:textDirection w:val="lrTb"/>
            <w:noWrap w:val="false"/>
          </w:tcPr>
          <w:p>
            <w:pPr>
              <w:keepNext w:val="true"/>
              <w:pBdr/>
              <w:spacing/>
              <w:ind/>
              <w:jc w:val="center"/>
              <w:rPr/>
            </w:pPr>
            <w:r>
              <w:rPr>
                <w:sz w:val="19"/>
                <w:szCs w:val="19"/>
              </w:rPr>
              <w:t xml:space="preserve">0.86 ± 0.05</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1826" w:type="dxa"/>
            <w:textDirection w:val="lrTb"/>
            <w:noWrap w:val="false"/>
          </w:tcPr>
          <w:p>
            <w:pPr>
              <w:keepNext w:val="true"/>
              <w:pBdr/>
              <w:spacing/>
              <w:ind/>
              <w:jc w:val="center"/>
              <w:rPr/>
            </w:pPr>
            <w:r>
              <w:rPr>
                <w:sz w:val="19"/>
                <w:szCs w:val="19"/>
              </w:rPr>
              <w:t xml:space="preserve">88%</w:t>
            </w:r>
            <w:r/>
          </w:p>
        </w:tc>
      </w:tr>
      <w:tr>
        <w:trPr/>
        <w:tc>
          <w:tcPr>
            <w:shd w:val="clear" w:color="auto" w:fill="e2efda"/>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000" w:type="dxa"/>
            <w:textDirection w:val="lrTb"/>
            <w:noWrap w:val="false"/>
          </w:tcPr>
          <w:p>
            <w:pPr>
              <w:keepNext w:val="true"/>
              <w:pBdr/>
              <w:spacing/>
              <w:ind/>
              <w:jc w:val="left"/>
              <w:rPr/>
            </w:pPr>
            <w:r>
              <w:rPr>
                <w:sz w:val="19"/>
                <w:szCs w:val="19"/>
              </w:rPr>
              <w:t xml:space="preserve">Drift</w:t>
            </w:r>
            <w:r/>
          </w:p>
        </w:tc>
        <w:tc>
          <w:tcPr>
            <w:shd w:val="clear" w:color="auto" w:fill="e2efda"/>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600" w:type="dxa"/>
            <w:textDirection w:val="lrTb"/>
            <w:noWrap w:val="false"/>
          </w:tcPr>
          <w:p>
            <w:pPr>
              <w:keepNext w:val="true"/>
              <w:pBdr/>
              <w:spacing/>
              <w:ind/>
              <w:jc w:val="center"/>
              <w:rPr/>
            </w:pPr>
            <w:r>
              <w:rPr>
                <w:sz w:val="19"/>
                <w:szCs w:val="19"/>
              </w:rPr>
              <w:t xml:space="preserve">0.80 ± 0.05</w:t>
            </w:r>
            <w:r/>
          </w:p>
        </w:tc>
        <w:tc>
          <w:tcPr>
            <w:shd w:val="clear" w:color="auto" w:fill="e2efda"/>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600" w:type="dxa"/>
            <w:textDirection w:val="lrTb"/>
            <w:noWrap w:val="false"/>
          </w:tcPr>
          <w:p>
            <w:pPr>
              <w:keepNext w:val="true"/>
              <w:pBdr/>
              <w:spacing/>
              <w:ind/>
              <w:jc w:val="center"/>
              <w:rPr/>
            </w:pPr>
            <w:r>
              <w:rPr>
                <w:sz w:val="19"/>
                <w:szCs w:val="19"/>
              </w:rPr>
              <w:t xml:space="preserve">0.65 ± 0.11</w:t>
            </w:r>
            <w:r/>
          </w:p>
        </w:tc>
        <w:tc>
          <w:tcPr>
            <w:shd w:val="clear" w:color="auto" w:fill="e2efda"/>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1826" w:type="dxa"/>
            <w:textDirection w:val="lrTb"/>
            <w:noWrap w:val="false"/>
          </w:tcPr>
          <w:p>
            <w:pPr>
              <w:keepNext w:val="true"/>
              <w:pBdr/>
              <w:spacing/>
              <w:ind/>
              <w:jc w:val="center"/>
              <w:rPr/>
            </w:pPr>
            <w:r>
              <w:rPr>
                <w:sz w:val="19"/>
                <w:szCs w:val="19"/>
              </w:rPr>
              <w:t xml:space="preserve">99%</w:t>
            </w:r>
            <w:r/>
          </w:p>
        </w:tc>
      </w:tr>
      <w:tr>
        <w:trPr/>
        <w:tc>
          <w:tcPr>
            <w:shd w:val="clear" w:color="auto" w:fill="e2efda"/>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000" w:type="dxa"/>
            <w:textDirection w:val="lrTb"/>
            <w:noWrap w:val="false"/>
          </w:tcPr>
          <w:p>
            <w:pPr>
              <w:keepNext w:val="true"/>
              <w:pBdr/>
              <w:spacing/>
              <w:ind/>
              <w:jc w:val="left"/>
              <w:rPr/>
            </w:pPr>
            <w:r>
              <w:rPr>
                <w:sz w:val="19"/>
                <w:szCs w:val="19"/>
              </w:rPr>
              <w:t xml:space="preserve">All</w:t>
            </w:r>
            <w:r/>
          </w:p>
        </w:tc>
        <w:tc>
          <w:tcPr>
            <w:shd w:val="clear" w:color="auto" w:fill="e2efda"/>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600" w:type="dxa"/>
            <w:textDirection w:val="lrTb"/>
            <w:noWrap w:val="false"/>
          </w:tcPr>
          <w:p>
            <w:pPr>
              <w:keepNext w:val="true"/>
              <w:pBdr/>
              <w:spacing/>
              <w:ind/>
              <w:jc w:val="center"/>
              <w:rPr/>
            </w:pPr>
            <w:r>
              <w:rPr>
                <w:sz w:val="19"/>
                <w:szCs w:val="19"/>
              </w:rPr>
              <w:t xml:space="preserve">0.80 ± 0.04</w:t>
            </w:r>
            <w:r/>
          </w:p>
        </w:tc>
        <w:tc>
          <w:tcPr>
            <w:shd w:val="clear" w:color="auto" w:fill="e2efda"/>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600" w:type="dxa"/>
            <w:textDirection w:val="lrTb"/>
            <w:noWrap w:val="false"/>
          </w:tcPr>
          <w:p>
            <w:pPr>
              <w:keepNext w:val="true"/>
              <w:pBdr/>
              <w:spacing/>
              <w:ind/>
              <w:jc w:val="center"/>
              <w:rPr/>
            </w:pPr>
            <w:r>
              <w:rPr>
                <w:sz w:val="19"/>
                <w:szCs w:val="19"/>
              </w:rPr>
              <w:t xml:space="preserve">0.71 ± 0.08</w:t>
            </w:r>
            <w:r/>
          </w:p>
        </w:tc>
        <w:tc>
          <w:tcPr>
            <w:shd w:val="clear" w:color="auto" w:fill="e2efda"/>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1826" w:type="dxa"/>
            <w:textDirection w:val="lrTb"/>
            <w:noWrap w:val="false"/>
          </w:tcPr>
          <w:p>
            <w:pPr>
              <w:keepNext w:val="true"/>
              <w:pBdr/>
              <w:spacing/>
              <w:ind/>
              <w:jc w:val="center"/>
              <w:rPr/>
            </w:pPr>
            <w:r>
              <w:rPr>
                <w:sz w:val="19"/>
                <w:szCs w:val="19"/>
              </w:rPr>
              <w:t xml:space="preserve">92%</w:t>
            </w:r>
            <w:r/>
          </w:p>
        </w:tc>
      </w:tr>
    </w:tbl>
    <w:p>
      <w:pPr>
        <w:pBdr/>
        <w:spacing w:after="240" w:before="60"/>
        <w:ind/>
        <w:jc w:val="center"/>
        <w:rPr/>
      </w:pPr>
      <w:r>
        <w:rPr>
          <w:i/>
          <w:iCs/>
          <w:color w:val="444444"/>
          <w:sz w:val="19"/>
          <w:szCs w:val="19"/>
        </w:rPr>
        <w:t xml:space="preserve">Table 2. ROC-AUC (mean ± std, 30 seeds) and share of planted events detected.</w:t>
      </w:r>
      <w:r/>
    </w:p>
    <w:p>
      <w:pPr>
        <w:keepNext w:val="true"/>
        <w:pBdr/>
        <w:spacing w:before="120"/>
        <w:ind/>
        <w:jc w:val="center"/>
        <w:rPr/>
      </w:pPr>
      <w:r>
        <mc:AlternateContent>
          <mc:Choice Requires="wpg">
            <w:drawing>
              <wp:inline xmlns:wp="http://schemas.openxmlformats.org/drawingml/2006/wordprocessingDrawing" distT="0" distB="0" distL="0" distR="0">
                <wp:extent cx="5334000" cy="225742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5334000" cy="2257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20.00pt;height:177.75pt;mso-wrap-distance-left:0.00pt;mso-wrap-distance-top:0.00pt;mso-wrap-distance-right:0.00pt;mso-wrap-distance-bottom:0.00pt;z-index:1;" stroked="false">
                <v:imagedata r:id="rId16" o:title=""/>
                <o:lock v:ext="edit" rotation="t"/>
              </v:shape>
            </w:pict>
          </mc:Fallback>
        </mc:AlternateContent>
      </w:r>
      <w:r/>
    </w:p>
    <w:p>
      <w:pPr>
        <w:pBdr/>
        <w:spacing w:after="240" w:before="60"/>
        <w:ind/>
        <w:jc w:val="center"/>
        <w:rPr/>
      </w:pPr>
      <w:r>
        <w:rPr>
          <w:i/>
          <w:iCs/>
          <w:color w:val="444444"/>
          <w:sz w:val="19"/>
          <w:szCs w:val="19"/>
        </w:rPr>
        <w:t xml:space="preserve">Figure 7. ROC curves (left) and ROC-AUC against the z-score baseline (right).</w:t>
      </w:r>
      <w:r/>
    </w:p>
    <w:p>
      <w:pPr>
        <w:pBdr/>
        <w:spacing w:after="120" w:line="276" w:lineRule="auto"/>
        <w:ind/>
        <w:jc w:val="both"/>
        <w:rPr/>
      </w:pPr>
      <w:r>
        <w:rPr>
          <w:sz w:val="20"/>
          <w:szCs w:val="20"/>
        </w:rPr>
        <w:t xml:space="preserve">Each curve shows the</w:t>
      </w:r>
      <w:r>
        <w:rPr>
          <w:sz w:val="20"/>
          <w:szCs w:val="20"/>
        </w:rPr>
        <w:t xml:space="preserve"> share of faults caught (y-axis) for a given share of false alarms (x-axis); curves closer to the top-left are better, and the diagonal is random guessing. The bar chart shows the model ahead of the z-score check overall, and most clearly on gradual drift.</w:t>
      </w:r>
      <w:r/>
    </w:p>
    <w:p>
      <w:pPr>
        <w:keepNext w:val="true"/>
        <w:pBdr/>
        <w:spacing w:before="120"/>
        <w:ind/>
        <w:jc w:val="center"/>
        <w:rPr/>
      </w:pPr>
      <w:r>
        <mc:AlternateContent>
          <mc:Choice Requires="wpg">
            <w:drawing>
              <wp:inline xmlns:wp="http://schemas.openxmlformats.org/drawingml/2006/wordprocessingDrawing" distT="0" distB="0" distL="0" distR="0">
                <wp:extent cx="4476750" cy="309562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4476750" cy="30956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52.50pt;height:243.75pt;mso-wrap-distance-left:0.00pt;mso-wrap-distance-top:0.00pt;mso-wrap-distance-right:0.00pt;mso-wrap-distance-bottom:0.00pt;z-index:1;" stroked="false">
                <v:imagedata r:id="rId17" o:title=""/>
                <o:lock v:ext="edit" rotation="t"/>
              </v:shape>
            </w:pict>
          </mc:Fallback>
        </mc:AlternateContent>
      </w:r>
      <w:r/>
    </w:p>
    <w:p>
      <w:pPr>
        <w:pBdr/>
        <w:spacing w:after="240" w:before="60"/>
        <w:ind/>
        <w:jc w:val="center"/>
        <w:rPr/>
      </w:pPr>
      <w:r>
        <w:rPr>
          <w:i/>
          <w:iCs/>
          <w:color w:val="444444"/>
          <w:sz w:val="19"/>
          <w:szCs w:val="19"/>
        </w:rPr>
        <w:t xml:space="preserve">Figure 8. Planted faults (shaded) and the anomaly score; flagged windows in red.</w:t>
      </w:r>
      <w:r/>
    </w:p>
    <w:p>
      <w:pPr>
        <w:pBdr/>
        <w:spacing w:after="120" w:line="276" w:lineRule="auto"/>
        <w:ind/>
        <w:jc w:val="both"/>
        <w:rPr/>
      </w:pPr>
      <w:r>
        <w:rPr>
          <w:sz w:val="20"/>
          <w:szCs w:val="20"/>
        </w:rPr>
        <w:t xml:space="preserve">Each shaded band is a fault inserted int</w:t>
      </w:r>
      <w:r>
        <w:rPr>
          <w:sz w:val="20"/>
          <w:szCs w:val="20"/>
        </w:rPr>
        <w:t xml:space="preserve">o real data, and the bottom panel is the model's anomaly score. The score rises at the bands, so the model reacts to the faults. Some flags outside the bands mark real events, such as the eCO2 rise near reading 120 and the erratic dust readings at the end.</w:t>
      </w:r>
      <w:r/>
    </w:p>
    <w:p>
      <w:pPr>
        <w:pStyle w:val="753"/>
        <w:pBdr/>
        <w:spacing/>
        <w:ind/>
        <w:rPr/>
      </w:pPr>
      <w:r>
        <w:t xml:space="preserve">6.2 Risk forecast</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00"/>
        <w:gridCol w:w="1500"/>
        <w:gridCol w:w="1500"/>
        <w:gridCol w:w="1400"/>
        <w:gridCol w:w="1500"/>
        <w:gridCol w:w="1626"/>
      </w:tblGrid>
      <w:tr>
        <w:trPr>
          <w:tblHeader/>
        </w:trPr>
        <w:tc>
          <w:tcPr>
            <w:shd w:val="clear" w:color="auto" w:fill="1f4e79"/>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1500" w:type="dxa"/>
            <w:textDirection w:val="lrTb"/>
            <w:noWrap w:val="false"/>
          </w:tcPr>
          <w:p>
            <w:pPr>
              <w:keepNext w:val="true"/>
              <w:pBdr/>
              <w:spacing/>
              <w:ind/>
              <w:jc w:val="left"/>
              <w:rPr/>
            </w:pPr>
            <w:r>
              <w:rPr>
                <w:b/>
                <w:bCs/>
                <w:color w:val="ffffff"/>
                <w:sz w:val="19"/>
                <w:szCs w:val="19"/>
              </w:rPr>
              <w:t xml:space="preserve">Horizon</w:t>
            </w:r>
            <w:r/>
          </w:p>
        </w:tc>
        <w:tc>
          <w:tcPr>
            <w:shd w:val="clear" w:color="auto" w:fill="1f4e79"/>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1500" w:type="dxa"/>
            <w:textDirection w:val="lrTb"/>
            <w:noWrap w:val="false"/>
          </w:tcPr>
          <w:p>
            <w:pPr>
              <w:keepNext w:val="true"/>
              <w:pBdr/>
              <w:spacing/>
              <w:ind/>
              <w:jc w:val="center"/>
              <w:rPr/>
            </w:pPr>
            <w:r>
              <w:rPr>
                <w:b/>
                <w:bCs/>
                <w:color w:val="ffffff"/>
                <w:sz w:val="19"/>
                <w:szCs w:val="19"/>
              </w:rPr>
              <w:t xml:space="preserve">Accuracy</w:t>
            </w:r>
            <w:r/>
          </w:p>
        </w:tc>
        <w:tc>
          <w:tcPr>
            <w:shd w:val="clear" w:color="auto" w:fill="1f4e79"/>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1500" w:type="dxa"/>
            <w:textDirection w:val="lrTb"/>
            <w:noWrap w:val="false"/>
          </w:tcPr>
          <w:p>
            <w:pPr>
              <w:keepNext w:val="true"/>
              <w:pBdr/>
              <w:spacing/>
              <w:ind/>
              <w:jc w:val="center"/>
              <w:rPr/>
            </w:pPr>
            <w:r>
              <w:rPr>
                <w:b/>
                <w:bCs/>
                <w:color w:val="ffffff"/>
                <w:sz w:val="19"/>
                <w:szCs w:val="19"/>
              </w:rPr>
              <w:t xml:space="preserve">Always 'no'</w:t>
            </w:r>
            <w:r/>
          </w:p>
        </w:tc>
        <w:tc>
          <w:tcPr>
            <w:shd w:val="clear" w:color="auto" w:fill="1f4e79"/>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1400" w:type="dxa"/>
            <w:textDirection w:val="lrTb"/>
            <w:noWrap w:val="false"/>
          </w:tcPr>
          <w:p>
            <w:pPr>
              <w:keepNext w:val="true"/>
              <w:pBdr/>
              <w:spacing/>
              <w:ind/>
              <w:jc w:val="center"/>
              <w:rPr/>
            </w:pPr>
            <w:r>
              <w:rPr>
                <w:b/>
                <w:bCs/>
                <w:color w:val="ffffff"/>
                <w:sz w:val="19"/>
                <w:szCs w:val="19"/>
              </w:rPr>
              <w:t xml:space="preserve">F1</w:t>
            </w:r>
            <w:r/>
          </w:p>
        </w:tc>
        <w:tc>
          <w:tcPr>
            <w:shd w:val="clear" w:color="auto" w:fill="1f4e79"/>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1500" w:type="dxa"/>
            <w:textDirection w:val="lrTb"/>
            <w:noWrap w:val="false"/>
          </w:tcPr>
          <w:p>
            <w:pPr>
              <w:keepNext w:val="true"/>
              <w:pBdr/>
              <w:spacing/>
              <w:ind/>
              <w:jc w:val="center"/>
              <w:rPr/>
            </w:pPr>
            <w:r>
              <w:rPr>
                <w:b/>
                <w:bCs/>
                <w:color w:val="ffffff"/>
                <w:sz w:val="19"/>
                <w:szCs w:val="19"/>
              </w:rPr>
              <w:t xml:space="preserve">ROC-AUC</w:t>
            </w:r>
            <w:r/>
          </w:p>
        </w:tc>
        <w:tc>
          <w:tcPr>
            <w:shd w:val="clear" w:color="auto" w:fill="1f4e79"/>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1626" w:type="dxa"/>
            <w:textDirection w:val="lrTb"/>
            <w:noWrap w:val="false"/>
          </w:tcPr>
          <w:p>
            <w:pPr>
              <w:keepNext w:val="true"/>
              <w:pBdr/>
              <w:spacing/>
              <w:ind/>
              <w:jc w:val="center"/>
              <w:rPr/>
            </w:pPr>
            <w:r>
              <w:rPr>
                <w:b/>
                <w:bCs/>
                <w:color w:val="ffffff"/>
                <w:sz w:val="19"/>
                <w:szCs w:val="19"/>
              </w:rPr>
              <w:t xml:space="preserve">Correlation</w:t>
            </w:r>
            <w:r/>
          </w:p>
        </w:tc>
      </w:tr>
      <w:tr>
        <w:trPr/>
        <w:tc>
          <w:tcPr>
            <w:shd w:val="clear" w:color="auto" w:fill="e2efda"/>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1500" w:type="dxa"/>
            <w:textDirection w:val="lrTb"/>
            <w:noWrap w:val="false"/>
          </w:tcPr>
          <w:p>
            <w:pPr>
              <w:keepNext w:val="true"/>
              <w:pBdr/>
              <w:spacing/>
              <w:ind/>
              <w:jc w:val="left"/>
              <w:rPr/>
            </w:pPr>
            <w:r>
              <w:rPr>
                <w:sz w:val="19"/>
                <w:szCs w:val="19"/>
              </w:rPr>
              <w:t xml:space="preserve">10 min</w:t>
            </w:r>
            <w:r/>
          </w:p>
        </w:tc>
        <w:tc>
          <w:tcPr>
            <w:shd w:val="clear" w:color="auto" w:fill="e2efda"/>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1500" w:type="dxa"/>
            <w:textDirection w:val="lrTb"/>
            <w:noWrap w:val="false"/>
          </w:tcPr>
          <w:p>
            <w:pPr>
              <w:keepNext w:val="true"/>
              <w:pBdr/>
              <w:spacing/>
              <w:ind/>
              <w:jc w:val="center"/>
              <w:rPr/>
            </w:pPr>
            <w:r>
              <w:rPr>
                <w:sz w:val="19"/>
                <w:szCs w:val="19"/>
              </w:rPr>
              <w:t xml:space="preserve">0.83</w:t>
            </w:r>
            <w:r/>
          </w:p>
        </w:tc>
        <w:tc>
          <w:tcPr>
            <w:shd w:val="clear" w:color="auto" w:fill="e2efda"/>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1500" w:type="dxa"/>
            <w:textDirection w:val="lrTb"/>
            <w:noWrap w:val="false"/>
          </w:tcPr>
          <w:p>
            <w:pPr>
              <w:keepNext w:val="true"/>
              <w:pBdr/>
              <w:spacing/>
              <w:ind/>
              <w:jc w:val="center"/>
              <w:rPr/>
            </w:pPr>
            <w:r>
              <w:rPr>
                <w:sz w:val="19"/>
                <w:szCs w:val="19"/>
              </w:rPr>
              <w:t xml:space="preserve">0.77</w:t>
            </w:r>
            <w:r/>
          </w:p>
        </w:tc>
        <w:tc>
          <w:tcPr>
            <w:shd w:val="clear" w:color="auto" w:fill="e2efda"/>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1400" w:type="dxa"/>
            <w:textDirection w:val="lrTb"/>
            <w:noWrap w:val="false"/>
          </w:tcPr>
          <w:p>
            <w:pPr>
              <w:keepNext w:val="true"/>
              <w:pBdr/>
              <w:spacing/>
              <w:ind/>
              <w:jc w:val="center"/>
              <w:rPr/>
            </w:pPr>
            <w:r>
              <w:rPr>
                <w:sz w:val="19"/>
                <w:szCs w:val="19"/>
              </w:rPr>
              <w:t xml:space="preserve">0.63</w:t>
            </w:r>
            <w:r/>
          </w:p>
        </w:tc>
        <w:tc>
          <w:tcPr>
            <w:shd w:val="clear" w:color="auto" w:fill="e2efda"/>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1500" w:type="dxa"/>
            <w:textDirection w:val="lrTb"/>
            <w:noWrap w:val="false"/>
          </w:tcPr>
          <w:p>
            <w:pPr>
              <w:keepNext w:val="true"/>
              <w:pBdr/>
              <w:spacing/>
              <w:ind/>
              <w:jc w:val="center"/>
              <w:rPr/>
            </w:pPr>
            <w:r>
              <w:rPr>
                <w:sz w:val="19"/>
                <w:szCs w:val="19"/>
              </w:rPr>
              <w:t xml:space="preserve">0.82</w:t>
            </w:r>
            <w:r/>
          </w:p>
        </w:tc>
        <w:tc>
          <w:tcPr>
            <w:shd w:val="clear" w:color="auto" w:fill="e2efda"/>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1626" w:type="dxa"/>
            <w:textDirection w:val="lrTb"/>
            <w:noWrap w:val="false"/>
          </w:tcPr>
          <w:p>
            <w:pPr>
              <w:keepNext w:val="true"/>
              <w:pBdr/>
              <w:spacing/>
              <w:ind/>
              <w:jc w:val="center"/>
              <w:rPr/>
            </w:pPr>
            <w:r>
              <w:rPr>
                <w:sz w:val="19"/>
                <w:szCs w:val="19"/>
              </w:rPr>
              <w:t xml:space="preserve">0.58</w:t>
            </w:r>
            <w:r/>
          </w:p>
        </w:tc>
      </w:tr>
      <w:tr>
        <w:trPr/>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1500" w:type="dxa"/>
            <w:textDirection w:val="lrTb"/>
            <w:noWrap w:val="false"/>
          </w:tcPr>
          <w:p>
            <w:pPr>
              <w:keepNext w:val="true"/>
              <w:pBdr/>
              <w:spacing/>
              <w:ind/>
              <w:jc w:val="left"/>
              <w:rPr/>
            </w:pPr>
            <w:r>
              <w:rPr>
                <w:sz w:val="19"/>
                <w:szCs w:val="19"/>
              </w:rPr>
              <w:t xml:space="preserve">15 min</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1500" w:type="dxa"/>
            <w:textDirection w:val="lrTb"/>
            <w:noWrap w:val="false"/>
          </w:tcPr>
          <w:p>
            <w:pPr>
              <w:keepNext w:val="true"/>
              <w:pBdr/>
              <w:spacing/>
              <w:ind/>
              <w:jc w:val="center"/>
              <w:rPr/>
            </w:pPr>
            <w:r>
              <w:rPr>
                <w:sz w:val="19"/>
                <w:szCs w:val="19"/>
              </w:rPr>
              <w:t xml:space="preserve">0.71</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1500" w:type="dxa"/>
            <w:textDirection w:val="lrTb"/>
            <w:noWrap w:val="false"/>
          </w:tcPr>
          <w:p>
            <w:pPr>
              <w:keepNext w:val="true"/>
              <w:pBdr/>
              <w:spacing/>
              <w:ind/>
              <w:jc w:val="center"/>
              <w:rPr/>
            </w:pPr>
            <w:r>
              <w:rPr>
                <w:sz w:val="19"/>
                <w:szCs w:val="19"/>
              </w:rPr>
              <w:t xml:space="preserve">0.72</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1400" w:type="dxa"/>
            <w:textDirection w:val="lrTb"/>
            <w:noWrap w:val="false"/>
          </w:tcPr>
          <w:p>
            <w:pPr>
              <w:keepNext w:val="true"/>
              <w:pBdr/>
              <w:spacing/>
              <w:ind/>
              <w:jc w:val="center"/>
              <w:rPr/>
            </w:pPr>
            <w:r>
              <w:rPr>
                <w:sz w:val="19"/>
                <w:szCs w:val="19"/>
              </w:rPr>
              <w:t xml:space="preserve">0.54</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1500" w:type="dxa"/>
            <w:textDirection w:val="lrTb"/>
            <w:noWrap w:val="false"/>
          </w:tcPr>
          <w:p>
            <w:pPr>
              <w:keepNext w:val="true"/>
              <w:pBdr/>
              <w:spacing/>
              <w:ind/>
              <w:jc w:val="center"/>
              <w:rPr/>
            </w:pPr>
            <w:r>
              <w:rPr>
                <w:sz w:val="19"/>
                <w:szCs w:val="19"/>
              </w:rPr>
              <w:t xml:space="preserve">0.76</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1626" w:type="dxa"/>
            <w:textDirection w:val="lrTb"/>
            <w:noWrap w:val="false"/>
          </w:tcPr>
          <w:p>
            <w:pPr>
              <w:keepNext w:val="true"/>
              <w:pBdr/>
              <w:spacing/>
              <w:ind/>
              <w:jc w:val="center"/>
              <w:rPr/>
            </w:pPr>
            <w:r>
              <w:rPr>
                <w:sz w:val="19"/>
                <w:szCs w:val="19"/>
              </w:rPr>
              <w:t xml:space="preserve">0.49</w:t>
            </w:r>
            <w:r/>
          </w:p>
        </w:tc>
      </w:tr>
      <w:tr>
        <w:trPr/>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1500" w:type="dxa"/>
            <w:textDirection w:val="lrTb"/>
            <w:noWrap w:val="false"/>
          </w:tcPr>
          <w:p>
            <w:pPr>
              <w:keepNext w:val="true"/>
              <w:pBdr/>
              <w:spacing/>
              <w:ind/>
              <w:jc w:val="left"/>
              <w:rPr/>
            </w:pPr>
            <w:r>
              <w:rPr>
                <w:sz w:val="19"/>
                <w:szCs w:val="19"/>
              </w:rPr>
              <w:t xml:space="preserve">30 min</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1500" w:type="dxa"/>
            <w:textDirection w:val="lrTb"/>
            <w:noWrap w:val="false"/>
          </w:tcPr>
          <w:p>
            <w:pPr>
              <w:keepNext w:val="true"/>
              <w:pBdr/>
              <w:spacing/>
              <w:ind/>
              <w:jc w:val="center"/>
              <w:rPr/>
            </w:pPr>
            <w:r>
              <w:rPr>
                <w:sz w:val="19"/>
                <w:szCs w:val="19"/>
              </w:rPr>
              <w:t xml:space="preserve">0.37</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1500" w:type="dxa"/>
            <w:textDirection w:val="lrTb"/>
            <w:noWrap w:val="false"/>
          </w:tcPr>
          <w:p>
            <w:pPr>
              <w:keepNext w:val="true"/>
              <w:pBdr/>
              <w:spacing/>
              <w:ind/>
              <w:jc w:val="center"/>
              <w:rPr/>
            </w:pPr>
            <w:r>
              <w:rPr>
                <w:sz w:val="19"/>
                <w:szCs w:val="19"/>
              </w:rPr>
              <w:t xml:space="preserve">0.59</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1400" w:type="dxa"/>
            <w:textDirection w:val="lrTb"/>
            <w:noWrap w:val="false"/>
          </w:tcPr>
          <w:p>
            <w:pPr>
              <w:keepNext w:val="true"/>
              <w:pBdr/>
              <w:spacing/>
              <w:ind/>
              <w:jc w:val="center"/>
              <w:rPr/>
            </w:pPr>
            <w:r>
              <w:rPr>
                <w:sz w:val="19"/>
                <w:szCs w:val="19"/>
              </w:rPr>
              <w:t xml:space="preserve">0.55</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1500" w:type="dxa"/>
            <w:textDirection w:val="lrTb"/>
            <w:noWrap w:val="false"/>
          </w:tcPr>
          <w:p>
            <w:pPr>
              <w:keepNext w:val="true"/>
              <w:pBdr/>
              <w:spacing/>
              <w:ind/>
              <w:jc w:val="center"/>
              <w:rPr/>
            </w:pPr>
            <w:r>
              <w:rPr>
                <w:sz w:val="19"/>
                <w:szCs w:val="19"/>
              </w:rPr>
              <w:t xml:space="preserve">0.61</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1626" w:type="dxa"/>
            <w:textDirection w:val="lrTb"/>
            <w:noWrap w:val="false"/>
          </w:tcPr>
          <w:p>
            <w:pPr>
              <w:keepNext w:val="true"/>
              <w:pBdr/>
              <w:spacing/>
              <w:ind/>
              <w:jc w:val="center"/>
              <w:rPr/>
            </w:pPr>
            <w:r>
              <w:rPr>
                <w:sz w:val="19"/>
                <w:szCs w:val="19"/>
              </w:rPr>
              <w:t xml:space="preserve">0.32</w:t>
            </w:r>
            <w:r/>
          </w:p>
        </w:tc>
      </w:tr>
    </w:tbl>
    <w:p>
      <w:pPr>
        <w:pBdr/>
        <w:spacing w:after="240" w:before="60"/>
        <w:ind/>
        <w:jc w:val="center"/>
        <w:rPr/>
      </w:pPr>
      <w:r>
        <w:rPr>
          <w:i/>
          <w:iCs/>
          <w:color w:val="444444"/>
          <w:sz w:val="19"/>
          <w:szCs w:val="19"/>
        </w:rPr>
        <w:t xml:space="preserve">Table 3. Forecast of upcoming anomalies, on the test half.</w:t>
      </w:r>
      <w:r/>
    </w:p>
    <w:p>
      <w:pPr>
        <w:pBdr/>
        <w:spacing w:after="120" w:line="276" w:lineRule="auto"/>
        <w:ind/>
        <w:jc w:val="both"/>
        <w:rPr/>
      </w:pPr>
      <w:r>
        <w:rPr>
          <w:sz w:val="20"/>
          <w:szCs w:val="20"/>
        </w:rPr>
        <w:t xml:space="preserve">At 10 minutes the forecast beats always guessing 'no anomaly' and ranks upcoming anomalies correctly 82% of the time. Accuracy falls further ahead, as expected for any forecast.</w:t>
      </w:r>
      <w:r/>
    </w:p>
    <w:p>
      <w:pPr>
        <w:pStyle w:val="753"/>
        <w:pBdr/>
        <w:spacing/>
        <w:ind/>
        <w:rPr/>
      </w:pPr>
      <w:r>
        <w:t xml:space="preserve">6.3 Markov chain</w:t>
      </w:r>
      <w:r/>
    </w:p>
    <w:p>
      <w:pPr>
        <w:keepNext w:val="true"/>
        <w:pBdr/>
        <w:spacing w:before="120"/>
        <w:ind/>
        <w:jc w:val="center"/>
        <w:rPr/>
      </w:pPr>
      <w:r>
        <mc:AlternateContent>
          <mc:Choice Requires="wpg">
            <w:drawing>
              <wp:inline xmlns:wp="http://schemas.openxmlformats.org/drawingml/2006/wordprocessingDrawing" distT="0" distB="0" distL="0" distR="0">
                <wp:extent cx="3238500" cy="254317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8"/>
                        <a:stretch/>
                      </pic:blipFill>
                      <pic:spPr bwMode="auto">
                        <a:xfrm>
                          <a:off x="0" y="0"/>
                          <a:ext cx="3238500" cy="25431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55.00pt;height:200.25pt;mso-wrap-distance-left:0.00pt;mso-wrap-distance-top:0.00pt;mso-wrap-distance-right:0.00pt;mso-wrap-distance-bottom:0.00pt;z-index:1;" stroked="false">
                <v:imagedata r:id="rId18" o:title=""/>
                <o:lock v:ext="edit" rotation="t"/>
              </v:shape>
            </w:pict>
          </mc:Fallback>
        </mc:AlternateContent>
      </w:r>
      <w:r/>
    </w:p>
    <w:p>
      <w:pPr>
        <w:pBdr/>
        <w:spacing w:after="240" w:before="60"/>
        <w:ind/>
        <w:jc w:val="center"/>
        <w:rPr/>
      </w:pPr>
      <w:r>
        <w:rPr>
          <w:i/>
          <w:iCs/>
          <w:color w:val="444444"/>
          <w:sz w:val="19"/>
          <w:szCs w:val="19"/>
        </w:rPr>
        <w:t xml:space="preserve">Figure 9. Brier score of the fault-state forecast on held-out data (lower is better).</w:t>
      </w:r>
      <w:r/>
    </w:p>
    <w:p>
      <w:pPr>
        <w:pBdr/>
        <w:spacing w:after="120" w:line="276" w:lineRule="auto"/>
        <w:ind/>
        <w:jc w:val="both"/>
        <w:rPr/>
      </w:pPr>
      <w:r>
        <w:rPr>
          <w:sz w:val="20"/>
          <w:szCs w:val="20"/>
        </w:rPr>
        <w:t xml:space="preserve">Th</w:t>
      </w:r>
      <w:r>
        <w:rPr>
          <w:sz w:val="20"/>
          <w:szCs w:val="20"/>
        </w:rPr>
        <w:t xml:space="preserve">e Brier score measures how far predicted probabilities are from what actually happened. The Markov chain (blue) is lowest at every horizon: more accurate than assuming the current state continues (orange) or always predicting the average fault rate (grey).</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00"/>
        <w:gridCol w:w="2300"/>
        <w:gridCol w:w="2300"/>
        <w:gridCol w:w="2126"/>
      </w:tblGrid>
      <w:tr>
        <w:trPr>
          <w:tblHeader/>
        </w:trPr>
        <w:tc>
          <w:tcPr>
            <w:shd w:val="clear" w:color="auto" w:fill="1f4e79"/>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300" w:type="dxa"/>
            <w:textDirection w:val="lrTb"/>
            <w:noWrap w:val="false"/>
          </w:tcPr>
          <w:p>
            <w:pPr>
              <w:keepNext w:val="true"/>
              <w:pBdr/>
              <w:spacing/>
              <w:ind/>
              <w:jc w:val="left"/>
              <w:rPr/>
            </w:pPr>
            <w:r>
              <w:rPr>
                <w:b/>
                <w:bCs/>
                <w:color w:val="ffffff"/>
                <w:sz w:val="19"/>
                <w:szCs w:val="19"/>
              </w:rPr>
              <w:t xml:space="preserve">Horizon</w:t>
            </w:r>
            <w:r/>
          </w:p>
        </w:tc>
        <w:tc>
          <w:tcPr>
            <w:shd w:val="clear" w:color="auto" w:fill="1f4e79"/>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300" w:type="dxa"/>
            <w:textDirection w:val="lrTb"/>
            <w:noWrap w:val="false"/>
          </w:tcPr>
          <w:p>
            <w:pPr>
              <w:keepNext w:val="true"/>
              <w:pBdr/>
              <w:spacing/>
              <w:ind/>
              <w:jc w:val="center"/>
              <w:rPr/>
            </w:pPr>
            <w:r>
              <w:rPr>
                <w:b/>
                <w:bCs/>
                <w:color w:val="ffffff"/>
                <w:sz w:val="19"/>
                <w:szCs w:val="19"/>
              </w:rPr>
              <w:t xml:space="preserve">Markov</w:t>
            </w:r>
            <w:r/>
          </w:p>
        </w:tc>
        <w:tc>
          <w:tcPr>
            <w:shd w:val="clear" w:color="auto" w:fill="1f4e79"/>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300" w:type="dxa"/>
            <w:textDirection w:val="lrTb"/>
            <w:noWrap w:val="false"/>
          </w:tcPr>
          <w:p>
            <w:pPr>
              <w:keepNext w:val="true"/>
              <w:pBdr/>
              <w:spacing/>
              <w:ind/>
              <w:jc w:val="center"/>
              <w:rPr/>
            </w:pPr>
            <w:r>
              <w:rPr>
                <w:b/>
                <w:bCs/>
                <w:color w:val="ffffff"/>
                <w:sz w:val="19"/>
                <w:szCs w:val="19"/>
              </w:rPr>
              <w:t xml:space="preserve">P(A) now</w:t>
            </w:r>
            <w:r/>
          </w:p>
        </w:tc>
        <w:tc>
          <w:tcPr>
            <w:shd w:val="clear" w:color="auto" w:fill="1f4e79"/>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126" w:type="dxa"/>
            <w:textDirection w:val="lrTb"/>
            <w:noWrap w:val="false"/>
          </w:tcPr>
          <w:p>
            <w:pPr>
              <w:keepNext w:val="true"/>
              <w:pBdr/>
              <w:spacing/>
              <w:ind/>
              <w:jc w:val="center"/>
              <w:rPr/>
            </w:pPr>
            <w:r>
              <w:rPr>
                <w:b/>
                <w:bCs/>
                <w:color w:val="ffffff"/>
                <w:sz w:val="19"/>
                <w:szCs w:val="19"/>
              </w:rPr>
              <w:t xml:space="preserve">Base rate</w:t>
            </w:r>
            <w:r/>
          </w:p>
        </w:tc>
      </w:tr>
      <w:tr>
        <w:trPr/>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300" w:type="dxa"/>
            <w:textDirection w:val="lrTb"/>
            <w:noWrap w:val="false"/>
          </w:tcPr>
          <w:p>
            <w:pPr>
              <w:keepNext w:val="true"/>
              <w:pBdr/>
              <w:spacing/>
              <w:ind/>
              <w:jc w:val="left"/>
              <w:rPr/>
            </w:pPr>
            <w:r>
              <w:rPr>
                <w:sz w:val="19"/>
                <w:szCs w:val="19"/>
              </w:rPr>
              <w:t xml:space="preserve">10 min</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300" w:type="dxa"/>
            <w:textDirection w:val="lrTb"/>
            <w:noWrap w:val="false"/>
          </w:tcPr>
          <w:p>
            <w:pPr>
              <w:keepNext w:val="true"/>
              <w:pBdr/>
              <w:spacing/>
              <w:ind/>
              <w:jc w:val="center"/>
              <w:rPr/>
            </w:pPr>
            <w:r>
              <w:rPr>
                <w:sz w:val="19"/>
                <w:szCs w:val="19"/>
              </w:rPr>
              <w:t xml:space="preserve">0.082</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300" w:type="dxa"/>
            <w:textDirection w:val="lrTb"/>
            <w:noWrap w:val="false"/>
          </w:tcPr>
          <w:p>
            <w:pPr>
              <w:keepNext w:val="true"/>
              <w:pBdr/>
              <w:spacing/>
              <w:ind/>
              <w:jc w:val="center"/>
              <w:rPr/>
            </w:pPr>
            <w:r>
              <w:rPr>
                <w:sz w:val="19"/>
                <w:szCs w:val="19"/>
              </w:rPr>
              <w:t xml:space="preserve">0.128</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126" w:type="dxa"/>
            <w:textDirection w:val="lrTb"/>
            <w:noWrap w:val="false"/>
          </w:tcPr>
          <w:p>
            <w:pPr>
              <w:keepNext w:val="true"/>
              <w:pBdr/>
              <w:spacing/>
              <w:ind/>
              <w:jc w:val="center"/>
              <w:rPr/>
            </w:pPr>
            <w:r>
              <w:rPr>
                <w:sz w:val="19"/>
                <w:szCs w:val="19"/>
              </w:rPr>
              <w:t xml:space="preserve">0.086</w:t>
            </w:r>
            <w:r/>
          </w:p>
        </w:tc>
      </w:tr>
      <w:tr>
        <w:trPr/>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300" w:type="dxa"/>
            <w:textDirection w:val="lrTb"/>
            <w:noWrap w:val="false"/>
          </w:tcPr>
          <w:p>
            <w:pPr>
              <w:keepNext w:val="true"/>
              <w:pBdr/>
              <w:spacing/>
              <w:ind/>
              <w:jc w:val="left"/>
              <w:rPr/>
            </w:pPr>
            <w:r>
              <w:rPr>
                <w:sz w:val="19"/>
                <w:szCs w:val="19"/>
              </w:rPr>
              <w:t xml:space="preserve">15 min</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300" w:type="dxa"/>
            <w:textDirection w:val="lrTb"/>
            <w:noWrap w:val="false"/>
          </w:tcPr>
          <w:p>
            <w:pPr>
              <w:keepNext w:val="true"/>
              <w:pBdr/>
              <w:spacing/>
              <w:ind/>
              <w:jc w:val="center"/>
              <w:rPr/>
            </w:pPr>
            <w:r>
              <w:rPr>
                <w:sz w:val="19"/>
                <w:szCs w:val="19"/>
              </w:rPr>
              <w:t xml:space="preserve">0.084</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300" w:type="dxa"/>
            <w:textDirection w:val="lrTb"/>
            <w:noWrap w:val="false"/>
          </w:tcPr>
          <w:p>
            <w:pPr>
              <w:keepNext w:val="true"/>
              <w:pBdr/>
              <w:spacing/>
              <w:ind/>
              <w:jc w:val="center"/>
              <w:rPr/>
            </w:pPr>
            <w:r>
              <w:rPr>
                <w:sz w:val="19"/>
                <w:szCs w:val="19"/>
              </w:rPr>
              <w:t xml:space="preserve">0.135</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126" w:type="dxa"/>
            <w:textDirection w:val="lrTb"/>
            <w:noWrap w:val="false"/>
          </w:tcPr>
          <w:p>
            <w:pPr>
              <w:keepNext w:val="true"/>
              <w:pBdr/>
              <w:spacing/>
              <w:ind/>
              <w:jc w:val="center"/>
              <w:rPr/>
            </w:pPr>
            <w:r>
              <w:rPr>
                <w:sz w:val="19"/>
                <w:szCs w:val="19"/>
              </w:rPr>
              <w:t xml:space="preserve">0.087</w:t>
            </w:r>
            <w:r/>
          </w:p>
        </w:tc>
      </w:tr>
      <w:tr>
        <w:trPr/>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300" w:type="dxa"/>
            <w:textDirection w:val="lrTb"/>
            <w:noWrap w:val="false"/>
          </w:tcPr>
          <w:p>
            <w:pPr>
              <w:keepNext w:val="true"/>
              <w:pBdr/>
              <w:spacing/>
              <w:ind/>
              <w:jc w:val="left"/>
              <w:rPr/>
            </w:pPr>
            <w:r>
              <w:rPr>
                <w:sz w:val="19"/>
                <w:szCs w:val="19"/>
              </w:rPr>
              <w:t xml:space="preserve">30 min</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300" w:type="dxa"/>
            <w:textDirection w:val="lrTb"/>
            <w:noWrap w:val="false"/>
          </w:tcPr>
          <w:p>
            <w:pPr>
              <w:keepNext w:val="true"/>
              <w:pBdr/>
              <w:spacing/>
              <w:ind/>
              <w:jc w:val="center"/>
              <w:rPr/>
            </w:pPr>
            <w:r>
              <w:rPr>
                <w:sz w:val="19"/>
                <w:szCs w:val="19"/>
              </w:rPr>
              <w:t xml:space="preserve">0.086</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300" w:type="dxa"/>
            <w:textDirection w:val="lrTb"/>
            <w:noWrap w:val="false"/>
          </w:tcPr>
          <w:p>
            <w:pPr>
              <w:keepNext w:val="true"/>
              <w:pBdr/>
              <w:spacing/>
              <w:ind/>
              <w:jc w:val="center"/>
              <w:rPr/>
            </w:pPr>
            <w:r>
              <w:rPr>
                <w:sz w:val="19"/>
                <w:szCs w:val="19"/>
              </w:rPr>
              <w:t xml:space="preserve">0.138</w:t>
            </w:r>
            <w:r/>
          </w:p>
        </w:tc>
        <w:tc>
          <w:tcPr>
            <w:tcBorders>
              <w:top w:val="single" w:color="b7c4d1" w:sz="4" w:space="0"/>
              <w:left w:val="single" w:color="b7c4d1" w:sz="4" w:space="0"/>
              <w:bottom w:val="single" w:color="b7c4d1" w:sz="4" w:space="0"/>
              <w:right w:val="single" w:color="b7c4d1" w:sz="4" w:space="0"/>
            </w:tcBorders>
            <w:tcMar>
              <w:left w:w="100" w:type="dxa"/>
              <w:top w:w="60" w:type="dxa"/>
              <w:right w:w="100" w:type="dxa"/>
              <w:bottom w:w="60" w:type="dxa"/>
            </w:tcMar>
            <w:tcW w:w="2126" w:type="dxa"/>
            <w:textDirection w:val="lrTb"/>
            <w:noWrap w:val="false"/>
          </w:tcPr>
          <w:p>
            <w:pPr>
              <w:keepNext w:val="true"/>
              <w:pBdr/>
              <w:spacing/>
              <w:ind/>
              <w:jc w:val="center"/>
              <w:rPr/>
            </w:pPr>
            <w:r>
              <w:rPr>
                <w:sz w:val="19"/>
                <w:szCs w:val="19"/>
              </w:rPr>
              <w:t xml:space="preserve">0.089</w:t>
            </w:r>
            <w:r/>
          </w:p>
        </w:tc>
      </w:tr>
    </w:tbl>
    <w:p>
      <w:pPr>
        <w:pBdr/>
        <w:spacing w:after="240" w:before="60"/>
        <w:ind/>
        <w:jc w:val="center"/>
        <w:rPr/>
      </w:pPr>
      <w:r>
        <w:rPr>
          <w:i/>
          <w:iCs/>
          <w:color w:val="444444"/>
          <w:sz w:val="19"/>
          <w:szCs w:val="19"/>
        </w:rPr>
        <w:t xml:space="preserve">Table 4. Brier score by horizon. The Markov chain is the most accurate at every horizon.</w:t>
      </w:r>
      <w:r/>
    </w:p>
    <w:p>
      <w:pPr>
        <w:pStyle w:val="752"/>
        <w:pBdr/>
        <w:spacing/>
        <w:ind/>
        <w:rPr/>
      </w:pPr>
      <w:r>
        <w:t xml:space="preserve">7. Conclusion</w:t>
      </w:r>
      <w:r/>
    </w:p>
    <w:p>
      <w:pPr>
        <w:pStyle w:val="732"/>
        <w:numPr>
          <w:ilvl w:val="0"/>
          <w:numId w:val="2"/>
        </w:numPr>
        <w:pBdr/>
        <w:spacing w:after="60"/>
        <w:ind/>
        <w:rPr/>
      </w:pPr>
      <w:r>
        <w:t xml:space="preserve">End-to-end system, from the sensor node to a live dashboard.</w:t>
      </w:r>
      <w:r/>
    </w:p>
    <w:p>
      <w:pPr>
        <w:pStyle w:val="732"/>
        <w:numPr>
          <w:ilvl w:val="0"/>
          <w:numId w:val="2"/>
        </w:numPr>
        <w:pBdr/>
        <w:spacing w:after="60"/>
        <w:ind/>
        <w:rPr/>
      </w:pPr>
      <w:r>
        <w:t xml:space="preserve">Beats a z-score baseline overall, most clearly on gradual drift.</w:t>
      </w:r>
      <w:r/>
    </w:p>
    <w:p>
      <w:pPr>
        <w:pStyle w:val="732"/>
        <w:numPr>
          <w:ilvl w:val="0"/>
          <w:numId w:val="2"/>
        </w:numPr>
        <w:pBdr/>
        <w:spacing w:after="60"/>
        <w:ind/>
        <w:rPr/>
      </w:pPr>
      <w:r>
        <w:t xml:space="preserve">Gives useful fault-risk forecasts, strongest at 10 minutes.</w:t>
      </w:r>
      <w:r/>
    </w:p>
    <w:p>
      <w:pPr>
        <w:pStyle w:val="732"/>
        <w:numPr>
          <w:ilvl w:val="0"/>
          <w:numId w:val="2"/>
        </w:numPr>
        <w:pBdr/>
        <w:spacing w:after="60"/>
        <w:ind/>
        <w:rPr/>
      </w:pPr>
      <w:r>
        <w:t xml:space="preserve">Next: longer, multi-room data and a dust sensor on the node.</w:t>
      </w:r>
      <w:r/>
    </w:p>
    <w:p>
      <w:pPr>
        <w:pStyle w:val="752"/>
        <w:pBdr/>
        <w:spacing/>
        <w:ind/>
        <w:rPr/>
      </w:pPr>
      <w:r>
        <w:t xml:space="preserve">References</w:t>
      </w:r>
      <w:r/>
    </w:p>
    <w:p>
      <w:pPr>
        <w:pStyle w:val="732"/>
        <w:numPr>
          <w:ilvl w:val="0"/>
          <w:numId w:val="3"/>
        </w:numPr>
        <w:pBdr/>
        <w:spacing w:after="40"/>
        <w:ind/>
        <w:rPr/>
      </w:pPr>
      <w:r>
        <w:rPr>
          <w:sz w:val="18"/>
          <w:szCs w:val="18"/>
        </w:rPr>
        <w:t xml:space="preserve">F. T. Liu, K. M. Ting and Z.-H. Zhou, "Isolation Forest," IEEE ICDM, 2008.</w:t>
      </w:r>
      <w:r/>
    </w:p>
    <w:p>
      <w:pPr>
        <w:pStyle w:val="732"/>
        <w:numPr>
          <w:ilvl w:val="0"/>
          <w:numId w:val="3"/>
        </w:numPr>
        <w:pBdr/>
        <w:spacing w:after="40"/>
        <w:ind/>
        <w:rPr/>
      </w:pPr>
      <w:r>
        <w:rPr>
          <w:sz w:val="18"/>
          <w:szCs w:val="18"/>
        </w:rPr>
        <w:t xml:space="preserve">G. W. Brier, "Verification of forecasts expressed in terms of probability," Monthly Weather Review, 1950.</w:t>
      </w:r>
      <w:r/>
    </w:p>
    <w:p>
      <w:pPr>
        <w:pStyle w:val="732"/>
        <w:numPr>
          <w:ilvl w:val="0"/>
          <w:numId w:val="3"/>
        </w:numPr>
        <w:pBdr/>
        <w:spacing w:after="40"/>
        <w:ind/>
        <w:rPr/>
      </w:pPr>
      <w:r>
        <w:rPr>
          <w:sz w:val="18"/>
          <w:szCs w:val="18"/>
        </w:rPr>
        <w:t xml:space="preserve">M. O. Onibonoje et al., "An IoT-based approach to real-time conditioning and control in a server room," 2019.</w:t>
      </w:r>
      <w:r/>
    </w:p>
    <w:p>
      <w:pPr>
        <w:pStyle w:val="732"/>
        <w:numPr>
          <w:ilvl w:val="0"/>
          <w:numId w:val="3"/>
        </w:numPr>
        <w:pBdr/>
        <w:spacing w:after="40"/>
        <w:ind/>
        <w:rPr/>
      </w:pPr>
      <w:r>
        <w:rPr>
          <w:sz w:val="18"/>
          <w:szCs w:val="18"/>
        </w:rPr>
        <w:t xml:space="preserve">A. M. Widodo et al., "IoT based multi-server room temperature and humidity monitoring … fuzzy logic controller," 2022.</w:t>
      </w:r>
      <w:r/>
    </w:p>
    <w:p>
      <w:pPr>
        <w:pStyle w:val="732"/>
        <w:numPr>
          <w:ilvl w:val="0"/>
          <w:numId w:val="3"/>
        </w:numPr>
        <w:pBdr/>
        <w:spacing w:after="40"/>
        <w:ind/>
        <w:rPr/>
      </w:pPr>
      <w:r>
        <w:rPr>
          <w:sz w:val="18"/>
          <w:szCs w:val="18"/>
        </w:rPr>
        <w:t xml:space="preserve">Y. Tishan, I. Ashly et al., "Real-time server room monitoring system using IoT technology," 2023.</w:t>
      </w:r>
      <w:r/>
    </w:p>
    <w:sectPr>
      <w:footerReference w:type="default" r:id="rId9"/>
      <w:footnotePr/>
      <w:endnotePr/>
      <w:type w:val="nextPage"/>
      <w:pgSz w:h="16838" w:orient="portrait" w:w="11906"/>
      <w:pgMar w:top="1134" w:right="1440" w:bottom="1134"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70" w:left="5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540" w:left="540"/>
      </w:pPr>
      <w:rPr>
        <w:sz w:val="18"/>
        <w:szCs w:val="1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2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2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2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2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2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2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24"/>
    <w:next w:val="72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24"/>
    <w:next w:val="72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24"/>
    <w:next w:val="72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52"/>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53"/>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7"/>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8"/>
    <w:uiPriority w:val="9"/>
    <w:pPr>
      <w:pBdr/>
      <w:spacing/>
      <w:ind/>
    </w:pPr>
    <w:rPr>
      <w:rFonts w:ascii="Arial" w:hAnsi="Arial" w:eastAsia="Arial" w:cs="Arial"/>
      <w:i/>
      <w:iCs/>
      <w:color w:val="0f4761" w:themeColor="accent1" w:themeShade="BF"/>
    </w:rPr>
  </w:style>
  <w:style w:type="character" w:styleId="154">
    <w:name w:val="Heading 5 Char"/>
    <w:basedOn w:val="148"/>
    <w:link w:val="729"/>
    <w:uiPriority w:val="9"/>
    <w:pPr>
      <w:pBdr/>
      <w:spacing/>
      <w:ind/>
    </w:pPr>
    <w:rPr>
      <w:rFonts w:ascii="Arial" w:hAnsi="Arial" w:eastAsia="Arial" w:cs="Arial"/>
      <w:color w:val="0f4761" w:themeColor="accent1" w:themeShade="BF"/>
    </w:rPr>
  </w:style>
  <w:style w:type="character" w:styleId="155">
    <w:name w:val="Heading 6 Char"/>
    <w:basedOn w:val="148"/>
    <w:link w:val="730"/>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26"/>
    <w:uiPriority w:val="10"/>
    <w:pPr>
      <w:pBdr/>
      <w:spacing/>
      <w:ind/>
    </w:pPr>
    <w:rPr>
      <w:rFonts w:ascii="Arial" w:hAnsi="Arial" w:eastAsia="Arial" w:cs="Arial"/>
      <w:spacing w:val="-10"/>
      <w:sz w:val="56"/>
      <w:szCs w:val="56"/>
    </w:rPr>
  </w:style>
  <w:style w:type="paragraph" w:styleId="161">
    <w:name w:val="Subtitle"/>
    <w:basedOn w:val="724"/>
    <w:next w:val="72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724"/>
    <w:next w:val="72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724"/>
    <w:next w:val="72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724"/>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72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72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character" w:styleId="188">
    <w:name w:val="FollowedHyperlink"/>
    <w:basedOn w:val="148"/>
    <w:uiPriority w:val="99"/>
    <w:semiHidden/>
    <w:unhideWhenUsed/>
    <w:pPr>
      <w:pBdr/>
      <w:spacing/>
      <w:ind/>
    </w:pPr>
    <w:rPr>
      <w:color w:val="954f72" w:themeColor="followedHyperlink"/>
      <w:u w:val="single"/>
    </w:r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24"/>
    <w:next w:val="724"/>
    <w:uiPriority w:val="99"/>
    <w:unhideWhenUsed/>
    <w:pPr>
      <w:pBdr/>
      <w:spacing w:after="0" w:afterAutospacing="0"/>
      <w:ind/>
    </w:pPr>
  </w:style>
  <w:style w:type="paragraph" w:styleId="724" w:default="1">
    <w:name w:val="Normal"/>
    <w:qFormat/>
    <w:pPr>
      <w:pBdr/>
      <w:spacing/>
      <w:ind/>
    </w:pPr>
  </w:style>
  <w:style w:type="table" w:styleId="72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6">
    <w:name w:val="Title"/>
    <w:basedOn w:val="724"/>
    <w:next w:val="724"/>
    <w:qFormat/>
    <w:pPr>
      <w:pBdr/>
      <w:spacing/>
      <w:ind/>
    </w:pPr>
    <w:rPr>
      <w:sz w:val="56"/>
      <w:szCs w:val="56"/>
    </w:rPr>
  </w:style>
  <w:style w:type="paragraph" w:styleId="727">
    <w:name w:val="Heading 3"/>
    <w:basedOn w:val="724"/>
    <w:next w:val="724"/>
    <w:qFormat/>
    <w:pPr>
      <w:pBdr/>
      <w:spacing/>
      <w:ind/>
    </w:pPr>
    <w:rPr>
      <w:color w:val="1f4d78"/>
      <w:sz w:val="24"/>
      <w:szCs w:val="24"/>
    </w:rPr>
  </w:style>
  <w:style w:type="paragraph" w:styleId="728">
    <w:name w:val="Heading 4"/>
    <w:basedOn w:val="724"/>
    <w:next w:val="724"/>
    <w:qFormat/>
    <w:pPr>
      <w:pBdr/>
      <w:spacing/>
      <w:ind/>
    </w:pPr>
    <w:rPr>
      <w:i/>
      <w:iCs/>
      <w:color w:val="2e74b5"/>
    </w:rPr>
  </w:style>
  <w:style w:type="paragraph" w:styleId="729">
    <w:name w:val="Heading 5"/>
    <w:basedOn w:val="724"/>
    <w:next w:val="724"/>
    <w:qFormat/>
    <w:pPr>
      <w:pBdr/>
      <w:spacing/>
      <w:ind/>
    </w:pPr>
    <w:rPr>
      <w:color w:val="2e74b5"/>
    </w:rPr>
  </w:style>
  <w:style w:type="paragraph" w:styleId="730">
    <w:name w:val="Heading 6"/>
    <w:basedOn w:val="724"/>
    <w:next w:val="724"/>
    <w:qFormat/>
    <w:pPr>
      <w:pBdr/>
      <w:spacing/>
      <w:ind/>
    </w:pPr>
    <w:rPr>
      <w:color w:val="1f4d78"/>
    </w:rPr>
  </w:style>
  <w:style w:type="paragraph" w:styleId="731">
    <w:name w:val="Strong"/>
    <w:basedOn w:val="724"/>
    <w:next w:val="724"/>
    <w:qFormat/>
    <w:pPr>
      <w:pBdr/>
      <w:spacing/>
      <w:ind/>
    </w:pPr>
    <w:rPr>
      <w:b/>
      <w:bCs/>
    </w:rPr>
  </w:style>
  <w:style w:type="paragraph" w:styleId="732">
    <w:name w:val="List Paragraph"/>
    <w:basedOn w:val="724"/>
    <w:qFormat/>
    <w:pPr>
      <w:pBdr/>
      <w:spacing/>
      <w:ind/>
    </w:pPr>
  </w:style>
  <w:style w:type="paragraph" w:styleId="733">
    <w:name w:val="Caption"/>
    <w:basedOn w:val="724"/>
    <w:next w:val="724"/>
    <w:uiPriority w:val="35"/>
    <w:semiHidden/>
    <w:unhideWhenUsed/>
    <w:qFormat/>
    <w:pPr>
      <w:pBdr/>
      <w:spacing w:after="200"/>
      <w:ind/>
    </w:pPr>
    <w:rPr>
      <w:i/>
      <w:iCs/>
      <w:color w:val="44546a" w:themeColor="dark2"/>
      <w:sz w:val="18"/>
      <w:szCs w:val="18"/>
    </w:rPr>
  </w:style>
  <w:style w:type="paragraph" w:styleId="734">
    <w:name w:val="Bibliography"/>
    <w:basedOn w:val="724"/>
    <w:next w:val="724"/>
    <w:uiPriority w:val="37"/>
    <w:unhideWhenUsed/>
    <w:pPr>
      <w:pBdr/>
      <w:spacing/>
      <w:ind/>
    </w:pPr>
  </w:style>
  <w:style w:type="paragraph" w:styleId="735">
    <w:name w:val="toc 1"/>
    <w:basedOn w:val="724"/>
    <w:next w:val="724"/>
    <w:uiPriority w:val="39"/>
    <w:semiHidden/>
    <w:unhideWhenUsed/>
    <w:pPr>
      <w:pBdr/>
      <w:spacing w:after="100"/>
      <w:ind/>
    </w:pPr>
  </w:style>
  <w:style w:type="paragraph" w:styleId="736">
    <w:name w:val="toc 2"/>
    <w:basedOn w:val="724"/>
    <w:next w:val="724"/>
    <w:uiPriority w:val="39"/>
    <w:semiHidden/>
    <w:unhideWhenUsed/>
    <w:pPr>
      <w:pBdr/>
      <w:spacing w:after="100"/>
      <w:ind w:left="220"/>
    </w:pPr>
  </w:style>
  <w:style w:type="paragraph" w:styleId="737">
    <w:name w:val="toc 3"/>
    <w:basedOn w:val="724"/>
    <w:next w:val="724"/>
    <w:uiPriority w:val="39"/>
    <w:semiHidden/>
    <w:unhideWhenUsed/>
    <w:pPr>
      <w:pBdr/>
      <w:spacing w:after="100"/>
      <w:ind w:left="440"/>
    </w:pPr>
  </w:style>
  <w:style w:type="paragraph" w:styleId="738">
    <w:name w:val="toc 4"/>
    <w:basedOn w:val="724"/>
    <w:next w:val="724"/>
    <w:uiPriority w:val="39"/>
    <w:semiHidden/>
    <w:unhideWhenUsed/>
    <w:pPr>
      <w:pBdr/>
      <w:spacing w:after="100"/>
      <w:ind w:left="660"/>
    </w:pPr>
  </w:style>
  <w:style w:type="paragraph" w:styleId="739">
    <w:name w:val="toc 5"/>
    <w:basedOn w:val="724"/>
    <w:next w:val="724"/>
    <w:uiPriority w:val="39"/>
    <w:semiHidden/>
    <w:unhideWhenUsed/>
    <w:pPr>
      <w:pBdr/>
      <w:spacing w:after="100"/>
      <w:ind w:left="880"/>
    </w:pPr>
  </w:style>
  <w:style w:type="paragraph" w:styleId="740">
    <w:name w:val="toc 6"/>
    <w:basedOn w:val="724"/>
    <w:next w:val="724"/>
    <w:uiPriority w:val="39"/>
    <w:semiHidden/>
    <w:unhideWhenUsed/>
    <w:pPr>
      <w:pBdr/>
      <w:spacing w:after="100"/>
      <w:ind w:left="1100"/>
    </w:pPr>
  </w:style>
  <w:style w:type="paragraph" w:styleId="741">
    <w:name w:val="toc 7"/>
    <w:basedOn w:val="724"/>
    <w:next w:val="724"/>
    <w:uiPriority w:val="39"/>
    <w:semiHidden/>
    <w:unhideWhenUsed/>
    <w:pPr>
      <w:pBdr/>
      <w:spacing w:after="100"/>
      <w:ind w:left="1320"/>
    </w:pPr>
  </w:style>
  <w:style w:type="paragraph" w:styleId="742">
    <w:name w:val="toc 8"/>
    <w:basedOn w:val="724"/>
    <w:next w:val="724"/>
    <w:uiPriority w:val="39"/>
    <w:semiHidden/>
    <w:unhideWhenUsed/>
    <w:pPr>
      <w:pBdr/>
      <w:spacing w:after="100"/>
      <w:ind w:left="1540"/>
    </w:pPr>
  </w:style>
  <w:style w:type="paragraph" w:styleId="743">
    <w:name w:val="toc 9"/>
    <w:basedOn w:val="724"/>
    <w:next w:val="724"/>
    <w:uiPriority w:val="39"/>
    <w:semiHidden/>
    <w:unhideWhenUsed/>
    <w:pPr>
      <w:pBdr/>
      <w:spacing w:after="100"/>
      <w:ind w:left="1760"/>
    </w:pPr>
  </w:style>
  <w:style w:type="character" w:styleId="744">
    <w:name w:val="Hyperlink"/>
    <w:uiPriority w:val="99"/>
    <w:unhideWhenUsed/>
    <w:pPr>
      <w:pBdr/>
      <w:spacing/>
      <w:ind/>
    </w:pPr>
    <w:rPr>
      <w:color w:val="0563c1"/>
      <w:u w:val="single"/>
    </w:rPr>
  </w:style>
  <w:style w:type="character" w:styleId="745">
    <w:name w:val="footnote reference"/>
    <w:uiPriority w:val="99"/>
    <w:semiHidden/>
    <w:unhideWhenUsed/>
    <w:pPr>
      <w:pBdr/>
      <w:spacing/>
      <w:ind/>
    </w:pPr>
    <w:rPr>
      <w:vertAlign w:val="superscript"/>
    </w:rPr>
  </w:style>
  <w:style w:type="paragraph" w:styleId="746">
    <w:name w:val="footnote text"/>
    <w:basedOn w:val="724"/>
    <w:link w:val="747"/>
    <w:uiPriority w:val="99"/>
    <w:semiHidden/>
    <w:unhideWhenUsed/>
    <w:pPr>
      <w:pBdr/>
      <w:spacing w:after="0" w:line="240" w:lineRule="auto"/>
      <w:ind/>
    </w:pPr>
    <w:rPr>
      <w:sz w:val="20"/>
      <w:szCs w:val="20"/>
    </w:rPr>
  </w:style>
  <w:style w:type="character" w:styleId="747">
    <w:name w:val="Footnote Text Char"/>
    <w:link w:val="746"/>
    <w:uiPriority w:val="99"/>
    <w:semiHidden/>
    <w:unhideWhenUsed/>
    <w:pPr>
      <w:pBdr/>
      <w:spacing/>
      <w:ind/>
    </w:pPr>
    <w:rPr>
      <w:sz w:val="20"/>
      <w:szCs w:val="20"/>
    </w:rPr>
  </w:style>
  <w:style w:type="character" w:styleId="748">
    <w:name w:val="endnote reference"/>
    <w:uiPriority w:val="99"/>
    <w:semiHidden/>
    <w:unhideWhenUsed/>
    <w:pPr>
      <w:pBdr/>
      <w:spacing/>
      <w:ind/>
    </w:pPr>
    <w:rPr>
      <w:vertAlign w:val="superscript"/>
    </w:rPr>
  </w:style>
  <w:style w:type="paragraph" w:styleId="749">
    <w:name w:val="endnote text"/>
    <w:basedOn w:val="724"/>
    <w:link w:val="750"/>
    <w:uiPriority w:val="99"/>
    <w:semiHidden/>
    <w:unhideWhenUsed/>
    <w:pPr>
      <w:pBdr/>
      <w:spacing w:after="0" w:line="240" w:lineRule="auto"/>
      <w:ind/>
    </w:pPr>
    <w:rPr>
      <w:sz w:val="20"/>
      <w:szCs w:val="20"/>
    </w:rPr>
  </w:style>
  <w:style w:type="character" w:styleId="750">
    <w:name w:val="Endnote Text Char"/>
    <w:link w:val="749"/>
    <w:uiPriority w:val="99"/>
    <w:semiHidden/>
    <w:unhideWhenUsed/>
    <w:pPr>
      <w:pBdr/>
      <w:spacing/>
      <w:ind/>
    </w:pPr>
    <w:rPr>
      <w:sz w:val="20"/>
      <w:szCs w:val="20"/>
    </w:rPr>
  </w:style>
  <w:style w:type="character" w:styleId="751">
    <w:name w:val="line number"/>
    <w:uiPriority w:val="99"/>
    <w:semiHidden/>
    <w:unhideWhenUsed/>
    <w:pPr>
      <w:pBdr/>
      <w:spacing/>
      <w:ind/>
    </w:pPr>
  </w:style>
  <w:style w:type="paragraph" w:styleId="752">
    <w:name w:val="Heading 1"/>
    <w:basedOn w:val="724"/>
    <w:next w:val="724"/>
    <w:qFormat/>
    <w:pPr>
      <w:keepNext w:val="true"/>
      <w:pBdr/>
      <w:spacing w:after="120" w:before="280"/>
      <w:ind/>
      <w:outlineLvl w:val="0"/>
    </w:pPr>
    <w:rPr>
      <w:rFonts w:ascii="Calibri" w:hAnsi="Calibri" w:eastAsia="Calibri" w:cs="Calibri"/>
      <w:b/>
      <w:bCs/>
      <w:color w:val="1f4e79"/>
      <w:sz w:val="28"/>
      <w:szCs w:val="28"/>
    </w:rPr>
  </w:style>
  <w:style w:type="paragraph" w:styleId="753">
    <w:name w:val="Heading 2"/>
    <w:basedOn w:val="724"/>
    <w:next w:val="724"/>
    <w:qFormat/>
    <w:pPr>
      <w:keepNext w:val="true"/>
      <w:pBdr/>
      <w:spacing w:after="80" w:before="200"/>
      <w:ind/>
      <w:outlineLvl w:val="1"/>
    </w:pPr>
    <w:rPr>
      <w:rFonts w:ascii="Calibri" w:hAnsi="Calibri" w:eastAsia="Calibri" w:cs="Calibri"/>
      <w:b/>
      <w:bCs/>
      <w:color w:val="2e75b6"/>
      <w:sz w:val="23"/>
      <w:szCs w:val="23"/>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ONLYOFFICE/9.1.0.173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Cascading Risk Prediction for Data Center Monitoring</dc:title>
  <dc:creator>Nishant Ajit, Vishnu Charan</dc:creator>
  <cp:revision>2</cp:revision>
  <dcterms:created xsi:type="dcterms:W3CDTF">2026-10-23T13:02:09Z</dcterms:created>
  <dcterms:modified xsi:type="dcterms:W3CDTF">2026-10-23T13:05:29Z</dcterms:modified>
</cp:coreProperties>
</file>