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Smart</w:t>
      </w:r>
      <w:r>
        <w:t xml:space="preserve"> </w:t>
      </w:r>
      <w:r>
        <w:t xml:space="preserve">Market</w:t>
      </w:r>
      <w:r>
        <w:t xml:space="preserve"> </w:t>
      </w:r>
      <w:r>
        <w:t xml:space="preserve">Watchlist</w:t>
      </w:r>
      <w:r>
        <w:t xml:space="preserve"> </w:t>
      </w:r>
      <w:r>
        <w:t xml:space="preserve">—</w:t>
      </w:r>
      <w:r>
        <w:t xml:space="preserve"> </w:t>
      </w:r>
      <w:r>
        <w:t xml:space="preserve">Product</w:t>
      </w:r>
      <w:r>
        <w:t xml:space="preserve"> </w:t>
      </w:r>
      <w:r>
        <w:t xml:space="preserve">Requirements</w:t>
      </w:r>
      <w:r>
        <w:t xml:space="preserve"> </w:t>
      </w:r>
      <w:r>
        <w:t xml:space="preserve">Document</w:t>
      </w:r>
    </w:p>
    <w:p>
      <w:pPr>
        <w:pStyle w:val="Author"/>
      </w:pPr>
      <w:r>
        <w:t xml:space="preserve">Product</w:t>
      </w:r>
      <w:r>
        <w:t xml:space="preserve"> </w:t>
      </w:r>
      <w:r>
        <w:t xml:space="preserve">/</w:t>
      </w:r>
      <w:r>
        <w:t xml:space="preserve"> </w:t>
      </w:r>
      <w:r>
        <w:t xml:space="preserve">Engineering</w:t>
      </w:r>
    </w:p>
    <w:p>
      <w:pPr>
        <w:pStyle w:val="Date"/>
      </w:pPr>
      <w:r>
        <w:t xml:space="preserve">Version</w:t>
      </w:r>
      <w:r>
        <w:t xml:space="preserve"> </w:t>
      </w:r>
      <w:r>
        <w:t xml:space="preserve">1.0</w:t>
      </w:r>
      <w:r>
        <w:t xml:space="preserve"> </w:t>
      </w:r>
      <w:r>
        <w:t xml:space="preserve">—</w:t>
      </w:r>
      <w:r>
        <w:t xml:space="preserve"> </w:t>
      </w:r>
      <w:r>
        <w:t xml:space="preserve">September</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product-overview-status"/>
    <w:p>
      <w:pPr>
        <w:pStyle w:val="Heading1"/>
      </w:pPr>
      <w:r>
        <w:t xml:space="preserve">1. Product Overview &amp; Status</w:t>
      </w:r>
    </w:p>
    <w:p>
      <w:pPr>
        <w:numPr>
          <w:ilvl w:val="0"/>
          <w:numId w:val="1001"/>
        </w:numPr>
        <w:pStyle w:val="Compact"/>
      </w:pPr>
      <w:r>
        <w:rPr>
          <w:bCs/>
          <w:b/>
        </w:rPr>
        <w:t xml:space="preserve">Product name:</w:t>
      </w:r>
      <w:r>
        <w:t xml:space="preserve"> </w:t>
      </w:r>
      <w:r>
        <w:t xml:space="preserve">Smart Market Watchlist</w:t>
      </w:r>
    </w:p>
    <w:p>
      <w:pPr>
        <w:numPr>
          <w:ilvl w:val="0"/>
          <w:numId w:val="1001"/>
        </w:numPr>
        <w:pStyle w:val="Compact"/>
      </w:pPr>
      <w:r>
        <w:rPr>
          <w:bCs/>
          <w:b/>
        </w:rPr>
        <w:t xml:space="preserve">Document status:</w:t>
      </w:r>
      <w:r>
        <w:t xml:space="preserve"> </w:t>
      </w:r>
      <w:r>
        <w:t xml:space="preserve">Final PRD (v1.0) — supersedes Requirements Specification v0.3</w:t>
      </w:r>
    </w:p>
    <w:p>
      <w:pPr>
        <w:numPr>
          <w:ilvl w:val="0"/>
          <w:numId w:val="1001"/>
        </w:numPr>
        <w:pStyle w:val="Compact"/>
      </w:pPr>
      <w:r>
        <w:rPr>
          <w:bCs/>
          <w:b/>
        </w:rPr>
        <w:t xml:space="preserve">Scope:</w:t>
      </w:r>
      <w:r>
        <w:t xml:space="preserve"> </w:t>
      </w:r>
      <w:r>
        <w:t xml:space="preserve">End-to-end product — frontend, backend, and data pipeline</w:t>
      </w:r>
    </w:p>
    <w:p>
      <w:pPr>
        <w:numPr>
          <w:ilvl w:val="0"/>
          <w:numId w:val="1001"/>
        </w:numPr>
        <w:pStyle w:val="Compact"/>
      </w:pPr>
      <w:r>
        <w:rPr>
          <w:bCs/>
          <w:b/>
        </w:rPr>
        <w:t xml:space="preserve">Owners:</w:t>
      </w:r>
      <w:r>
        <w:t xml:space="preserve"> </w:t>
      </w:r>
      <w:r>
        <w:t xml:space="preserve">Product, Engineering, Design</w:t>
      </w:r>
    </w:p>
    <w:p>
      <w:pPr>
        <w:pStyle w:val="FirstParagraph"/>
      </w:pPr>
      <w:r>
        <w:t xml:space="preserve">This document defines what the product is, why it exists, and exactly how it behaves. It replaces the</w:t>
      </w:r>
      <w:r>
        <w:t xml:space="preserve"> </w:t>
      </w:r>
      <w:r>
        <w:t xml:space="preserve">“</w:t>
      </w:r>
      <w:r>
        <w:t xml:space="preserve">candidate</w:t>
      </w:r>
      <w:r>
        <w:t xml:space="preserve">”</w:t>
      </w:r>
      <w:r>
        <w:t xml:space="preserve">/</w:t>
      </w:r>
      <w:r>
        <w:t xml:space="preserve">“</w:t>
      </w:r>
      <w:r>
        <w:t xml:space="preserve">direction, not final</w:t>
      </w:r>
      <w:r>
        <w:t xml:space="preserve">”</w:t>
      </w:r>
      <w:r>
        <w:t xml:space="preserve"> </w:t>
      </w:r>
      <w:r>
        <w:t xml:space="preserve">language of the earlier requirements draft with resolved decisions. Anything not explicitly marked as future scope is in scope for v1.</w:t>
      </w:r>
    </w:p>
    <w:bookmarkEnd w:id="20"/>
    <w:bookmarkStart w:id="21" w:name="problem-statement-challenge-recap"/>
    <w:p>
      <w:pPr>
        <w:pStyle w:val="Heading1"/>
      </w:pPr>
      <w:r>
        <w:t xml:space="preserve">2. Problem Statement &amp; Challenge Recap</w:t>
      </w:r>
    </w:p>
    <w:p>
      <w:pPr>
        <w:pStyle w:val="FirstParagraph"/>
      </w:pPr>
      <w:r>
        <w:rPr>
          <w:bCs/>
          <w:b/>
        </w:rPr>
        <w:t xml:space="preserve">Challenge brief:</w:t>
      </w:r>
      <w:r>
        <w:t xml:space="preserve"> </w:t>
      </w:r>
      <w:r>
        <w:t xml:space="preserve">Build a smart market watchlist that helps users not just track stocks, but quickly understand what has meaningfully changed since they last checked, and what deserves their attention now.</w:t>
      </w:r>
    </w:p>
    <w:p>
      <w:pPr>
        <w:pStyle w:val="BodyText"/>
      </w:pPr>
      <w:r>
        <w:rPr>
          <w:bCs/>
          <w:b/>
        </w:rPr>
        <w:t xml:space="preserve">Minimum required capabilities:</w:t>
      </w:r>
      <w:r>
        <w:t xml:space="preserve"> </w:t>
      </w:r>
      <w:r>
        <w:t xml:space="preserve">create and manage a watchlist; view latest market information; return later and see what changed; build end-to-end (frontend + backend).</w:t>
      </w:r>
    </w:p>
    <w:p>
      <w:pPr>
        <w:pStyle w:val="BodyText"/>
      </w:pPr>
      <w:r>
        <w:rPr>
          <w:bCs/>
          <w:b/>
        </w:rPr>
        <w:t xml:space="preserve">The actual problem:</w:t>
      </w:r>
      <w:r>
        <w:t xml:space="preserve"> </w:t>
      </w:r>
      <w:r>
        <w:t xml:space="preserve">A conventional watchlist externalizes all of the interpretive work onto the user. Every time they open it, they must personally re-scan every row, remember what they last saw, judge whether today’s move is normal or not, and decide what’s worth investigating. That work doesn’t scale past a handful of stocks, and it happens identically for every user watching the same stock — millions of people independently re-deriving the same judgment. The product’s job is to do that interpretive work once, transparently, and hand the user a short, evidence-backed answer instead of a wall of numbers.</w:t>
      </w:r>
    </w:p>
    <w:bookmarkEnd w:id="21"/>
    <w:bookmarkStart w:id="22" w:name="product-thesis"/>
    <w:p>
      <w:pPr>
        <w:pStyle w:val="Heading1"/>
      </w:pPr>
      <w:r>
        <w:t xml:space="preserve">3. Product Thesis</w:t>
      </w:r>
    </w:p>
    <w:p>
      <w:pPr>
        <w:pStyle w:val="BlockText"/>
      </w:pPr>
      <w:r>
        <w:rPr>
          <w:bCs/>
          <w:b/>
        </w:rPr>
        <w:t xml:space="preserve">A traditional watchlist answers</w:t>
      </w:r>
      <w:r>
        <w:rPr>
          <w:bCs/>
          <w:b/>
        </w:rPr>
        <w:t xml:space="preserve"> </w:t>
      </w:r>
      <w:r>
        <w:rPr>
          <w:bCs/>
          <w:b/>
        </w:rPr>
        <w:t xml:space="preserve">“</w:t>
      </w:r>
      <w:r>
        <w:rPr>
          <w:bCs/>
          <w:b/>
        </w:rPr>
        <w:t xml:space="preserve">what is the price now.</w:t>
      </w:r>
      <w:r>
        <w:rPr>
          <w:bCs/>
          <w:b/>
        </w:rPr>
        <w:t xml:space="preserve">”</w:t>
      </w:r>
      <w:r>
        <w:rPr>
          <w:bCs/>
          <w:b/>
        </w:rPr>
        <w:t xml:space="preserve"> </w:t>
      </w:r>
      <w:r>
        <w:rPr>
          <w:bCs/>
          <w:b/>
        </w:rPr>
        <w:t xml:space="preserve">This product answers</w:t>
      </w:r>
      <w:r>
        <w:rPr>
          <w:bCs/>
          <w:b/>
        </w:rPr>
        <w:t xml:space="preserve"> </w:t>
      </w:r>
      <w:r>
        <w:rPr>
          <w:bCs/>
          <w:b/>
        </w:rPr>
        <w:t xml:space="preserve">“</w:t>
      </w:r>
      <w:r>
        <w:rPr>
          <w:bCs/>
          <w:b/>
        </w:rPr>
        <w:t xml:space="preserve">what changed enough to matter, why, and how sure are we</w:t>
      </w:r>
      <w:r>
        <w:rPr>
          <w:bCs/>
          <w:b/>
        </w:rPr>
        <w:t xml:space="preserve">”</w:t>
      </w:r>
      <w:r>
        <w:rPr>
          <w:bCs/>
          <w:b/>
        </w:rPr>
        <w:t xml:space="preserve"> </w:t>
      </w:r>
      <w:r>
        <w:rPr>
          <w:bCs/>
          <w:b/>
        </w:rPr>
        <w:t xml:space="preserve">— and is equally willing to tell you that nothing did.</w:t>
      </w:r>
    </w:p>
    <w:p>
      <w:pPr>
        <w:pStyle w:val="FirstParagraph"/>
      </w:pPr>
      <w:r>
        <w:t xml:space="preserve">The differentiator is not</w:t>
      </w:r>
      <w:r>
        <w:t xml:space="preserve"> </w:t>
      </w:r>
      <w:r>
        <w:t xml:space="preserve">“</w:t>
      </w:r>
      <w:r>
        <w:t xml:space="preserve">detect more things.</w:t>
      </w:r>
      <w:r>
        <w:t xml:space="preserve">”</w:t>
      </w:r>
      <w:r>
        <w:t xml:space="preserve"> </w:t>
      </w:r>
      <w:r>
        <w:t xml:space="preserve">It is</w:t>
      </w:r>
      <w:r>
        <w:t xml:space="preserve"> </w:t>
      </w:r>
      <w:r>
        <w:rPr>
          <w:bCs/>
          <w:b/>
        </w:rPr>
        <w:t xml:space="preserve">restraint with evidence</w:t>
      </w:r>
      <w:r>
        <w:t xml:space="preserve">: every surfaced item carries its evidence and a confidence level, and the default behavior is silence, not alerts. Every product decision in this document should trace back to this sentence. If a proposed feature doesn’t make the answer more evidenced or more restrained, it doesn’t belong in v1.</w:t>
      </w:r>
    </w:p>
    <w:bookmarkEnd w:id="22"/>
    <w:bookmarkStart w:id="25" w:name="goals-non-goals"/>
    <w:p>
      <w:pPr>
        <w:pStyle w:val="Heading1"/>
      </w:pPr>
      <w:r>
        <w:t xml:space="preserve">4. Goals &amp; Non-Goals</w:t>
      </w:r>
    </w:p>
    <w:bookmarkStart w:id="23" w:name="goals"/>
    <w:p>
      <w:pPr>
        <w:pStyle w:val="Heading3"/>
      </w:pPr>
      <w:r>
        <w:t xml:space="preserve">Goals</w:t>
      </w:r>
    </w:p>
    <w:p>
      <w:pPr>
        <w:numPr>
          <w:ilvl w:val="0"/>
          <w:numId w:val="1002"/>
        </w:numPr>
        <w:pStyle w:val="Compact"/>
      </w:pPr>
      <w:r>
        <w:t xml:space="preserve">Let a user create and manage a persistent, authenticated watchlist.</w:t>
      </w:r>
    </w:p>
    <w:p>
      <w:pPr>
        <w:numPr>
          <w:ilvl w:val="0"/>
          <w:numId w:val="1002"/>
        </w:numPr>
        <w:pStyle w:val="Compact"/>
      </w:pPr>
      <w:r>
        <w:t xml:space="preserve">Automatically detect when a watched security has moved in a way that is statistically and contextually unusual — not just moved.</w:t>
      </w:r>
    </w:p>
    <w:p>
      <w:pPr>
        <w:numPr>
          <w:ilvl w:val="0"/>
          <w:numId w:val="1002"/>
        </w:numPr>
        <w:pStyle w:val="Compact"/>
      </w:pPr>
      <w:r>
        <w:t xml:space="preserve">Compress</w:t>
      </w:r>
      <w:r>
        <w:t xml:space="preserve"> </w:t>
      </w:r>
      <w:r>
        <w:t xml:space="preserve">“</w:t>
      </w:r>
      <w:r>
        <w:t xml:space="preserve">what happened while you were away</w:t>
      </w:r>
      <w:r>
        <w:t xml:space="preserve">”</w:t>
      </w:r>
      <w:r>
        <w:t xml:space="preserve"> </w:t>
      </w:r>
      <w:r>
        <w:t xml:space="preserve">into a small, ranked, evidence-backed summary.</w:t>
      </w:r>
    </w:p>
    <w:p>
      <w:pPr>
        <w:numPr>
          <w:ilvl w:val="0"/>
          <w:numId w:val="1002"/>
        </w:numPr>
        <w:pStyle w:val="Compact"/>
      </w:pPr>
      <w:r>
        <w:t xml:space="preserve">Make every flagged item explainable: what changed, how unusual, why it might matter, how confident the system is.</w:t>
      </w:r>
    </w:p>
    <w:p>
      <w:pPr>
        <w:numPr>
          <w:ilvl w:val="0"/>
          <w:numId w:val="1002"/>
        </w:numPr>
        <w:pStyle w:val="Compact"/>
      </w:pPr>
      <w:r>
        <w:t xml:space="preserve">Behave predictably and safely when data is stale, delayed, missing, or conflicting.</w:t>
      </w:r>
    </w:p>
    <w:p>
      <w:pPr>
        <w:numPr>
          <w:ilvl w:val="0"/>
          <w:numId w:val="1002"/>
        </w:numPr>
        <w:pStyle w:val="Compact"/>
      </w:pPr>
      <w:r>
        <w:t xml:space="preserve">Scale so that computing significance for a popular stock costs the same whether 1 user or 100,000 users are watching it.</w:t>
      </w:r>
    </w:p>
    <w:bookmarkEnd w:id="23"/>
    <w:bookmarkStart w:id="24" w:name="non-goals-v1"/>
    <w:p>
      <w:pPr>
        <w:pStyle w:val="Heading3"/>
      </w:pPr>
      <w:r>
        <w:t xml:space="preserve">Non-Goals (v1)</w:t>
      </w:r>
    </w:p>
    <w:p>
      <w:pPr>
        <w:numPr>
          <w:ilvl w:val="0"/>
          <w:numId w:val="1003"/>
        </w:numPr>
        <w:pStyle w:val="Compact"/>
      </w:pPr>
      <w:r>
        <w:t xml:space="preserve">Not a trading platform, brokerage integration, or order execution surface.</w:t>
      </w:r>
    </w:p>
    <w:p>
      <w:pPr>
        <w:numPr>
          <w:ilvl w:val="0"/>
          <w:numId w:val="1003"/>
        </w:numPr>
        <w:pStyle w:val="Compact"/>
      </w:pPr>
      <w:r>
        <w:t xml:space="preserve">Not an investment advice or recommendation engine — no</w:t>
      </w:r>
      <w:r>
        <w:t xml:space="preserve"> </w:t>
      </w:r>
      <w:r>
        <w:t xml:space="preserve">“</w:t>
      </w:r>
      <w:r>
        <w:t xml:space="preserve">buy/sell/hold</w:t>
      </w:r>
      <w:r>
        <w:t xml:space="preserve">”</w:t>
      </w:r>
      <w:r>
        <w:t xml:space="preserve"> </w:t>
      </w:r>
      <w:r>
        <w:t xml:space="preserve">language anywhere in the product.</w:t>
      </w:r>
    </w:p>
    <w:p>
      <w:pPr>
        <w:numPr>
          <w:ilvl w:val="0"/>
          <w:numId w:val="1003"/>
        </w:numPr>
        <w:pStyle w:val="Compact"/>
      </w:pPr>
      <w:r>
        <w:t xml:space="preserve">Not a price-prediction system.</w:t>
      </w:r>
    </w:p>
    <w:p>
      <w:pPr>
        <w:numPr>
          <w:ilvl w:val="0"/>
          <w:numId w:val="1003"/>
        </w:numPr>
        <w:pStyle w:val="Compact"/>
      </w:pPr>
      <w:r>
        <w:t xml:space="preserve">Not a general financial news reader or a feed of everything happening in the market.</w:t>
      </w:r>
    </w:p>
    <w:p>
      <w:pPr>
        <w:numPr>
          <w:ilvl w:val="0"/>
          <w:numId w:val="1003"/>
        </w:numPr>
        <w:pStyle w:val="Compact"/>
      </w:pPr>
      <w:r>
        <w:t xml:space="preserve">Not push-notification-driven — v1 is pull-based (user opens the app to see what changed).</w:t>
      </w:r>
    </w:p>
    <w:p>
      <w:pPr>
        <w:numPr>
          <w:ilvl w:val="0"/>
          <w:numId w:val="1003"/>
        </w:numPr>
        <w:pStyle w:val="Compact"/>
      </w:pPr>
      <w:r>
        <w:t xml:space="preserve">Not personalized via inferred behavior or ML — personalization in v1 is explicit, preference-based only.</w:t>
      </w:r>
    </w:p>
    <w:bookmarkEnd w:id="24"/>
    <w:bookmarkEnd w:id="25"/>
    <w:bookmarkStart w:id="26" w:name="target-users-jobs-to-be-done"/>
    <w:p>
      <w:pPr>
        <w:pStyle w:val="Heading1"/>
      </w:pPr>
      <w:r>
        <w:t xml:space="preserve">5. Target Users &amp; Jobs-to-be-Done</w:t>
      </w:r>
    </w:p>
    <w:p>
      <w:pPr>
        <w:pStyle w:val="FirstParagraph"/>
      </w:pPr>
      <w:r>
        <w:t xml:space="preserve">The product does not assume all users define</w:t>
      </w:r>
      <w:r>
        <w:t xml:space="preserve"> </w:t>
      </w:r>
      <w:r>
        <w:t xml:space="preserve">“</w:t>
      </w:r>
      <w:r>
        <w:t xml:space="preserve">important</w:t>
      </w:r>
      <w:r>
        <w:t xml:space="preserve">”</w:t>
      </w:r>
      <w:r>
        <w:t xml:space="preserve"> </w:t>
      </w:r>
      <w:r>
        <w:t xml:space="preserve">the same way, but v1 ships one shared, objective core experience (see Section 13 for why personas are not separate modes in v1).</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User intent</w:t>
            </w:r>
          </w:p>
        </w:tc>
        <w:tc>
          <w:tcPr/>
          <w:p>
            <w:pPr>
              <w:pStyle w:val="Compact"/>
              <w:jc w:val="left"/>
            </w:pPr>
            <w:r>
              <w:t xml:space="preserve">Primary need</w:t>
            </w:r>
          </w:p>
        </w:tc>
        <w:tc>
          <w:tcPr/>
          <w:p>
            <w:pPr>
              <w:pStyle w:val="Compact"/>
              <w:jc w:val="left"/>
            </w:pPr>
            <w:r>
              <w:t xml:space="preserve">Relevance signals they care about most</w:t>
            </w:r>
          </w:p>
        </w:tc>
      </w:tr>
      <w:tr>
        <w:tc>
          <w:tcPr/>
          <w:p>
            <w:pPr>
              <w:pStyle w:val="Compact"/>
              <w:jc w:val="left"/>
            </w:pPr>
            <w:r>
              <w:t xml:space="preserve">Beginner / learner</w:t>
            </w:r>
          </w:p>
        </w:tc>
        <w:tc>
          <w:tcPr/>
          <w:p>
            <w:pPr>
              <w:pStyle w:val="Compact"/>
              <w:jc w:val="left"/>
            </w:pPr>
            <w:r>
              <w:t xml:space="preserve">Understand what happened without reading raw data</w:t>
            </w:r>
          </w:p>
        </w:tc>
        <w:tc>
          <w:tcPr/>
          <w:p>
            <w:pPr>
              <w:pStyle w:val="Compact"/>
              <w:jc w:val="left"/>
            </w:pPr>
            <w:r>
              <w:t xml:space="preserve">Plain-language explanation, major news, simple significance</w:t>
            </w:r>
          </w:p>
        </w:tc>
      </w:tr>
      <w:tr>
        <w:tc>
          <w:tcPr/>
          <w:p>
            <w:pPr>
              <w:pStyle w:val="Compact"/>
              <w:jc w:val="left"/>
            </w:pPr>
            <w:r>
              <w:t xml:space="preserve">Long-term investor</w:t>
            </w:r>
          </w:p>
        </w:tc>
        <w:tc>
          <w:tcPr/>
          <w:p>
            <w:pPr>
              <w:pStyle w:val="Compact"/>
              <w:jc w:val="left"/>
            </w:pPr>
            <w:r>
              <w:t xml:space="preserve">Avoid surprises, track material company changes</w:t>
            </w:r>
          </w:p>
        </w:tc>
        <w:tc>
          <w:tcPr/>
          <w:p>
            <w:pPr>
              <w:pStyle w:val="Compact"/>
              <w:jc w:val="left"/>
            </w:pPr>
            <w:r>
              <w:t xml:space="preserve">Earnings, fundamentals, corporate actions, major news</w:t>
            </w:r>
          </w:p>
        </w:tc>
      </w:tr>
      <w:tr>
        <w:tc>
          <w:tcPr/>
          <w:p>
            <w:pPr>
              <w:pStyle w:val="Compact"/>
              <w:jc w:val="left"/>
            </w:pPr>
            <w:r>
              <w:t xml:space="preserve">Active market participant</w:t>
            </w:r>
          </w:p>
        </w:tc>
        <w:tc>
          <w:tcPr/>
          <w:p>
            <w:pPr>
              <w:pStyle w:val="Compact"/>
              <w:jc w:val="left"/>
            </w:pPr>
            <w:r>
              <w:t xml:space="preserve">Detect abnormal movement quickly</w:t>
            </w:r>
          </w:p>
        </w:tc>
        <w:tc>
          <w:tcPr/>
          <w:p>
            <w:pPr>
              <w:pStyle w:val="Compact"/>
              <w:jc w:val="left"/>
            </w:pPr>
            <w:r>
              <w:t xml:space="preserve">Price, volume, volatility, relative performance</w:t>
            </w:r>
          </w:p>
        </w:tc>
      </w:tr>
      <w:tr>
        <w:tc>
          <w:tcPr/>
          <w:p>
            <w:pPr>
              <w:pStyle w:val="Compact"/>
              <w:jc w:val="left"/>
            </w:pPr>
            <w:r>
              <w:t xml:space="preserve">Researcher</w:t>
            </w:r>
          </w:p>
        </w:tc>
        <w:tc>
          <w:tcPr/>
          <w:p>
            <w:pPr>
              <w:pStyle w:val="Compact"/>
              <w:jc w:val="left"/>
            </w:pPr>
            <w:r>
              <w:t xml:space="preserve">Track companies and emerging themes</w:t>
            </w:r>
          </w:p>
        </w:tc>
        <w:tc>
          <w:tcPr/>
          <w:p>
            <w:pPr>
              <w:pStyle w:val="Compact"/>
              <w:jc w:val="left"/>
            </w:pPr>
            <w:r>
              <w:t xml:space="preserve">News, peer movement, sector trends, timelines</w:t>
            </w:r>
          </w:p>
        </w:tc>
      </w:tr>
    </w:tbl>
    <w:p>
      <w:pPr>
        <w:pStyle w:val="BodyText"/>
      </w:pPr>
      <w:r>
        <w:rPr>
          <w:bCs/>
          <w:b/>
        </w:rPr>
        <w:t xml:space="preserve">Core jobs-to-be-done (shared across all personas):</w:t>
      </w:r>
    </w:p>
    <w:p>
      <w:pPr>
        <w:numPr>
          <w:ilvl w:val="0"/>
          <w:numId w:val="1004"/>
        </w:numPr>
        <w:pStyle w:val="Compact"/>
      </w:pPr>
      <w:r>
        <w:t xml:space="preserve">Find important changes without manually scanning every stock.</w:t>
      </w:r>
    </w:p>
    <w:p>
      <w:pPr>
        <w:numPr>
          <w:ilvl w:val="0"/>
          <w:numId w:val="1004"/>
        </w:numPr>
        <w:pStyle w:val="Compact"/>
      </w:pPr>
      <w:r>
        <w:t xml:space="preserve">Understand whether a change is unusual or normal market noise.</w:t>
      </w:r>
    </w:p>
    <w:p>
      <w:pPr>
        <w:numPr>
          <w:ilvl w:val="0"/>
          <w:numId w:val="1004"/>
        </w:numPr>
        <w:pStyle w:val="Compact"/>
      </w:pPr>
      <w:r>
        <w:t xml:space="preserve">Understand a stock’s context rather than seeing it in isolation.</w:t>
      </w:r>
    </w:p>
    <w:p>
      <w:pPr>
        <w:numPr>
          <w:ilvl w:val="0"/>
          <w:numId w:val="1004"/>
        </w:numPr>
        <w:pStyle w:val="Compact"/>
      </w:pPr>
      <w:r>
        <w:t xml:space="preserve">Catch up quickly after being away.</w:t>
      </w:r>
    </w:p>
    <w:p>
      <w:pPr>
        <w:numPr>
          <w:ilvl w:val="0"/>
          <w:numId w:val="1004"/>
        </w:numPr>
        <w:pStyle w:val="Compact"/>
      </w:pPr>
      <w:r>
        <w:t xml:space="preserve">Know what deserves attention first.</w:t>
      </w:r>
    </w:p>
    <w:p>
      <w:pPr>
        <w:numPr>
          <w:ilvl w:val="0"/>
          <w:numId w:val="1004"/>
        </w:numPr>
        <w:pStyle w:val="Compact"/>
      </w:pPr>
      <w:r>
        <w:t xml:space="preserve">Investigate an event after the system surfaces it.</w:t>
      </w:r>
    </w:p>
    <w:bookmarkEnd w:id="26"/>
    <w:bookmarkStart w:id="27" w:name="core-user-journeys"/>
    <w:p>
      <w:pPr>
        <w:pStyle w:val="Heading1"/>
      </w:pPr>
      <w:r>
        <w:t xml:space="preserve">6. Core User Journeys</w:t>
      </w:r>
    </w:p>
    <w:p>
      <w:pPr>
        <w:pStyle w:val="FirstParagraph"/>
      </w:pPr>
      <w:r>
        <w:rPr>
          <w:bCs/>
          <w:b/>
        </w:rPr>
        <w:t xml:space="preserve">Journey A — First visit.</w:t>
      </w:r>
      <w:r>
        <w:t xml:space="preserve"> </w:t>
      </w:r>
      <w:r>
        <w:t xml:space="preserve">User signs up, creates a watchlist, adds securities via search. Sees an onboarding empty state explaining that the product will start detecting changes from this point forward (no retroactive</w:t>
      </w:r>
      <w:r>
        <w:t xml:space="preserve"> </w:t>
      </w:r>
      <w:r>
        <w:t xml:space="preserve">“</w:t>
      </w:r>
      <w:r>
        <w:t xml:space="preserve">meaningful change</w:t>
      </w:r>
      <w:r>
        <w:t xml:space="preserve">”</w:t>
      </w:r>
      <w:r>
        <w:t xml:space="preserve"> </w:t>
      </w:r>
      <w:r>
        <w:t xml:space="preserve">claims before the stock was watched).</w:t>
      </w:r>
    </w:p>
    <w:p>
      <w:pPr>
        <w:pStyle w:val="BodyText"/>
      </w:pPr>
      <w:r>
        <w:rPr>
          <w:bCs/>
          <w:b/>
        </w:rPr>
        <w:t xml:space="preserve">Journey B — Daily return (short absence, e.g., 15 minutes–few hours).</w:t>
      </w:r>
      <w:r>
        <w:t xml:space="preserve"> </w:t>
      </w:r>
      <w:r>
        <w:t xml:space="preserve">User opens the app. Home screen shows</w:t>
      </w:r>
      <w:r>
        <w:t xml:space="preserve"> </w:t>
      </w:r>
      <w:r>
        <w:t xml:space="preserve">“</w:t>
      </w:r>
      <w:r>
        <w:t xml:space="preserve">Since you were last here</w:t>
      </w:r>
      <w:r>
        <w:t xml:space="preserve">”</w:t>
      </w:r>
      <w:r>
        <w:t xml:space="preserve"> </w:t>
      </w:r>
      <w:r>
        <w:t xml:space="preserve">with 0–5 items. Typically 0–1 items for a short gap. User can acknowledge individually or acknowledge-all.</w:t>
      </w:r>
    </w:p>
    <w:p>
      <w:pPr>
        <w:pStyle w:val="BodyText"/>
      </w:pPr>
      <w:r>
        <w:rPr>
          <w:bCs/>
          <w:b/>
        </w:rPr>
        <w:t xml:space="preserve">Journey C — Long return (multi-day/week absence).</w:t>
      </w:r>
      <w:r>
        <w:t xml:space="preserve"> </w:t>
      </w:r>
      <w:r>
        <w:t xml:space="preserve">Raw changes across the gap are pre-aggregated into event threads before ranking. User sees at most 5 threads, each expandable into its internal chronology, rather than a flood of daily deltas.</w:t>
      </w:r>
    </w:p>
    <w:p>
      <w:pPr>
        <w:pStyle w:val="BodyText"/>
      </w:pPr>
      <w:r>
        <w:rPr>
          <w:bCs/>
          <w:b/>
        </w:rPr>
        <w:t xml:space="preserve">Journey D — Stock deep-dive.</w:t>
      </w:r>
      <w:r>
        <w:t xml:space="preserve"> </w:t>
      </w:r>
      <w:r>
        <w:t xml:space="preserve">From either the summary or the raw watchlist, user opens a stock detail page: before/now comparison, evidence, confidence, sector/peer context, and the layer-tagged timeline.</w:t>
      </w:r>
    </w:p>
    <w:p>
      <w:pPr>
        <w:pStyle w:val="BodyText"/>
      </w:pPr>
      <w:r>
        <w:rPr>
          <w:bCs/>
          <w:b/>
        </w:rPr>
        <w:t xml:space="preserve">Journey E — Zero-change day.</w:t>
      </w:r>
      <w:r>
        <w:t xml:space="preserve"> </w:t>
      </w:r>
      <w:r>
        <w:t xml:space="preserve">User opens the app; nothing crossed the Notable threshold. Home screen explicitly states this (</w:t>
      </w:r>
      <w:r>
        <w:t xml:space="preserve">“</w:t>
      </w:r>
      <w:r>
        <w:t xml:space="preserve">18 of 20 stocks had no meaningful change</w:t>
      </w:r>
      <w:r>
        <w:t xml:space="preserve">”</w:t>
      </w:r>
      <w:r>
        <w:t xml:space="preserve">) rather than showing an empty summary or falling back to a raw price list.</w:t>
      </w:r>
    </w:p>
    <w:bookmarkEnd w:id="27"/>
    <w:bookmarkStart w:id="28" w:name="product-principles"/>
    <w:p>
      <w:pPr>
        <w:pStyle w:val="Heading1"/>
      </w:pPr>
      <w:r>
        <w:t xml:space="preserve">7. Product Principles</w:t>
      </w:r>
    </w:p>
    <w:p>
      <w:pPr>
        <w:numPr>
          <w:ilvl w:val="0"/>
          <w:numId w:val="1005"/>
        </w:numPr>
        <w:pStyle w:val="Compact"/>
      </w:pPr>
      <w:r>
        <w:rPr>
          <w:bCs/>
          <w:b/>
        </w:rPr>
        <w:t xml:space="preserve">Attention over completeness</w:t>
      </w:r>
      <w:r>
        <w:t xml:space="preserve"> </w:t>
      </w:r>
      <w:r>
        <w:t xml:space="preserve">— reduce scanning, don’t maximize information density.</w:t>
      </w:r>
    </w:p>
    <w:p>
      <w:pPr>
        <w:numPr>
          <w:ilvl w:val="0"/>
          <w:numId w:val="1005"/>
        </w:numPr>
        <w:pStyle w:val="Compact"/>
      </w:pPr>
      <w:r>
        <w:rPr>
          <w:bCs/>
          <w:b/>
        </w:rPr>
        <w:t xml:space="preserve">Significance over raw change</w:t>
      </w:r>
      <w:r>
        <w:t xml:space="preserve"> </w:t>
      </w:r>
      <w:r>
        <w:t xml:space="preserve">— a change becomes useful once interpreted in context.</w:t>
      </w:r>
    </w:p>
    <w:p>
      <w:pPr>
        <w:numPr>
          <w:ilvl w:val="0"/>
          <w:numId w:val="1005"/>
        </w:numPr>
        <w:pStyle w:val="Compact"/>
      </w:pPr>
      <w:r>
        <w:rPr>
          <w:bCs/>
          <w:b/>
        </w:rPr>
        <w:t xml:space="preserve">Context over isolation</w:t>
      </w:r>
      <w:r>
        <w:t xml:space="preserve"> </w:t>
      </w:r>
      <w:r>
        <w:t xml:space="preserve">— compare against market, sector, peers, and history where relevant.</w:t>
      </w:r>
    </w:p>
    <w:p>
      <w:pPr>
        <w:numPr>
          <w:ilvl w:val="0"/>
          <w:numId w:val="1005"/>
        </w:numPr>
        <w:pStyle w:val="Compact"/>
      </w:pPr>
      <w:r>
        <w:rPr>
          <w:bCs/>
          <w:b/>
        </w:rPr>
        <w:t xml:space="preserve">Explain over impress</w:t>
      </w:r>
      <w:r>
        <w:t xml:space="preserve"> </w:t>
      </w:r>
      <w:r>
        <w:t xml:space="preserve">— show why something was surfaced; never hide logic behind a bare score.</w:t>
      </w:r>
    </w:p>
    <w:p>
      <w:pPr>
        <w:numPr>
          <w:ilvl w:val="0"/>
          <w:numId w:val="1005"/>
        </w:numPr>
        <w:pStyle w:val="Compact"/>
      </w:pPr>
      <w:r>
        <w:rPr>
          <w:bCs/>
          <w:b/>
        </w:rPr>
        <w:t xml:space="preserve">Trust over false precision</w:t>
      </w:r>
      <w:r>
        <w:t xml:space="preserve"> </w:t>
      </w:r>
      <w:r>
        <w:t xml:space="preserve">— incomplete or conflicting data reduces confidence, it is never concealed.</w:t>
      </w:r>
    </w:p>
    <w:p>
      <w:pPr>
        <w:numPr>
          <w:ilvl w:val="0"/>
          <w:numId w:val="1005"/>
        </w:numPr>
        <w:pStyle w:val="Compact"/>
      </w:pPr>
      <w:r>
        <w:rPr>
          <w:bCs/>
          <w:b/>
        </w:rPr>
        <w:t xml:space="preserve">Personal relevance matters</w:t>
      </w:r>
      <w:r>
        <w:t xml:space="preserve"> </w:t>
      </w:r>
      <w:r>
        <w:t xml:space="preserve">— a universally</w:t>
      </w:r>
      <w:r>
        <w:t xml:space="preserve"> </w:t>
      </w:r>
      <w:r>
        <w:t xml:space="preserve">“</w:t>
      </w:r>
      <w:r>
        <w:t xml:space="preserve">small</w:t>
      </w:r>
      <w:r>
        <w:t xml:space="preserve">”</w:t>
      </w:r>
      <w:r>
        <w:t xml:space="preserve"> </w:t>
      </w:r>
      <w:r>
        <w:t xml:space="preserve">move can still matter to a specific user, but personalization never fabricates evidence.</w:t>
      </w:r>
    </w:p>
    <w:p>
      <w:pPr>
        <w:numPr>
          <w:ilvl w:val="0"/>
          <w:numId w:val="1005"/>
        </w:numPr>
        <w:pStyle w:val="Compact"/>
      </w:pPr>
      <w:r>
        <w:rPr>
          <w:bCs/>
          <w:b/>
        </w:rPr>
        <w:t xml:space="preserve">Simple before sophisticated</w:t>
      </w:r>
      <w:r>
        <w:t xml:space="preserve"> </w:t>
      </w:r>
      <w:r>
        <w:t xml:space="preserve">— deterministic, testable logic before opaque intelligence; nothing is automated in v1 that cannot be explained in one sentence per input.</w:t>
      </w:r>
    </w:p>
    <w:bookmarkEnd w:id="28"/>
    <w:bookmarkStart w:id="29" w:name="state-baseline-model"/>
    <w:p>
      <w:pPr>
        <w:pStyle w:val="Heading1"/>
      </w:pPr>
      <w:r>
        <w:t xml:space="preserve">8. State &amp; Baseline Model</w:t>
      </w:r>
    </w:p>
    <w:p>
      <w:pPr>
        <w:pStyle w:val="FirstParagraph"/>
      </w:pPr>
      <w:r>
        <w:t xml:space="preserve">“</w:t>
      </w:r>
      <w:r>
        <w:t xml:space="preserve">Since I last checked</w:t>
      </w:r>
      <w:r>
        <w:t xml:space="preserve">”</w:t>
      </w:r>
      <w:r>
        <w:t xml:space="preserve"> </w:t>
      </w:r>
      <w:r>
        <w:t xml:space="preserve">is meaningless until it is defined per surface. Four distinct state markers are tracked per user: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State marker</w:t>
            </w:r>
          </w:p>
        </w:tc>
        <w:tc>
          <w:tcPr/>
          <w:p>
            <w:pPr>
              <w:pStyle w:val="Compact"/>
              <w:jc w:val="left"/>
            </w:pPr>
            <w:r>
              <w:t xml:space="preserve">Meaning</w:t>
            </w:r>
          </w:p>
        </w:tc>
        <w:tc>
          <w:tcPr/>
          <w:p>
            <w:pPr>
              <w:pStyle w:val="Compact"/>
              <w:jc w:val="left"/>
            </w:pPr>
            <w:r>
              <w:t xml:space="preserve">Used for</w:t>
            </w:r>
          </w:p>
        </w:tc>
      </w:tr>
      <w:tr>
        <w:tc>
          <w:tcPr/>
          <w:p>
            <w:pPr>
              <w:pStyle w:val="Compact"/>
              <w:jc w:val="left"/>
            </w:pPr>
            <w:r>
              <w:t xml:space="preserve">Last app visit</w:t>
            </w:r>
          </w:p>
        </w:tc>
        <w:tc>
          <w:tcPr/>
          <w:p>
            <w:pPr>
              <w:pStyle w:val="Compact"/>
              <w:jc w:val="left"/>
            </w:pPr>
            <w:r>
              <w:t xml:space="preserve">User opened the product</w:t>
            </w:r>
          </w:p>
        </w:tc>
        <w:tc>
          <w:tcPr/>
          <w:p>
            <w:pPr>
              <w:pStyle w:val="Compact"/>
              <w:jc w:val="left"/>
            </w:pPr>
            <w:r>
              <w:t xml:space="preserve">Session-level UI state only — never used as the significance baseline</w:t>
            </w:r>
          </w:p>
        </w:tc>
      </w:tr>
      <w:tr>
        <w:tc>
          <w:tcPr/>
          <w:p>
            <w:pPr>
              <w:pStyle w:val="Compact"/>
              <w:jc w:val="left"/>
            </w:pPr>
            <w:r>
              <w:t xml:space="preserve">Last watchlist visit</w:t>
            </w:r>
          </w:p>
        </w:tc>
        <w:tc>
          <w:tcPr/>
          <w:p>
            <w:pPr>
              <w:pStyle w:val="Compact"/>
              <w:jc w:val="left"/>
            </w:pPr>
            <w:r>
              <w:t xml:space="preserve">User viewed the watchlist/home screen</w:t>
            </w:r>
          </w:p>
        </w:tc>
        <w:tc>
          <w:tcPr/>
          <w:p>
            <w:pPr>
              <w:pStyle w:val="Compact"/>
              <w:jc w:val="left"/>
            </w:pPr>
            <w:r>
              <w:t xml:space="preserve">Fallback baseline if no acknowledgment exists</w:t>
            </w:r>
          </w:p>
        </w:tc>
      </w:tr>
      <w:tr>
        <w:tc>
          <w:tcPr/>
          <w:p>
            <w:pPr>
              <w:pStyle w:val="Compact"/>
              <w:jc w:val="left"/>
            </w:pPr>
            <w:r>
              <w:t xml:space="preserve">Last stock view</w:t>
            </w:r>
          </w:p>
        </w:tc>
        <w:tc>
          <w:tcPr/>
          <w:p>
            <w:pPr>
              <w:pStyle w:val="Compact"/>
              <w:jc w:val="left"/>
            </w:pPr>
            <w:r>
              <w:t xml:space="preserve">User opened a specific stock’s detail page</w:t>
            </w:r>
          </w:p>
        </w:tc>
        <w:tc>
          <w:tcPr/>
          <w:p>
            <w:pPr>
              <w:pStyle w:val="Compact"/>
              <w:jc w:val="left"/>
            </w:pPr>
            <w:r>
              <w:t xml:space="preserve">Stock-detail baseline candidate</w:t>
            </w:r>
          </w:p>
        </w:tc>
      </w:tr>
      <w:tr>
        <w:tc>
          <w:tcPr/>
          <w:p>
            <w:pPr>
              <w:pStyle w:val="Compact"/>
              <w:jc w:val="left"/>
            </w:pPr>
            <w:r>
              <w:t xml:space="preserve">Last acknowledged event/state</w:t>
            </w:r>
          </w:p>
        </w:tc>
        <w:tc>
          <w:tcPr/>
          <w:p>
            <w:pPr>
              <w:pStyle w:val="Compact"/>
              <w:jc w:val="left"/>
            </w:pPr>
            <w:r>
              <w:t xml:space="preserve">User explicitly reviewed a surfaced item or summary</w:t>
            </w:r>
          </w:p>
        </w:tc>
        <w:tc>
          <w:tcPr/>
          <w:p>
            <w:pPr>
              <w:pStyle w:val="Compact"/>
              <w:jc w:val="left"/>
            </w:pPr>
            <w:r>
              <w:t xml:space="preserve">Primary baseline everywhere it exists</w:t>
            </w:r>
          </w:p>
        </w:tc>
      </w:tr>
    </w:tbl>
    <w:p>
      <w:pPr>
        <w:pStyle w:val="BodyText"/>
      </w:pPr>
      <w:r>
        <w:rPr>
          <w:bCs/>
          <w:b/>
        </w:rPr>
        <w:t xml:space="preserve">Baseline rules (resolved, not candidate):</w:t>
      </w:r>
    </w:p>
    <w:p>
      <w:pPr>
        <w:numPr>
          <w:ilvl w:val="0"/>
          <w:numId w:val="1006"/>
        </w:numPr>
        <w:pStyle w:val="Compact"/>
      </w:pPr>
      <w:r>
        <w:rPr>
          <w:bCs/>
          <w:b/>
        </w:rPr>
        <w:t xml:space="preserve">Watchlist home summary</w:t>
      </w:r>
      <w:r>
        <w:t xml:space="preserve"> </w:t>
      </w:r>
      <w:r>
        <w:t xml:space="preserve">— baseline = last acknowledged watchlist-level state. Opening and closing the app without acknowledging does</w:t>
      </w:r>
      <w:r>
        <w:t xml:space="preserve"> </w:t>
      </w:r>
      <w:r>
        <w:rPr>
          <w:bCs/>
          <w:b/>
        </w:rPr>
        <w:t xml:space="preserve">not</w:t>
      </w:r>
      <w:r>
        <w:t xml:space="preserve"> </w:t>
      </w:r>
      <w:r>
        <w:t xml:space="preserve">reset the clock; unreviewed items persist across sessions.</w:t>
      </w:r>
    </w:p>
    <w:p>
      <w:pPr>
        <w:numPr>
          <w:ilvl w:val="0"/>
          <w:numId w:val="1006"/>
        </w:numPr>
        <w:pStyle w:val="Compact"/>
      </w:pPr>
      <w:r>
        <w:rPr>
          <w:bCs/>
          <w:b/>
        </w:rPr>
        <w:t xml:space="preserve">Stock detail page</w:t>
      </w:r>
      <w:r>
        <w:t xml:space="preserve"> </w:t>
      </w:r>
      <w:r>
        <w:t xml:space="preserve">— baseline =</w:t>
      </w:r>
      <w:r>
        <w:t xml:space="preserve"> </w:t>
      </w:r>
      <w:r>
        <w:rPr>
          <w:rStyle w:val="VerbatimChar"/>
        </w:rPr>
        <w:t xml:space="preserve">max(last acknowledged view of this stock, prior trading close)</w:t>
      </w:r>
      <w:r>
        <w:t xml:space="preserve">. This means a user always sees at least</w:t>
      </w:r>
      <w:r>
        <w:t xml:space="preserve"> </w:t>
      </w:r>
      <w:r>
        <w:t xml:space="preserve">“</w:t>
      </w:r>
      <w:r>
        <w:t xml:space="preserve">since the last close,</w:t>
      </w:r>
      <w:r>
        <w:t xml:space="preserve">”</w:t>
      </w:r>
      <w:r>
        <w:t xml:space="preserve"> </w:t>
      </w:r>
      <w:r>
        <w:t xml:space="preserve">even on their very first view of a stock.</w:t>
      </w:r>
    </w:p>
    <w:p>
      <w:pPr>
        <w:numPr>
          <w:ilvl w:val="0"/>
          <w:numId w:val="1006"/>
        </w:numPr>
        <w:pStyle w:val="Compact"/>
      </w:pPr>
      <w:r>
        <w:t xml:space="preserve">Acknowledgment is explicit (a tap/click), never inferred from</w:t>
      </w:r>
      <w:r>
        <w:t xml:space="preserve"> </w:t>
      </w:r>
      <w:r>
        <w:t xml:space="preserve">“</w:t>
      </w:r>
      <w:r>
        <w:t xml:space="preserve">the page was open for N seconds.</w:t>
      </w:r>
      <w:r>
        <w:t xml:space="preserve">”</w:t>
      </w:r>
    </w:p>
    <w:bookmarkEnd w:id="29"/>
    <w:bookmarkStart w:id="35" w:name="change-detection-significance-model"/>
    <w:p>
      <w:pPr>
        <w:pStyle w:val="Heading1"/>
      </w:pPr>
      <w:r>
        <w:t xml:space="preserve">9. Change Detection &amp; Significance Model</w:t>
      </w:r>
    </w:p>
    <w:bookmarkStart w:id="30" w:name="detected-signals"/>
    <w:p>
      <w:pPr>
        <w:pStyle w:val="Heading3"/>
      </w:pPr>
      <w:r>
        <w:t xml:space="preserve">9.1 Detected signals</w:t>
      </w:r>
    </w:p>
    <w:p>
      <w:pPr>
        <w:pStyle w:val="FirstParagraph"/>
      </w:pPr>
      <w:r>
        <w:t xml:space="preserve">Computed on a fixed schedule (not per request) for every watched security: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Signal</w:t>
            </w:r>
          </w:p>
        </w:tc>
        <w:tc>
          <w:tcPr/>
          <w:p>
            <w:pPr>
              <w:pStyle w:val="Compact"/>
              <w:jc w:val="left"/>
            </w:pPr>
            <w:r>
              <w:t xml:space="preserve">Computation</w:t>
            </w:r>
          </w:p>
        </w:tc>
      </w:tr>
      <w:tr>
        <w:tc>
          <w:tcPr/>
          <w:p>
            <w:pPr>
              <w:pStyle w:val="Compact"/>
              <w:jc w:val="left"/>
            </w:pPr>
            <w:r>
              <w:t xml:space="preserve">Absolute move</w:t>
            </w:r>
          </w:p>
        </w:tc>
        <w:tc>
          <w:tcPr/>
          <w:p>
            <w:pPr>
              <w:pStyle w:val="Compact"/>
              <w:jc w:val="left"/>
            </w:pPr>
            <w:r>
              <w:t xml:space="preserve">|% price change| since baseline</w:t>
            </w:r>
          </w:p>
        </w:tc>
      </w:tr>
      <w:tr>
        <w:tc>
          <w:tcPr/>
          <w:p>
            <w:pPr>
              <w:pStyle w:val="Compact"/>
              <w:jc w:val="left"/>
            </w:pPr>
            <w:r>
              <w:t xml:space="preserve">Relative move</w:t>
            </w:r>
          </w:p>
        </w:tc>
        <w:tc>
          <w:tcPr/>
          <w:p>
            <w:pPr>
              <w:pStyle w:val="Compact"/>
              <w:jc w:val="left"/>
            </w:pPr>
            <w:r>
              <w:t xml:space="preserve">stock % change − relevant index % change, same window</w:t>
            </w:r>
          </w:p>
        </w:tc>
      </w:tr>
      <w:tr>
        <w:tc>
          <w:tcPr/>
          <w:p>
            <w:pPr>
              <w:pStyle w:val="Compact"/>
              <w:jc w:val="left"/>
            </w:pPr>
            <w:r>
              <w:t xml:space="preserve">Volume anomaly</w:t>
            </w:r>
          </w:p>
        </w:tc>
        <w:tc>
          <w:tcPr/>
          <w:p>
            <w:pPr>
              <w:pStyle w:val="Compact"/>
              <w:jc w:val="left"/>
            </w:pPr>
            <w:r>
              <w:t xml:space="preserve">current volume ÷ 30-day average volume</w:t>
            </w:r>
          </w:p>
        </w:tc>
      </w:tr>
      <w:tr>
        <w:tc>
          <w:tcPr/>
          <w:p>
            <w:pPr>
              <w:pStyle w:val="Compact"/>
              <w:jc w:val="left"/>
            </w:pPr>
            <w:r>
              <w:t xml:space="preserve">Volatility change</w:t>
            </w:r>
          </w:p>
        </w:tc>
        <w:tc>
          <w:tcPr/>
          <w:p>
            <w:pPr>
              <w:pStyle w:val="Compact"/>
              <w:jc w:val="left"/>
            </w:pPr>
            <w:r>
              <w:t xml:space="preserve">current realized volatility vs. recent baseline</w:t>
            </w:r>
          </w:p>
        </w:tc>
      </w:tr>
      <w:tr>
        <w:tc>
          <w:tcPr/>
          <w:p>
            <w:pPr>
              <w:pStyle w:val="Compact"/>
              <w:jc w:val="left"/>
            </w:pPr>
            <w:r>
              <w:t xml:space="preserve">Event match</w:t>
            </w:r>
          </w:p>
        </w:tc>
        <w:tc>
          <w:tcPr/>
          <w:p>
            <w:pPr>
              <w:pStyle w:val="Compact"/>
              <w:jc w:val="left"/>
            </w:pPr>
            <w:r>
              <w:t xml:space="preserve">matched news/corporate-action item within ±4h of the move</w:t>
            </w:r>
          </w:p>
        </w:tc>
      </w:tr>
      <w:tr>
        <w:tc>
          <w:tcPr/>
          <w:p>
            <w:pPr>
              <w:pStyle w:val="Compact"/>
              <w:jc w:val="left"/>
            </w:pPr>
            <w:r>
              <w:t xml:space="preserve">Historical unusualness</w:t>
            </w:r>
          </w:p>
        </w:tc>
        <w:tc>
          <w:tcPr/>
          <w:p>
            <w:pPr>
              <w:pStyle w:val="Compact"/>
              <w:jc w:val="left"/>
            </w:pPr>
            <w:r>
              <w:t xml:space="preserve">is this among the top-3 largest moves in the trailing 90 days for this stock?</w:t>
            </w:r>
          </w:p>
        </w:tc>
      </w:tr>
      <w:tr>
        <w:tc>
          <w:tcPr/>
          <w:p>
            <w:pPr>
              <w:pStyle w:val="Compact"/>
              <w:jc w:val="left"/>
            </w:pPr>
            <w:r>
              <w:t xml:space="preserve">Personal relevance</w:t>
            </w:r>
          </w:p>
        </w:tc>
        <w:tc>
          <w:tcPr/>
          <w:p>
            <w:pPr>
              <w:pStyle w:val="Compact"/>
              <w:jc w:val="left"/>
            </w:pPr>
            <w:r>
              <w:t xml:space="preserve">user-set threshold crossed, or stock flagged high-interest</w:t>
            </w:r>
          </w:p>
        </w:tc>
      </w:tr>
    </w:tbl>
    <w:bookmarkEnd w:id="30"/>
    <w:bookmarkStart w:id="31" w:name="classification"/>
    <w:p>
      <w:pPr>
        <w:pStyle w:val="Heading3"/>
      </w:pPr>
      <w:r>
        <w:t xml:space="preserve">9.2 Classification</w:t>
      </w:r>
    </w:p>
    <w:p>
      <w:pPr>
        <w:pStyle w:val="FirstParagraph"/>
      </w:pPr>
      <w:r>
        <w:t xml:space="preserve">Three ordinal tiers — chosen deliberately over a numeric score or a five-tier scale, because three is the largest number of buckets a user can reliably hold in working memory while scanning a list, and because a bare 0–100 score invites false precision that this product explicitly rejects:</w:t>
      </w:r>
    </w:p>
    <w:p>
      <w:pPr>
        <w:numPr>
          <w:ilvl w:val="0"/>
          <w:numId w:val="1007"/>
        </w:numPr>
        <w:pStyle w:val="Compact"/>
      </w:pPr>
      <w:r>
        <w:rPr>
          <w:bCs/>
          <w:b/>
        </w:rPr>
        <w:t xml:space="preserve">Normal</w:t>
      </w:r>
      <w:r>
        <w:t xml:space="preserve"> </w:t>
      </w:r>
      <w:r>
        <w:t xml:space="preserve">— no threshold crossed.</w:t>
      </w:r>
    </w:p>
    <w:p>
      <w:pPr>
        <w:numPr>
          <w:ilvl w:val="0"/>
          <w:numId w:val="1007"/>
        </w:numPr>
        <w:pStyle w:val="Compact"/>
      </w:pPr>
      <w:r>
        <w:rPr>
          <w:bCs/>
          <w:b/>
        </w:rPr>
        <w:t xml:space="preserve">Notable</w:t>
      </w:r>
      <w:r>
        <w:t xml:space="preserve"> </w:t>
      </w:r>
      <w:r>
        <w:t xml:space="preserve">— one primary signal crossed its threshold (e.g., absolute move ≥3%, or volume ≥2× baseline).</w:t>
      </w:r>
    </w:p>
    <w:p>
      <w:pPr>
        <w:numPr>
          <w:ilvl w:val="0"/>
          <w:numId w:val="1007"/>
        </w:numPr>
        <w:pStyle w:val="Compact"/>
      </w:pPr>
      <w:r>
        <w:rPr>
          <w:bCs/>
          <w:b/>
        </w:rPr>
        <w:t xml:space="preserve">Significant</w:t>
      </w:r>
      <w:r>
        <w:t xml:space="preserve"> </w:t>
      </w:r>
      <w:r>
        <w:t xml:space="preserve">— a higher absolute/relative threshold is crossed (e.g., ≥6%),</w:t>
      </w:r>
      <w:r>
        <w:t xml:space="preserve"> </w:t>
      </w:r>
      <w:r>
        <w:rPr>
          <w:bCs/>
          <w:b/>
        </w:rPr>
        <w:t xml:space="preserve">or</w:t>
      </w:r>
      <w:r>
        <w:t xml:space="preserve"> </w:t>
      </w:r>
      <w:r>
        <w:t xml:space="preserve">a Notable-level move is corroborated by a matched event</w:t>
      </w:r>
      <w:r>
        <w:t xml:space="preserve"> </w:t>
      </w:r>
      <w:r>
        <w:rPr>
          <w:bCs/>
          <w:b/>
        </w:rPr>
        <w:t xml:space="preserve">or</w:t>
      </w:r>
      <w:r>
        <w:t xml:space="preserve"> </w:t>
      </w:r>
      <w:r>
        <w:t xml:space="preserve">strong relative/peer divergence.</w:t>
      </w:r>
    </w:p>
    <w:p>
      <w:pPr>
        <w:pStyle w:val="FirstParagraph"/>
      </w:pPr>
      <w:r>
        <w:t xml:space="preserve">An internal numeric score still exists (weighted combination of the signals above) purely for ranking/sorting within a tier — it is never shown to the user as a bare number.</w:t>
      </w:r>
    </w:p>
    <w:bookmarkEnd w:id="31"/>
    <w:bookmarkStart w:id="32" w:name="confidence"/>
    <w:p>
      <w:pPr>
        <w:pStyle w:val="Heading3"/>
      </w:pPr>
      <w:r>
        <w:t xml:space="preserve">9.3 Confidence</w:t>
      </w:r>
    </w:p>
    <w:p>
      <w:pPr>
        <w:pStyle w:val="FirstParagraph"/>
      </w:pPr>
      <w:r>
        <w:t xml:space="preserve">Three levels — Low / Medium / High — determined by:</w:t>
      </w:r>
    </w:p>
    <w:p>
      <w:pPr>
        <w:numPr>
          <w:ilvl w:val="0"/>
          <w:numId w:val="1008"/>
        </w:numPr>
        <w:pStyle w:val="Compact"/>
      </w:pPr>
      <w:r>
        <w:rPr>
          <w:bCs/>
          <w:b/>
        </w:rPr>
        <w:t xml:space="preserve">Data freshness</w:t>
      </w:r>
      <w:r>
        <w:t xml:space="preserve">: stale data caps confidence at Medium regardless of signal strength.</w:t>
      </w:r>
    </w:p>
    <w:p>
      <w:pPr>
        <w:numPr>
          <w:ilvl w:val="0"/>
          <w:numId w:val="1008"/>
        </w:numPr>
        <w:pStyle w:val="Compact"/>
      </w:pPr>
      <w:r>
        <w:rPr>
          <w:bCs/>
          <w:b/>
        </w:rPr>
        <w:t xml:space="preserve">Source agreement</w:t>
      </w:r>
      <w:r>
        <w:t xml:space="preserve">: conflicting sources for the same figure cap confidence at Medium.</w:t>
      </w:r>
    </w:p>
    <w:p>
      <w:pPr>
        <w:numPr>
          <w:ilvl w:val="0"/>
          <w:numId w:val="1008"/>
        </w:numPr>
        <w:pStyle w:val="Compact"/>
      </w:pPr>
      <w:r>
        <w:rPr>
          <w:bCs/>
          <w:b/>
        </w:rPr>
        <w:t xml:space="preserve">Corroboration count</w:t>
      </w:r>
      <w:r>
        <w:t xml:space="preserve">: 1 contributing signal → Low–Medium ceiling; ≥2 independent signals agreeing → eligible for High.</w:t>
      </w:r>
    </w:p>
    <w:bookmarkEnd w:id="32"/>
    <w:bookmarkStart w:id="33" w:name="X3e8bbfa8ea58233642fecdc16d552f06655f824"/>
    <w:p>
      <w:pPr>
        <w:pStyle w:val="Heading3"/>
      </w:pPr>
      <w:r>
        <w:t xml:space="preserve">9.4 What is deterministic vs. configurable vs. never automated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Deterministic (fixed)</w:t>
            </w:r>
          </w:p>
        </w:tc>
        <w:tc>
          <w:tcPr/>
          <w:p>
            <w:pPr>
              <w:pStyle w:val="Compact"/>
              <w:jc w:val="left"/>
            </w:pPr>
            <w:r>
              <w:t xml:space="preserve">Configurable (per user)</w:t>
            </w:r>
          </w:p>
        </w:tc>
        <w:tc>
          <w:tcPr/>
          <w:p>
            <w:pPr>
              <w:pStyle w:val="Compact"/>
              <w:jc w:val="left"/>
            </w:pPr>
            <w:r>
              <w:t xml:space="preserve">Never automated in v1</w:t>
            </w:r>
          </w:p>
        </w:tc>
      </w:tr>
      <w:tr>
        <w:tc>
          <w:tcPr/>
          <w:p>
            <w:pPr>
              <w:pStyle w:val="Compact"/>
              <w:jc w:val="left"/>
            </w:pPr>
            <w:r>
              <w:t xml:space="preserve">Tier thresholds</w:t>
            </w:r>
          </w:p>
        </w:tc>
        <w:tc>
          <w:tcPr/>
          <w:p>
            <w:pPr>
              <w:pStyle w:val="Compact"/>
              <w:jc w:val="left"/>
            </w:pPr>
            <w:r>
              <w:t xml:space="preserve">Personal threshold overrides (lower the bar for a flagged stock)</w:t>
            </w:r>
          </w:p>
        </w:tc>
        <w:tc>
          <w:tcPr/>
          <w:p>
            <w:pPr>
              <w:pStyle w:val="Compact"/>
              <w:jc w:val="left"/>
            </w:pPr>
            <w:r>
              <w:t xml:space="preserve">Causal narrative generation</w:t>
            </w:r>
          </w:p>
        </w:tc>
      </w:tr>
      <w:tr>
        <w:tc>
          <w:tcPr/>
          <w:p>
            <w:pPr>
              <w:pStyle w:val="Compact"/>
              <w:jc w:val="left"/>
            </w:pPr>
            <w:r>
              <w:t xml:space="preserve">Volume-ratio boost rule</w:t>
            </w:r>
          </w:p>
        </w:tc>
        <w:tc>
          <w:tcPr/>
          <w:p>
            <w:pPr>
              <w:pStyle w:val="Compact"/>
              <w:jc w:val="left"/>
            </w:pPr>
            <w:r>
              <w:t xml:space="preserve">Mute categories/stocks</w:t>
            </w:r>
          </w:p>
        </w:tc>
        <w:tc>
          <w:tcPr/>
          <w:p>
            <w:pPr>
              <w:pStyle w:val="Compact"/>
              <w:jc w:val="left"/>
            </w:pPr>
            <w:r>
              <w:t xml:space="preserve">Cross-stock</w:t>
            </w:r>
            <w:r>
              <w:t xml:space="preserve"> </w:t>
            </w:r>
            <w:r>
              <w:t xml:space="preserve">“</w:t>
            </w:r>
            <w:r>
              <w:t xml:space="preserve">story</w:t>
            </w:r>
            <w:r>
              <w:t xml:space="preserve">”</w:t>
            </w:r>
            <w:r>
              <w:t xml:space="preserve"> </w:t>
            </w:r>
            <w:r>
              <w:t xml:space="preserve">detection</w:t>
            </w:r>
          </w:p>
        </w:tc>
      </w:tr>
      <w:tr>
        <w:tc>
          <w:tcPr/>
          <w:p>
            <w:pPr>
              <w:pStyle w:val="Compact"/>
              <w:jc w:val="left"/>
            </w:pPr>
            <w:r>
              <w:t xml:space="preserve">Event-match rule</w:t>
            </w:r>
          </w:p>
        </w:tc>
        <w:tc>
          <w:tcPr/>
          <w:p>
            <w:pPr>
              <w:pStyle w:val="Compact"/>
              <w:jc w:val="left"/>
            </w:pPr>
            <w:r>
              <w:t xml:space="preserve">Interest toggles (price/volume/news/earnings/corporate actions)</w:t>
            </w:r>
          </w:p>
        </w:tc>
        <w:tc>
          <w:tcPr/>
          <w:p>
            <w:pPr>
              <w:pStyle w:val="Compact"/>
              <w:jc w:val="left"/>
            </w:pPr>
            <w:r>
              <w:t xml:space="preserve">Behavioral/learned weighting</w:t>
            </w:r>
          </w:p>
        </w:tc>
      </w:tr>
    </w:tbl>
    <w:p>
      <w:pPr>
        <w:pStyle w:val="BodyText"/>
      </w:pPr>
      <w:r>
        <w:t xml:space="preserve">Personalization can only affect</w:t>
      </w:r>
      <w:r>
        <w:t xml:space="preserve"> </w:t>
      </w:r>
      <w:r>
        <w:rPr>
          <w:bCs/>
          <w:b/>
        </w:rPr>
        <w:t xml:space="preserve">ordering and visibility</w:t>
      </w:r>
      <w:r>
        <w:t xml:space="preserve">, never the underlying tier — two users watching the same stock always see the same objective classification.</w:t>
      </w:r>
    </w:p>
    <w:bookmarkEnd w:id="33"/>
    <w:bookmarkStart w:id="34" w:name="X8ccee33fea3a554dbce05d43064d9eaeb961a68"/>
    <w:p>
      <w:pPr>
        <w:pStyle w:val="Heading3"/>
      </w:pPr>
      <w:r>
        <w:t xml:space="preserve">9.5 Known limitations (stated explicitly, not hidden)</w:t>
      </w:r>
    </w:p>
    <w:p>
      <w:pPr>
        <w:numPr>
          <w:ilvl w:val="0"/>
          <w:numId w:val="1009"/>
        </w:numPr>
        <w:pStyle w:val="Compact"/>
      </w:pPr>
      <w:r>
        <w:rPr>
          <w:bCs/>
          <w:b/>
        </w:rPr>
        <w:t xml:space="preserve">False positives</w:t>
      </w:r>
      <w:r>
        <w:t xml:space="preserve">: mechanical volume spikes (index rebalancing, low-float trading) can be misread as event-driven.</w:t>
      </w:r>
    </w:p>
    <w:p>
      <w:pPr>
        <w:numPr>
          <w:ilvl w:val="0"/>
          <w:numId w:val="1009"/>
        </w:numPr>
        <w:pStyle w:val="Compact"/>
      </w:pPr>
      <w:r>
        <w:rPr>
          <w:bCs/>
          <w:b/>
        </w:rPr>
        <w:t xml:space="preserve">False negatives</w:t>
      </w:r>
      <w:r>
        <w:t xml:space="preserve">: slow-burn, multi-day deterioration (e.g., gradual margin erosion) may never trip a single-day threshold; the historical-unusualness signal partially mitigates this but does not fully solve it in v1.</w:t>
      </w:r>
    </w:p>
    <w:bookmarkEnd w:id="34"/>
    <w:bookmarkEnd w:id="35"/>
    <w:bookmarkStart w:id="36" w:name="confidence-trust-model"/>
    <w:p>
      <w:pPr>
        <w:pStyle w:val="Heading1"/>
      </w:pPr>
      <w:r>
        <w:t xml:space="preserve">10. Confidence &amp; Trust Model</w:t>
      </w:r>
    </w:p>
    <w:p>
      <w:pPr>
        <w:pStyle w:val="FirstParagraph"/>
      </w:pPr>
      <w:r>
        <w:t xml:space="preserve">Every Notable/Significant item must answer three questions on-screen:</w:t>
      </w:r>
      <w:r>
        <w:t xml:space="preserve"> </w:t>
      </w:r>
      <w:r>
        <w:rPr>
          <w:bCs/>
          <w:b/>
        </w:rPr>
        <w:t xml:space="preserve">What changed? How unusual is it? Why might it matter?</w:t>
      </w:r>
      <w:r>
        <w:t xml:space="preserve"> </w:t>
      </w:r>
      <w:r>
        <w:t xml:space="preserve">Supporting UI elements:</w:t>
      </w:r>
    </w:p>
    <w:p>
      <w:pPr>
        <w:numPr>
          <w:ilvl w:val="0"/>
          <w:numId w:val="1010"/>
        </w:numPr>
        <w:pStyle w:val="Compact"/>
      </w:pPr>
      <w:r>
        <w:rPr>
          <w:bCs/>
          <w:b/>
        </w:rPr>
        <w:t xml:space="preserve">Before/after comparison</w:t>
      </w:r>
      <w:r>
        <w:t xml:space="preserve"> </w:t>
      </w:r>
      <w:r>
        <w:t xml:space="preserve">against the defined baseline.</w:t>
      </w:r>
    </w:p>
    <w:p>
      <w:pPr>
        <w:numPr>
          <w:ilvl w:val="0"/>
          <w:numId w:val="1010"/>
        </w:numPr>
        <w:pStyle w:val="Compact"/>
      </w:pPr>
      <w:r>
        <w:rPr>
          <w:bCs/>
          <w:b/>
        </w:rPr>
        <w:t xml:space="preserve">Evidence list</w:t>
      </w:r>
      <w:r>
        <w:t xml:space="preserve"> </w:t>
      </w:r>
      <w:r>
        <w:t xml:space="preserve">— the specific signals that contributed (e.g.,</w:t>
      </w:r>
      <w:r>
        <w:t xml:space="preserve"> </w:t>
      </w:r>
      <w:r>
        <w:t xml:space="preserve">“</w:t>
      </w:r>
      <w:r>
        <w:t xml:space="preserve">+4.8% price,</w:t>
      </w:r>
      <w:r>
        <w:t xml:space="preserve">”</w:t>
      </w:r>
      <w:r>
        <w:t xml:space="preserve"> </w:t>
      </w:r>
      <w:r>
        <w:t xml:space="preserve">“</w:t>
      </w:r>
      <w:r>
        <w:t xml:space="preserve">2.4× average volume,</w:t>
      </w:r>
      <w:r>
        <w:t xml:space="preserve">”</w:t>
      </w:r>
      <w:r>
        <w:t xml:space="preserve"> </w:t>
      </w:r>
      <w:r>
        <w:t xml:space="preserve">“</w:t>
      </w:r>
      <w:r>
        <w:t xml:space="preserve">sector +0.8%,</w:t>
      </w:r>
      <w:r>
        <w:t xml:space="preserve">”</w:t>
      </w:r>
      <w:r>
        <w:t xml:space="preserve"> </w:t>
      </w:r>
      <w:r>
        <w:t xml:space="preserve">“</w:t>
      </w:r>
      <w:r>
        <w:t xml:space="preserve">company announcement detected</w:t>
      </w:r>
      <w:r>
        <w:t xml:space="preserve">”</w:t>
      </w:r>
      <w:r>
        <w:t xml:space="preserve">).</w:t>
      </w:r>
    </w:p>
    <w:p>
      <w:pPr>
        <w:numPr>
          <w:ilvl w:val="0"/>
          <w:numId w:val="1010"/>
        </w:numPr>
        <w:pStyle w:val="Compact"/>
      </w:pPr>
      <w:r>
        <w:rPr>
          <w:bCs/>
          <w:b/>
        </w:rPr>
        <w:t xml:space="preserve">Relative context</w:t>
      </w:r>
      <w:r>
        <w:t xml:space="preserve"> </w:t>
      </w:r>
      <w:r>
        <w:t xml:space="preserve">— market/sector/peer/historical comparison, shown alongside the raw number.</w:t>
      </w:r>
    </w:p>
    <w:p>
      <w:pPr>
        <w:numPr>
          <w:ilvl w:val="0"/>
          <w:numId w:val="1010"/>
        </w:numPr>
        <w:pStyle w:val="Compact"/>
      </w:pPr>
      <w:r>
        <w:rPr>
          <w:bCs/>
          <w:b/>
        </w:rPr>
        <w:t xml:space="preserve">Confidence indicator</w:t>
      </w:r>
      <w:r>
        <w:t xml:space="preserve"> </w:t>
      </w:r>
      <w:r>
        <w:t xml:space="preserve">— Low/Medium/High, always visible, never omitted.</w:t>
      </w:r>
    </w:p>
    <w:p>
      <w:pPr>
        <w:numPr>
          <w:ilvl w:val="0"/>
          <w:numId w:val="1010"/>
        </w:numPr>
        <w:pStyle w:val="Compact"/>
      </w:pPr>
      <w:r>
        <w:rPr>
          <w:bCs/>
          <w:b/>
        </w:rPr>
        <w:t xml:space="preserve">Causality language discipline</w:t>
      </w:r>
      <w:r>
        <w:t xml:space="preserve"> </w:t>
      </w:r>
      <w:r>
        <w:t xml:space="preserve">—</w:t>
      </w:r>
      <w:r>
        <w:t xml:space="preserve"> </w:t>
      </w:r>
      <w:r>
        <w:t xml:space="preserve">“</w:t>
      </w:r>
      <w:r>
        <w:t xml:space="preserve">coincided with,</w:t>
      </w:r>
      <w:r>
        <w:t xml:space="preserve">”</w:t>
      </w:r>
      <w:r>
        <w:t xml:space="preserve"> </w:t>
      </w:r>
      <w:r>
        <w:t xml:space="preserve">“</w:t>
      </w:r>
      <w:r>
        <w:t xml:space="preserve">associated with,</w:t>
      </w:r>
      <w:r>
        <w:t xml:space="preserve">”</w:t>
      </w:r>
      <w:r>
        <w:t xml:space="preserve"> </w:t>
      </w:r>
      <w:r>
        <w:t xml:space="preserve">“</w:t>
      </w:r>
      <w:r>
        <w:t xml:space="preserve">likely driver</w:t>
      </w:r>
      <w:r>
        <w:t xml:space="preserve">”</w:t>
      </w:r>
      <w:r>
        <w:t xml:space="preserve"> </w:t>
      </w:r>
      <w:r>
        <w:t xml:space="preserve">by default. Direct causal claims (</w:t>
      </w:r>
      <w:r>
        <w:t xml:space="preserve">“</w:t>
      </w:r>
      <w:r>
        <w:t xml:space="preserve">X happened because of Y</w:t>
      </w:r>
      <w:r>
        <w:t xml:space="preserve">”</w:t>
      </w:r>
      <w:r>
        <w:t xml:space="preserve">) are permitted</w:t>
      </w:r>
      <w:r>
        <w:t xml:space="preserve"> </w:t>
      </w:r>
      <w:r>
        <w:rPr>
          <w:bCs/>
          <w:b/>
        </w:rPr>
        <w:t xml:space="preserve">only</w:t>
      </w:r>
      <w:r>
        <w:t xml:space="preserve"> </w:t>
      </w:r>
      <w:r>
        <w:t xml:space="preserve">when the strict cross-layer linking rule in Section 11 is satisfied.</w:t>
      </w:r>
    </w:p>
    <w:p>
      <w:pPr>
        <w:pStyle w:val="FirstParagraph"/>
      </w:pPr>
      <w:r>
        <w:rPr>
          <w:bCs/>
          <w:b/>
        </w:rPr>
        <w:t xml:space="preserve">Data conflict handling:</w:t>
      </w:r>
      <w:r>
        <w:t xml:space="preserve"> </w:t>
      </w:r>
      <w:r>
        <w:t xml:space="preserve">each data type has a designated primary source of record. Conflicting secondary sources are surfaced as a visible flag, never silently averaged and never allowed to block the primary value from rendering.</w:t>
      </w:r>
    </w:p>
    <w:bookmarkEnd w:id="36"/>
    <w:bookmarkStart w:id="37" w:name="timeline-context-model"/>
    <w:p>
      <w:pPr>
        <w:pStyle w:val="Heading1"/>
      </w:pPr>
      <w:r>
        <w:t xml:space="preserve">11. Timeline &amp; Context Model</w:t>
      </w:r>
    </w:p>
    <w:p>
      <w:pPr>
        <w:pStyle w:val="FirstParagraph"/>
      </w:pPr>
      <w:r>
        <w:rPr>
          <w:bCs/>
          <w:b/>
        </w:rPr>
        <w:t xml:space="preserve">One timeline per stock</w:t>
      </w:r>
      <w:r>
        <w:t xml:space="preserve">, not three separate screens. Each entry is tagged by layer —</w:t>
      </w:r>
      <w:r>
        <w:t xml:space="preserve"> </w:t>
      </w:r>
      <w:r>
        <w:rPr>
          <w:bCs/>
          <w:b/>
        </w:rPr>
        <w:t xml:space="preserve">Company / Sector / Domestic / Global</w:t>
      </w:r>
      <w:r>
        <w:t xml:space="preserve"> </w:t>
      </w:r>
      <w:r>
        <w:t xml:space="preserve">— with a filter chip row and layer-colored markers. Forcing a user to choose which of three timelines to open would itself become a scanning burden, which defeats the product’s purpose.</w:t>
      </w:r>
    </w:p>
    <w:p>
      <w:pPr>
        <w:pStyle w:val="BodyText"/>
      </w:pPr>
      <w:r>
        <w:rPr>
          <w:bCs/>
          <w:b/>
        </w:rPr>
        <w:t xml:space="preserve">Timeline contents are filtered, not exhaustive.</w:t>
      </w:r>
      <w:r>
        <w:t xml:space="preserve"> </w:t>
      </w:r>
      <w:r>
        <w:t xml:space="preserve">Only items that reached Notable/Significant classification, or that are directly and validly linked to a shown item, appear on the main timeline. Everything else collapses behind a</w:t>
      </w:r>
      <w:r>
        <w:t xml:space="preserve"> </w:t>
      </w:r>
      <w:r>
        <w:t xml:space="preserve">“</w:t>
      </w:r>
      <w:r>
        <w:t xml:space="preserve">N minor updates</w:t>
      </w:r>
      <w:r>
        <w:t xml:space="preserve">”</w:t>
      </w:r>
      <w:r>
        <w:t xml:space="preserve"> </w:t>
      </w:r>
      <w:r>
        <w:t xml:space="preserve">affordance — the same anti-feed discipline used on the home screen.</w:t>
      </w:r>
    </w:p>
    <w:p>
      <w:pPr>
        <w:pStyle w:val="BodyText"/>
      </w:pPr>
      <w:r>
        <w:rPr>
          <w:bCs/>
          <w:b/>
        </w:rPr>
        <w:t xml:space="preserve">Cross-layer linking rule (strict, to prevent unsupported causal claims):</w:t>
      </w:r>
      <w:r>
        <w:t xml:space="preserve"> </w:t>
      </w:r>
      <w:r>
        <w:t xml:space="preserve">a domestic/global item is displayed as</w:t>
      </w:r>
      <w:r>
        <w:t xml:space="preserve"> </w:t>
      </w:r>
      <w:r>
        <w:rPr>
          <w:iCs/>
          <w:i/>
        </w:rPr>
        <w:t xml:space="preserve">linked</w:t>
      </w:r>
      <w:r>
        <w:t xml:space="preserve"> </w:t>
      </w:r>
      <w:r>
        <w:t xml:space="preserve">to a stock-level move only when</w:t>
      </w:r>
      <w:r>
        <w:t xml:space="preserve"> </w:t>
      </w:r>
      <w:r>
        <w:rPr>
          <w:bCs/>
          <w:b/>
        </w:rPr>
        <w:t xml:space="preserve">both</w:t>
      </w:r>
      <w:r>
        <w:t xml:space="preserve"> </w:t>
      </w:r>
      <w:r>
        <w:t xml:space="preserve">conditions hold:</w:t>
      </w:r>
    </w:p>
    <w:p>
      <w:pPr>
        <w:numPr>
          <w:ilvl w:val="0"/>
          <w:numId w:val="1011"/>
        </w:numPr>
        <w:pStyle w:val="Compact"/>
      </w:pPr>
      <w:r>
        <w:t xml:space="preserve">Sector/peer co-movement exceeds a defined threshold,</w:t>
      </w:r>
      <w:r>
        <w:t xml:space="preserve"> </w:t>
      </w:r>
      <w:r>
        <w:rPr>
          <w:bCs/>
          <w:b/>
        </w:rPr>
        <w:t xml:space="preserve">and</w:t>
      </w:r>
    </w:p>
    <w:p>
      <w:pPr>
        <w:numPr>
          <w:ilvl w:val="0"/>
          <w:numId w:val="1011"/>
        </w:numPr>
        <w:pStyle w:val="Compact"/>
      </w:pPr>
      <w:r>
        <w:t xml:space="preserve">The macro/domestic event’s public timestamp precedes the stock move by less than 4 hours.</w:t>
      </w:r>
    </w:p>
    <w:p>
      <w:pPr>
        <w:pStyle w:val="FirstParagraph"/>
      </w:pPr>
      <w:r>
        <w:t xml:space="preserve">If either condition fails, the domestic/global item still appears on the timeline (in its own layer, for context) but is</w:t>
      </w:r>
      <w:r>
        <w:t xml:space="preserve"> </w:t>
      </w:r>
      <w:r>
        <w:rPr>
          <w:bCs/>
          <w:b/>
        </w:rPr>
        <w:t xml:space="preserve">not</w:t>
      </w:r>
      <w:r>
        <w:t xml:space="preserve"> </w:t>
      </w:r>
      <w:r>
        <w:t xml:space="preserve">presented as an explanation for the stock’s move.</w:t>
      </w:r>
    </w:p>
    <w:p>
      <w:pPr>
        <w:pStyle w:val="BodyText"/>
      </w:pPr>
      <w:r>
        <w:rPr>
          <w:bCs/>
          <w:b/>
        </w:rPr>
        <w:t xml:space="preserve">Event threading:</w:t>
      </w:r>
      <w:r>
        <w:t xml:space="preserve"> </w:t>
      </w:r>
      <w:r>
        <w:t xml:space="preserve">related developments merge into a single thread when they share the same entity and event category, occur within a 72-hour gap, and no acknowledgment/resolution has occurred in between. A thread is marked Resolved after 5 trading days with no new evidence, or upon an explicit terminal event (e.g., a deal closes or is rejected). This prevents one evolving story from generating repeated, disconnected alerts.</w:t>
      </w:r>
    </w:p>
    <w:bookmarkEnd w:id="37"/>
    <w:bookmarkStart w:id="38" w:name="attention-prioritization-model"/>
    <w:p>
      <w:pPr>
        <w:pStyle w:val="Heading1"/>
      </w:pPr>
      <w:r>
        <w:t xml:space="preserve">12. Attention &amp; Prioritization Model</w:t>
      </w:r>
    </w:p>
    <w:p>
      <w:pPr>
        <w:numPr>
          <w:ilvl w:val="0"/>
          <w:numId w:val="1012"/>
        </w:numPr>
        <w:pStyle w:val="Compact"/>
      </w:pPr>
      <w:r>
        <w:rPr>
          <w:bCs/>
          <w:b/>
        </w:rPr>
        <w:t xml:space="preserve">Default cap: 5 items</w:t>
      </w:r>
      <w:r>
        <w:t xml:space="preserve"> </w:t>
      </w:r>
      <w:r>
        <w:t xml:space="preserve">on the</w:t>
      </w:r>
      <w:r>
        <w:t xml:space="preserve"> </w:t>
      </w:r>
      <w:r>
        <w:t xml:space="preserve">“</w:t>
      </w:r>
      <w:r>
        <w:t xml:space="preserve">Since you were last here</w:t>
      </w:r>
      <w:r>
        <w:t xml:space="preserve">”</w:t>
      </w:r>
      <w:r>
        <w:t xml:space="preserve"> </w:t>
      </w:r>
      <w:r>
        <w:t xml:space="preserve">summary. Fixed, not adaptive/learned — an adaptive cap would be unauditable and hard to defend in review.</w:t>
      </w:r>
    </w:p>
    <w:p>
      <w:pPr>
        <w:numPr>
          <w:ilvl w:val="0"/>
          <w:numId w:val="1012"/>
        </w:numPr>
        <w:pStyle w:val="Compact"/>
      </w:pPr>
      <w:r>
        <w:rPr>
          <w:bCs/>
          <w:b/>
        </w:rPr>
        <w:t xml:space="preserve">Ranking order:</w:t>
      </w:r>
      <w:r>
        <w:t xml:space="preserve"> </w:t>
      </w:r>
      <w:r>
        <w:t xml:space="preserve">Significant items first (internal score, descending), then Notable items, up to the cap of 5; ties broken by recency. Overflow collapses into an expandable</w:t>
      </w:r>
      <w:r>
        <w:t xml:space="preserve"> </w:t>
      </w:r>
      <w:r>
        <w:t xml:space="preserve">“</w:t>
      </w:r>
      <w:r>
        <w:t xml:space="preserve">N other notable changes.</w:t>
      </w:r>
      <w:r>
        <w:t xml:space="preserve">”</w:t>
      </w:r>
    </w:p>
    <w:p>
      <w:pPr>
        <w:numPr>
          <w:ilvl w:val="0"/>
          <w:numId w:val="1012"/>
        </w:numPr>
        <w:pStyle w:val="Compact"/>
      </w:pPr>
      <w:r>
        <w:rPr>
          <w:bCs/>
          <w:b/>
        </w:rPr>
        <w:t xml:space="preserve">Significant items are never hidden</w:t>
      </w:r>
      <w:r>
        <w:t xml:space="preserve"> </w:t>
      </w:r>
      <w:r>
        <w:t xml:space="preserve">to make room for personalized content. Personalization may</w:t>
      </w:r>
      <w:r>
        <w:t xml:space="preserve"> </w:t>
      </w:r>
      <w:r>
        <w:rPr>
          <w:iCs/>
          <w:i/>
        </w:rPr>
        <w:t xml:space="preserve">promote</w:t>
      </w:r>
      <w:r>
        <w:t xml:space="preserve"> </w:t>
      </w:r>
      <w:r>
        <w:t xml:space="preserve">a Notable item into the visible list, but it can never suppress a Significant one — this is the direct answer to</w:t>
      </w:r>
      <w:r>
        <w:t xml:space="preserve"> </w:t>
      </w:r>
      <w:r>
        <w:t xml:space="preserve">“</w:t>
      </w:r>
      <w:r>
        <w:t xml:space="preserve">how do you avoid hiding important information.</w:t>
      </w:r>
      <w:r>
        <w:t xml:space="preserve">”</w:t>
      </w:r>
    </w:p>
    <w:p>
      <w:pPr>
        <w:numPr>
          <w:ilvl w:val="0"/>
          <w:numId w:val="1012"/>
        </w:numPr>
        <w:pStyle w:val="Compact"/>
      </w:pPr>
      <w:r>
        <w:rPr>
          <w:bCs/>
          <w:b/>
        </w:rPr>
        <w:t xml:space="preserve">Away-time scaling is about grouping, not counting.</w:t>
      </w:r>
      <w:r>
        <w:t xml:space="preserve"> </w:t>
      </w:r>
      <w:r>
        <w:t xml:space="preserve">After a 15-minute gap, the model typically has 0–1 new items. After a 7-day gap, dozens of raw daily changes are pre-aggregated into event threads (Section 11)</w:t>
      </w:r>
      <w:r>
        <w:t xml:space="preserve"> </w:t>
      </w:r>
      <w:r>
        <w:rPr>
          <w:iCs/>
          <w:i/>
        </w:rPr>
        <w:t xml:space="preserve">before</w:t>
      </w:r>
      <w:r>
        <w:t xml:space="preserve"> </w:t>
      </w:r>
      <w:r>
        <w:t xml:space="preserve">ranking, so the user still sees at most 5 threads — each expandable into its full multi-day evolution.</w:t>
      </w:r>
    </w:p>
    <w:bookmarkEnd w:id="38"/>
    <w:bookmarkStart w:id="39" w:name="personalization-user-controls"/>
    <w:p>
      <w:pPr>
        <w:pStyle w:val="Heading1"/>
      </w:pPr>
      <w:r>
        <w:t xml:space="preserve">13. Personalization &amp; User Controls</w:t>
      </w:r>
    </w:p>
    <w:p>
      <w:pPr>
        <w:pStyle w:val="FirstParagraph"/>
      </w:pPr>
      <w:r>
        <w:t xml:space="preserve">v1 personalization is</w:t>
      </w:r>
      <w:r>
        <w:t xml:space="preserve"> </w:t>
      </w:r>
      <w:r>
        <w:rPr>
          <w:bCs/>
          <w:b/>
        </w:rPr>
        <w:t xml:space="preserve">explicit and preference-based only</w:t>
      </w:r>
      <w:r>
        <w:t xml:space="preserve">:</w:t>
      </w:r>
    </w:p>
    <w:p>
      <w:pPr>
        <w:numPr>
          <w:ilvl w:val="0"/>
          <w:numId w:val="1013"/>
        </w:numPr>
        <w:pStyle w:val="Compact"/>
      </w:pPr>
      <w:r>
        <w:t xml:space="preserve">Interest toggles (price moves, volume anomalies, news, earnings, corporate actions).</w:t>
      </w:r>
    </w:p>
    <w:p>
      <w:pPr>
        <w:numPr>
          <w:ilvl w:val="0"/>
          <w:numId w:val="1013"/>
        </w:numPr>
        <w:pStyle w:val="Compact"/>
      </w:pPr>
      <w:r>
        <w:t xml:space="preserve">Per-stock custom threshold overrides.</w:t>
      </w:r>
    </w:p>
    <w:p>
      <w:pPr>
        <w:numPr>
          <w:ilvl w:val="0"/>
          <w:numId w:val="1013"/>
        </w:numPr>
        <w:pStyle w:val="Compact"/>
      </w:pPr>
      <w:r>
        <w:t xml:space="preserve">Mute categories, per-stock or global.</w:t>
      </w:r>
    </w:p>
    <w:p>
      <w:pPr>
        <w:numPr>
          <w:ilvl w:val="0"/>
          <w:numId w:val="1013"/>
        </w:numPr>
        <w:pStyle w:val="Compact"/>
      </w:pPr>
      <w:r>
        <w:t xml:space="preserve">Acknowledge / mark-as-reviewed, per item or per thread.</w:t>
      </w:r>
    </w:p>
    <w:p>
      <w:pPr>
        <w:pStyle w:val="FirstParagraph"/>
      </w:pPr>
      <w:r>
        <w:rPr>
          <w:bCs/>
          <w:b/>
        </w:rPr>
        <w:t xml:space="preserve">Explicitly out of scope for v1:</w:t>
      </w:r>
      <w:r>
        <w:t xml:space="preserve"> </w:t>
      </w:r>
      <w:r>
        <w:t xml:space="preserve">persona selection (beginner/investor/trader/researcher — kept only as a research/design reference for future tone/detail tuning, not a shipped mode) and any behavior-inferred personalization. Personalization changes ordering, visibility, and personal threshold sensitivity — it never changes the objective significance classification of a security, which stays identical for every user watching it. This preserves both auditability and the shared-computation scaling model in Section 17.</w:t>
      </w:r>
    </w:p>
    <w:bookmarkEnd w:id="39"/>
    <w:bookmarkStart w:id="40" w:name="watchlist-event-lifecycle-management"/>
    <w:p>
      <w:pPr>
        <w:pStyle w:val="Heading1"/>
      </w:pPr>
      <w:r>
        <w:t xml:space="preserve">14. Watchlist &amp; Event Lifecycle Management</w:t>
      </w:r>
    </w:p>
    <w:p>
      <w:pPr>
        <w:pStyle w:val="FirstParagraph"/>
      </w:pPr>
      <w:r>
        <w:rPr>
          <w:bCs/>
          <w:b/>
        </w:rPr>
        <w:t xml:space="preserve">Watchlist types:</w:t>
      </w:r>
      <w:r>
        <w:t xml:space="preserve"> </w:t>
      </w:r>
      <w:r>
        <w:t xml:space="preserve">Permanent watch (default) and Temporary watch (time- or event-bounded, auto-expires and is excluded from scoring after expiry). A</w:t>
      </w:r>
      <w:r>
        <w:t xml:space="preserve"> </w:t>
      </w:r>
      <w:r>
        <w:t xml:space="preserve">“</w:t>
      </w:r>
      <w:r>
        <w:t xml:space="preserve">watch until price crosses ₹X</w:t>
      </w:r>
      <w:r>
        <w:t xml:space="preserve">”</w:t>
      </w:r>
      <w:r>
        <w:t xml:space="preserve"> </w:t>
      </w:r>
      <w:r>
        <w:t xml:space="preserve">is implemented as a personal-relevance threshold on an existing watchlist entry, not a separate watchlist type — this keeps the taxonomy small and easy to explain.</w:t>
      </w:r>
    </w:p>
    <w:p>
      <w:pPr>
        <w:pStyle w:val="BodyText"/>
      </w:pPr>
      <w:r>
        <w:rPr>
          <w:bCs/>
          <w:b/>
        </w:rPr>
        <w:t xml:space="preserve">Watchlist limits (v1):</w:t>
      </w:r>
      <w:r>
        <w:t xml:space="preserve"> </w:t>
      </w:r>
      <w:r>
        <w:t xml:space="preserve">capped at 100 securities per watchlist, one watchlist per account.</w:t>
      </w:r>
    </w:p>
    <w:p>
      <w:pPr>
        <w:pStyle w:val="BodyText"/>
      </w:pPr>
      <w:r>
        <w:rPr>
          <w:bCs/>
          <w:b/>
        </w:rPr>
        <w:t xml:space="preserve">Event lifecycle (per event/thread):</w:t>
      </w:r>
    </w:p>
    <w:p>
      <w:pPr>
        <w:numPr>
          <w:ilvl w:val="0"/>
          <w:numId w:val="1014"/>
        </w:numPr>
        <w:pStyle w:val="Compact"/>
      </w:pPr>
      <w:r>
        <w:t xml:space="preserve">Event detected by the significance engine.</w:t>
      </w:r>
    </w:p>
    <w:p>
      <w:pPr>
        <w:numPr>
          <w:ilvl w:val="0"/>
          <w:numId w:val="1014"/>
        </w:numPr>
        <w:pStyle w:val="Compact"/>
      </w:pPr>
      <w:r>
        <w:t xml:space="preserve">Surfaced to affected users with evidence and confidence.</w:t>
      </w:r>
    </w:p>
    <w:p>
      <w:pPr>
        <w:numPr>
          <w:ilvl w:val="0"/>
          <w:numId w:val="1014"/>
        </w:numPr>
        <w:pStyle w:val="Compact"/>
      </w:pPr>
      <w:r>
        <w:t xml:space="preserve">User views or explicitly acknowledges it.</w:t>
      </w:r>
    </w:p>
    <w:p>
      <w:pPr>
        <w:numPr>
          <w:ilvl w:val="0"/>
          <w:numId w:val="1014"/>
        </w:numPr>
        <w:pStyle w:val="Compact"/>
      </w:pPr>
      <w:r>
        <w:t xml:space="preserve">Additional related developments attach to the same thread per the rule in Section 11.</w:t>
      </w:r>
    </w:p>
    <w:p>
      <w:pPr>
        <w:numPr>
          <w:ilvl w:val="0"/>
          <w:numId w:val="1014"/>
        </w:numPr>
        <w:pStyle w:val="Compact"/>
      </w:pPr>
      <w:r>
        <w:t xml:space="preserve">Thread marked Resolved (5 trading days of no new evidence, or a terminal event) or remains Active.</w:t>
      </w:r>
    </w:p>
    <w:bookmarkEnd w:id="40"/>
    <w:bookmarkStart w:id="41" w:name="functional-requirements"/>
    <w:p>
      <w:pPr>
        <w:pStyle w:val="Heading1"/>
      </w:pPr>
      <w:r>
        <w:t xml:space="preserve">15. Functional Requirements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Capability</w:t>
            </w:r>
          </w:p>
        </w:tc>
        <w:tc>
          <w:tcPr/>
          <w:p>
            <w:pPr>
              <w:pStyle w:val="Compact"/>
              <w:jc w:val="left"/>
            </w:pPr>
            <w:r>
              <w:t xml:space="preserve">Requirement</w:t>
            </w:r>
          </w:p>
        </w:tc>
      </w:tr>
      <w:tr>
        <w:tc>
          <w:tcPr/>
          <w:p>
            <w:pPr>
              <w:pStyle w:val="Compact"/>
              <w:jc w:val="left"/>
            </w:pPr>
            <w:r>
              <w:t xml:space="preserve">FR-01</w:t>
            </w:r>
          </w:p>
        </w:tc>
        <w:tc>
          <w:tcPr/>
          <w:p>
            <w:pPr>
              <w:pStyle w:val="Compact"/>
              <w:jc w:val="left"/>
            </w:pPr>
            <w:r>
              <w:t xml:space="preserve">Create watchlist</w:t>
            </w:r>
          </w:p>
        </w:tc>
        <w:tc>
          <w:tcPr/>
          <w:p>
            <w:pPr>
              <w:pStyle w:val="Compact"/>
              <w:jc w:val="left"/>
            </w:pPr>
            <w:r>
              <w:t xml:space="preserve">User creates a named, permanent watchlist; one watchlist per account in v1.</w:t>
            </w:r>
          </w:p>
        </w:tc>
      </w:tr>
      <w:tr>
        <w:tc>
          <w:tcPr/>
          <w:p>
            <w:pPr>
              <w:pStyle w:val="Compact"/>
              <w:jc w:val="left"/>
            </w:pPr>
            <w:r>
              <w:t xml:space="preserve">FR-02</w:t>
            </w:r>
          </w:p>
        </w:tc>
        <w:tc>
          <w:tcPr/>
          <w:p>
            <w:pPr>
              <w:pStyle w:val="Compact"/>
              <w:jc w:val="left"/>
            </w:pPr>
            <w:r>
              <w:t xml:space="preserve">Manage securities</w:t>
            </w:r>
          </w:p>
        </w:tc>
        <w:tc>
          <w:tcPr/>
          <w:p>
            <w:pPr>
              <w:pStyle w:val="Compact"/>
              <w:jc w:val="left"/>
            </w:pPr>
            <w:r>
              <w:t xml:space="preserve">Add/remove/search securities, capped at 100 per watchlist. Reordering is P1.</w:t>
            </w:r>
          </w:p>
        </w:tc>
      </w:tr>
      <w:tr>
        <w:tc>
          <w:tcPr/>
          <w:p>
            <w:pPr>
              <w:pStyle w:val="Compact"/>
              <w:jc w:val="left"/>
            </w:pPr>
            <w:r>
              <w:t xml:space="preserve">FR-03</w:t>
            </w:r>
          </w:p>
        </w:tc>
        <w:tc>
          <w:tcPr/>
          <w:p>
            <w:pPr>
              <w:pStyle w:val="Compact"/>
              <w:jc w:val="left"/>
            </w:pPr>
            <w:r>
              <w:t xml:space="preserve">Temporary watch</w:t>
            </w:r>
          </w:p>
        </w:tc>
        <w:tc>
          <w:tcPr/>
          <w:p>
            <w:pPr>
              <w:pStyle w:val="Compact"/>
              <w:jc w:val="left"/>
            </w:pPr>
            <w:r>
              <w:t xml:space="preserve">Security can be added with an end date/triggering event; auto-expires and exits scoring.</w:t>
            </w:r>
          </w:p>
        </w:tc>
      </w:tr>
      <w:tr>
        <w:tc>
          <w:tcPr/>
          <w:p>
            <w:pPr>
              <w:pStyle w:val="Compact"/>
              <w:jc w:val="left"/>
            </w:pPr>
            <w:r>
              <w:t xml:space="preserve">FR-04</w:t>
            </w:r>
          </w:p>
        </w:tc>
        <w:tc>
          <w:tcPr/>
          <w:p>
            <w:pPr>
              <w:pStyle w:val="Compact"/>
              <w:jc w:val="left"/>
            </w:pPr>
            <w:r>
              <w:t xml:space="preserve">View latest data</w:t>
            </w:r>
          </w:p>
        </w:tc>
        <w:tc>
          <w:tcPr/>
          <w:p>
            <w:pPr>
              <w:pStyle w:val="Compact"/>
              <w:jc w:val="left"/>
            </w:pPr>
            <w:r>
              <w:t xml:space="preserve">Every price/volume figure shown with timestamp and freshness label (Real-time / Delayed Nmin / Stale).</w:t>
            </w:r>
          </w:p>
        </w:tc>
      </w:tr>
      <w:tr>
        <w:tc>
          <w:tcPr/>
          <w:p>
            <w:pPr>
              <w:pStyle w:val="Compact"/>
              <w:jc w:val="left"/>
            </w:pPr>
            <w:r>
              <w:t xml:space="preserve">FR-05</w:t>
            </w:r>
          </w:p>
        </w:tc>
        <w:tc>
          <w:tcPr/>
          <w:p>
            <w:pPr>
              <w:pStyle w:val="Compact"/>
              <w:jc w:val="left"/>
            </w:pPr>
            <w:r>
              <w:t xml:space="preserve">Persist state</w:t>
            </w:r>
          </w:p>
        </w:tc>
        <w:tc>
          <w:tcPr/>
          <w:p>
            <w:pPr>
              <w:pStyle w:val="Compact"/>
              <w:jc w:val="left"/>
            </w:pPr>
            <w:r>
              <w:t xml:space="preserve">Watchlist membership, thresholds, mute settings, and acknowledgment state persist per authenticated account across devices.</w:t>
            </w:r>
          </w:p>
        </w:tc>
      </w:tr>
      <w:tr>
        <w:tc>
          <w:tcPr/>
          <w:p>
            <w:pPr>
              <w:pStyle w:val="Compact"/>
              <w:jc w:val="left"/>
            </w:pPr>
            <w:r>
              <w:t xml:space="preserve">FR-06</w:t>
            </w:r>
          </w:p>
        </w:tc>
        <w:tc>
          <w:tcPr/>
          <w:p>
            <w:pPr>
              <w:pStyle w:val="Compact"/>
              <w:jc w:val="left"/>
            </w:pPr>
            <w:r>
              <w:t xml:space="preserve">Baseline comparison</w:t>
            </w:r>
          </w:p>
        </w:tc>
        <w:tc>
          <w:tcPr/>
          <w:p>
            <w:pPr>
              <w:pStyle w:val="Compact"/>
              <w:jc w:val="left"/>
            </w:pPr>
            <w:r>
              <w:t xml:space="preserve">System compares current state to the per-surface baseline defined in Section 8 — never silently</w:t>
            </w:r>
            <w:r>
              <w:t xml:space="preserve"> </w:t>
            </w:r>
            <w:r>
              <w:t xml:space="preserve">“</w:t>
            </w:r>
            <w:r>
              <w:t xml:space="preserve">since app open.</w:t>
            </w:r>
            <w:r>
              <w:t xml:space="preserve">”</w:t>
            </w:r>
          </w:p>
        </w:tc>
      </w:tr>
      <w:tr>
        <w:tc>
          <w:tcPr/>
          <w:p>
            <w:pPr>
              <w:pStyle w:val="Compact"/>
              <w:jc w:val="left"/>
            </w:pPr>
            <w:r>
              <w:t xml:space="preserve">FR-07</w:t>
            </w:r>
          </w:p>
        </w:tc>
        <w:tc>
          <w:tcPr/>
          <w:p>
            <w:pPr>
              <w:pStyle w:val="Compact"/>
              <w:jc w:val="left"/>
            </w:pPr>
            <w:r>
              <w:t xml:space="preserve">Detect changes</w:t>
            </w:r>
          </w:p>
        </w:tc>
        <w:tc>
          <w:tcPr/>
          <w:p>
            <w:pPr>
              <w:pStyle w:val="Compact"/>
              <w:jc w:val="left"/>
            </w:pPr>
            <w:r>
              <w:t xml:space="preserve">System computes absolute move, relative-to-index move, volume ratio, volatility change, and event match for every watched security on a fixed schedule.</w:t>
            </w:r>
          </w:p>
        </w:tc>
      </w:tr>
      <w:tr>
        <w:tc>
          <w:tcPr/>
          <w:p>
            <w:pPr>
              <w:pStyle w:val="Compact"/>
              <w:jc w:val="left"/>
            </w:pPr>
            <w:r>
              <w:t xml:space="preserve">FR-08</w:t>
            </w:r>
          </w:p>
        </w:tc>
        <w:tc>
          <w:tcPr/>
          <w:p>
            <w:pPr>
              <w:pStyle w:val="Compact"/>
              <w:jc w:val="left"/>
            </w:pPr>
            <w:r>
              <w:t xml:space="preserve">Classify significance</w:t>
            </w:r>
          </w:p>
        </w:tc>
        <w:tc>
          <w:tcPr/>
          <w:p>
            <w:pPr>
              <w:pStyle w:val="Compact"/>
              <w:jc w:val="left"/>
            </w:pPr>
            <w:r>
              <w:t xml:space="preserve">Every detected change receives Normal / Notable / Significant via the deterministic model in Section 9, computed once per security and shared across all users watching it.</w:t>
            </w:r>
          </w:p>
        </w:tc>
      </w:tr>
      <w:tr>
        <w:tc>
          <w:tcPr/>
          <w:p>
            <w:pPr>
              <w:pStyle w:val="Compact"/>
              <w:jc w:val="left"/>
            </w:pPr>
            <w:r>
              <w:t xml:space="preserve">FR-09</w:t>
            </w:r>
          </w:p>
        </w:tc>
        <w:tc>
          <w:tcPr/>
          <w:p>
            <w:pPr>
              <w:pStyle w:val="Compact"/>
              <w:jc w:val="left"/>
            </w:pPr>
            <w:r>
              <w:t xml:space="preserve">Confidence</w:t>
            </w:r>
          </w:p>
        </w:tc>
        <w:tc>
          <w:tcPr/>
          <w:p>
            <w:pPr>
              <w:pStyle w:val="Compact"/>
              <w:jc w:val="left"/>
            </w:pPr>
            <w:r>
              <w:t xml:space="preserve">Every Notable/Significant item receives Low/Medium/High confidence per Section 9.3.</w:t>
            </w:r>
          </w:p>
        </w:tc>
      </w:tr>
      <w:tr>
        <w:tc>
          <w:tcPr/>
          <w:p>
            <w:pPr>
              <w:pStyle w:val="Compact"/>
              <w:jc w:val="left"/>
            </w:pPr>
            <w:r>
              <w:t xml:space="preserve">FR-10</w:t>
            </w:r>
          </w:p>
        </w:tc>
        <w:tc>
          <w:tcPr/>
          <w:p>
            <w:pPr>
              <w:pStyle w:val="Compact"/>
              <w:jc w:val="left"/>
            </w:pPr>
            <w:r>
              <w:t xml:space="preserve">Explain</w:t>
            </w:r>
          </w:p>
        </w:tc>
        <w:tc>
          <w:tcPr/>
          <w:p>
            <w:pPr>
              <w:pStyle w:val="Compact"/>
              <w:jc w:val="left"/>
            </w:pPr>
            <w:r>
              <w:t xml:space="preserve">Every Notable/Significant item shows its evidence list in plain language; causal language constrained per Section 10 unless the strict linking rule in Section 11 is met.</w:t>
            </w:r>
          </w:p>
        </w:tc>
      </w:tr>
      <w:tr>
        <w:tc>
          <w:tcPr/>
          <w:p>
            <w:pPr>
              <w:pStyle w:val="Compact"/>
              <w:jc w:val="left"/>
            </w:pPr>
            <w:r>
              <w:t xml:space="preserve">FR-11</w:t>
            </w:r>
          </w:p>
        </w:tc>
        <w:tc>
          <w:tcPr/>
          <w:p>
            <w:pPr>
              <w:pStyle w:val="Compact"/>
              <w:jc w:val="left"/>
            </w:pPr>
            <w:r>
              <w:t xml:space="preserve">Prioritize</w:t>
            </w:r>
          </w:p>
        </w:tc>
        <w:tc>
          <w:tcPr/>
          <w:p>
            <w:pPr>
              <w:pStyle w:val="Compact"/>
              <w:jc w:val="left"/>
            </w:pPr>
            <w:r>
              <w:t xml:space="preserve">Catch-up summary shows top 5 items (Significant first, then Notable), expandable overflow. Significant items are never hidden by personalization.</w:t>
            </w:r>
          </w:p>
        </w:tc>
      </w:tr>
      <w:tr>
        <w:tc>
          <w:tcPr/>
          <w:p>
            <w:pPr>
              <w:pStyle w:val="Compact"/>
              <w:jc w:val="left"/>
            </w:pPr>
            <w:r>
              <w:t xml:space="preserve">FR-12</w:t>
            </w:r>
          </w:p>
        </w:tc>
        <w:tc>
          <w:tcPr/>
          <w:p>
            <w:pPr>
              <w:pStyle w:val="Compact"/>
              <w:jc w:val="left"/>
            </w:pPr>
            <w:r>
              <w:t xml:space="preserve">Acknowledge</w:t>
            </w:r>
          </w:p>
        </w:tc>
        <w:tc>
          <w:tcPr/>
          <w:p>
            <w:pPr>
              <w:pStyle w:val="Compact"/>
              <w:jc w:val="left"/>
            </w:pPr>
            <w:r>
              <w:t xml:space="preserve">User marks an item/thread reviewed; acknowledged items do not re-surface as new unless materially updated.</w:t>
            </w:r>
          </w:p>
        </w:tc>
      </w:tr>
      <w:tr>
        <w:tc>
          <w:tcPr/>
          <w:p>
            <w:pPr>
              <w:pStyle w:val="Compact"/>
              <w:jc w:val="left"/>
            </w:pPr>
            <w:r>
              <w:t xml:space="preserve">FR-13</w:t>
            </w:r>
          </w:p>
        </w:tc>
        <w:tc>
          <w:tcPr/>
          <w:p>
            <w:pPr>
              <w:pStyle w:val="Compact"/>
              <w:jc w:val="left"/>
            </w:pPr>
            <w:r>
              <w:t xml:space="preserve">Personalize</w:t>
            </w:r>
          </w:p>
        </w:tc>
        <w:tc>
          <w:tcPr/>
          <w:p>
            <w:pPr>
              <w:pStyle w:val="Compact"/>
              <w:jc w:val="left"/>
            </w:pPr>
            <w:r>
              <w:t xml:space="preserve">User sets interest toggles, per-stock thresholds, and mute rules; affects ordering/visibility only, never classification.</w:t>
            </w:r>
          </w:p>
        </w:tc>
      </w:tr>
      <w:tr>
        <w:tc>
          <w:tcPr/>
          <w:p>
            <w:pPr>
              <w:pStyle w:val="Compact"/>
              <w:jc w:val="left"/>
            </w:pPr>
            <w:r>
              <w:t xml:space="preserve">FR-14</w:t>
            </w:r>
          </w:p>
        </w:tc>
        <w:tc>
          <w:tcPr/>
          <w:p>
            <w:pPr>
              <w:pStyle w:val="Compact"/>
              <w:jc w:val="left"/>
            </w:pPr>
            <w:r>
              <w:t xml:space="preserve">Timeline</w:t>
            </w:r>
          </w:p>
        </w:tc>
        <w:tc>
          <w:tcPr/>
          <w:p>
            <w:pPr>
              <w:pStyle w:val="Compact"/>
              <w:jc w:val="left"/>
            </w:pPr>
            <w:r>
              <w:t xml:space="preserve">Single layer-tagged (Company/Sector/Domestic/Global) chronological timeline per stock, filtered to Notable+/validly-linked items, with a collapsed</w:t>
            </w:r>
            <w:r>
              <w:t xml:space="preserve"> </w:t>
            </w:r>
            <w:r>
              <w:t xml:space="preserve">“</w:t>
            </w:r>
            <w:r>
              <w:t xml:space="preserve">minor updates</w:t>
            </w:r>
            <w:r>
              <w:t xml:space="preserve">”</w:t>
            </w:r>
            <w:r>
              <w:t xml:space="preserve"> </w:t>
            </w:r>
            <w:r>
              <w:t xml:space="preserve">affordance.</w:t>
            </w:r>
          </w:p>
        </w:tc>
      </w:tr>
      <w:tr>
        <w:tc>
          <w:tcPr/>
          <w:p>
            <w:pPr>
              <w:pStyle w:val="Compact"/>
              <w:jc w:val="left"/>
            </w:pPr>
            <w:r>
              <w:t xml:space="preserve">FR-15</w:t>
            </w:r>
          </w:p>
        </w:tc>
        <w:tc>
          <w:tcPr/>
          <w:p>
            <w:pPr>
              <w:pStyle w:val="Compact"/>
              <w:jc w:val="left"/>
            </w:pPr>
            <w:r>
              <w:t xml:space="preserve">Event threading</w:t>
            </w:r>
          </w:p>
        </w:tc>
        <w:tc>
          <w:tcPr/>
          <w:p>
            <w:pPr>
              <w:pStyle w:val="Compact"/>
              <w:jc w:val="left"/>
            </w:pPr>
            <w:r>
              <w:t xml:space="preserve">Related developments merge per the rule in Section 11; threads resolve after 5 trading days of no new evidence or a terminal event.</w:t>
            </w:r>
          </w:p>
        </w:tc>
      </w:tr>
      <w:tr>
        <w:tc>
          <w:tcPr/>
          <w:p>
            <w:pPr>
              <w:pStyle w:val="Compact"/>
              <w:jc w:val="left"/>
            </w:pPr>
            <w:r>
              <w:t xml:space="preserve">FR-16</w:t>
            </w:r>
          </w:p>
        </w:tc>
        <w:tc>
          <w:tcPr/>
          <w:p>
            <w:pPr>
              <w:pStyle w:val="Compact"/>
              <w:jc w:val="left"/>
            </w:pPr>
            <w:r>
              <w:t xml:space="preserve">Data quality states</w:t>
            </w:r>
          </w:p>
        </w:tc>
        <w:tc>
          <w:tcPr/>
          <w:p>
            <w:pPr>
              <w:pStyle w:val="Compact"/>
              <w:jc w:val="left"/>
            </w:pPr>
            <w:r>
              <w:t xml:space="preserve">UI distinguishes real-time/delayed/stale; conflicting sources render the primary source of record with a visible discrepancy flag, never a silent average.</w:t>
            </w:r>
          </w:p>
        </w:tc>
      </w:tr>
      <w:tr>
        <w:tc>
          <w:tcPr/>
          <w:p>
            <w:pPr>
              <w:pStyle w:val="Compact"/>
              <w:jc w:val="left"/>
            </w:pPr>
            <w:r>
              <w:t xml:space="preserve">FR-17</w:t>
            </w:r>
          </w:p>
        </w:tc>
        <w:tc>
          <w:tcPr/>
          <w:p>
            <w:pPr>
              <w:pStyle w:val="Compact"/>
              <w:jc w:val="left"/>
            </w:pPr>
            <w:r>
              <w:t xml:space="preserve">Empty/zero-change states</w:t>
            </w:r>
          </w:p>
        </w:tc>
        <w:tc>
          <w:tcPr/>
          <w:p>
            <w:pPr>
              <w:pStyle w:val="Compact"/>
              <w:jc w:val="left"/>
            </w:pPr>
            <w:r>
              <w:t xml:space="preserve">Explicit</w:t>
            </w:r>
            <w:r>
              <w:t xml:space="preserve"> </w:t>
            </w:r>
            <w:r>
              <w:t xml:space="preserve">“</w:t>
            </w:r>
            <w:r>
              <w:t xml:space="preserve">nothing meaningful changed</w:t>
            </w:r>
            <w:r>
              <w:t xml:space="preserve">”</w:t>
            </w:r>
            <w:r>
              <w:t xml:space="preserve"> </w:t>
            </w:r>
            <w:r>
              <w:t xml:space="preserve">state for watchlist home; explicit empty-watchlist onboarding state.</w:t>
            </w:r>
          </w:p>
        </w:tc>
      </w:tr>
    </w:tbl>
    <w:bookmarkEnd w:id="41"/>
    <w:bookmarkStart w:id="42" w:name="data-requirements-source-of-record-rules"/>
    <w:p>
      <w:pPr>
        <w:pStyle w:val="Heading1"/>
      </w:pPr>
      <w:r>
        <w:t xml:space="preserve">16. Data Requirements &amp; Source-of-Record Rules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Domain</w:t>
            </w:r>
          </w:p>
        </w:tc>
        <w:tc>
          <w:tcPr/>
          <w:p>
            <w:pPr>
              <w:pStyle w:val="Compact"/>
              <w:jc w:val="left"/>
            </w:pPr>
            <w:r>
              <w:t xml:space="preserve">Requirement</w:t>
            </w:r>
          </w:p>
        </w:tc>
        <w:tc>
          <w:tcPr/>
          <w:p>
            <w:pPr>
              <w:pStyle w:val="Compact"/>
              <w:jc w:val="left"/>
            </w:pPr>
            <w:r>
              <w:t xml:space="preserve">Source-of-record rule</w:t>
            </w:r>
          </w:p>
        </w:tc>
      </w:tr>
      <w:tr>
        <w:tc>
          <w:tcPr/>
          <w:p>
            <w:pPr>
              <w:pStyle w:val="Compact"/>
              <w:jc w:val="left"/>
            </w:pPr>
            <w:r>
              <w:t xml:space="preserve">Price</w:t>
            </w:r>
          </w:p>
        </w:tc>
        <w:tc>
          <w:tcPr/>
          <w:p>
            <w:pPr>
              <w:pStyle w:val="Compact"/>
              <w:jc w:val="left"/>
            </w:pPr>
            <w:r>
              <w:t xml:space="preserve">Latest price, absolute/percentage change, reference price and time</w:t>
            </w:r>
          </w:p>
        </w:tc>
        <w:tc>
          <w:tcPr/>
          <w:p>
            <w:pPr>
              <w:pStyle w:val="Compact"/>
              <w:jc w:val="left"/>
            </w:pPr>
            <w:r>
              <w:t xml:space="preserve">One designated primary feed per market; secondary feeds used only to flag discrepancy</w:t>
            </w:r>
          </w:p>
        </w:tc>
      </w:tr>
      <w:tr>
        <w:tc>
          <w:tcPr/>
          <w:p>
            <w:pPr>
              <w:pStyle w:val="Compact"/>
              <w:jc w:val="left"/>
            </w:pPr>
            <w:r>
              <w:t xml:space="preserve">Volume</w:t>
            </w:r>
          </w:p>
        </w:tc>
        <w:tc>
          <w:tcPr/>
          <w:p>
            <w:pPr>
              <w:pStyle w:val="Compact"/>
              <w:jc w:val="left"/>
            </w:pPr>
            <w:r>
              <w:t xml:space="preserve">Current volume + 30-day comparable baseline</w:t>
            </w:r>
          </w:p>
        </w:tc>
        <w:tc>
          <w:tcPr/>
          <w:p>
            <w:pPr>
              <w:pStyle w:val="Compact"/>
              <w:jc w:val="left"/>
            </w:pPr>
            <w:r>
              <w:t xml:space="preserve">Same primary feed as price</w:t>
            </w:r>
          </w:p>
        </w:tc>
      </w:tr>
      <w:tr>
        <w:tc>
          <w:tcPr/>
          <w:p>
            <w:pPr>
              <w:pStyle w:val="Compact"/>
              <w:jc w:val="left"/>
            </w:pPr>
            <w:r>
              <w:t xml:space="preserve">Volatility</w:t>
            </w:r>
          </w:p>
        </w:tc>
        <w:tc>
          <w:tcPr/>
          <w:p>
            <w:pPr>
              <w:pStyle w:val="Compact"/>
              <w:jc w:val="left"/>
            </w:pPr>
            <w:r>
              <w:t xml:space="preserve">Current volatility vs. the stock’s own recent behavior</w:t>
            </w:r>
          </w:p>
        </w:tc>
        <w:tc>
          <w:tcPr/>
          <w:p>
            <w:pPr>
              <w:pStyle w:val="Compact"/>
              <w:jc w:val="left"/>
            </w:pPr>
            <w:r>
              <w:t xml:space="preserve">Derived internally from primary price feed, not a separate vendor</w:t>
            </w:r>
          </w:p>
        </w:tc>
      </w:tr>
      <w:tr>
        <w:tc>
          <w:tcPr/>
          <w:p>
            <w:pPr>
              <w:pStyle w:val="Compact"/>
              <w:jc w:val="left"/>
            </w:pPr>
            <w:r>
              <w:t xml:space="preserve">News &amp; announcements</w:t>
            </w:r>
          </w:p>
        </w:tc>
        <w:tc>
          <w:tcPr/>
          <w:p>
            <w:pPr>
              <w:pStyle w:val="Compact"/>
              <w:jc w:val="left"/>
            </w:pPr>
            <w:r>
              <w:t xml:space="preserve">Company/market news, timestamped and attributable</w:t>
            </w:r>
          </w:p>
        </w:tc>
        <w:tc>
          <w:tcPr/>
          <w:p>
            <w:pPr>
              <w:pStyle w:val="Compact"/>
              <w:jc w:val="left"/>
            </w:pPr>
            <w:r>
              <w:t xml:space="preserve">Multiple sources allowed; deduplicated by entity+topic+time window before event matching</w:t>
            </w:r>
          </w:p>
        </w:tc>
      </w:tr>
      <w:tr>
        <w:tc>
          <w:tcPr/>
          <w:p>
            <w:pPr>
              <w:pStyle w:val="Compact"/>
              <w:jc w:val="left"/>
            </w:pPr>
            <w:r>
              <w:t xml:space="preserve">Earnings</w:t>
            </w:r>
          </w:p>
        </w:tc>
        <w:tc>
          <w:tcPr/>
          <w:p>
            <w:pPr>
              <w:pStyle w:val="Compact"/>
              <w:jc w:val="left"/>
            </w:pPr>
            <w:r>
              <w:t xml:space="preserve">Results, consensus comparison where available, release timing</w:t>
            </w:r>
          </w:p>
        </w:tc>
        <w:tc>
          <w:tcPr/>
          <w:p>
            <w:pPr>
              <w:pStyle w:val="Compact"/>
              <w:jc w:val="left"/>
            </w:pPr>
            <w:r>
              <w:t xml:space="preserve">Single earnings-data vendor as primary</w:t>
            </w:r>
          </w:p>
        </w:tc>
      </w:tr>
      <w:tr>
        <w:tc>
          <w:tcPr/>
          <w:p>
            <w:pPr>
              <w:pStyle w:val="Compact"/>
              <w:jc w:val="left"/>
            </w:pPr>
            <w:r>
              <w:t xml:space="preserve">Corporate actions</w:t>
            </w:r>
          </w:p>
        </w:tc>
        <w:tc>
          <w:tcPr/>
          <w:p>
            <w:pPr>
              <w:pStyle w:val="Compact"/>
              <w:jc w:val="left"/>
            </w:pPr>
            <w:r>
              <w:t xml:space="preserve">Dividends, buybacks, splits, mergers, fundraising, etc.</w:t>
            </w:r>
          </w:p>
        </w:tc>
        <w:tc>
          <w:tcPr/>
          <w:p>
            <w:pPr>
              <w:pStyle w:val="Compact"/>
              <w:jc w:val="left"/>
            </w:pPr>
            <w:r>
              <w:t xml:space="preserve">Single corporate-actions vendor as primary</w:t>
            </w:r>
          </w:p>
        </w:tc>
      </w:tr>
      <w:tr>
        <w:tc>
          <w:tcPr/>
          <w:p>
            <w:pPr>
              <w:pStyle w:val="Compact"/>
              <w:jc w:val="left"/>
            </w:pPr>
            <w:r>
              <w:t xml:space="preserve">Sector / Peers</w:t>
            </w:r>
          </w:p>
        </w:tc>
        <w:tc>
          <w:tcPr/>
          <w:p>
            <w:pPr>
              <w:pStyle w:val="Compact"/>
              <w:jc w:val="left"/>
            </w:pPr>
            <w:r>
              <w:t xml:space="preserve">Sector movement, comparable-securities mapping</w:t>
            </w:r>
          </w:p>
        </w:tc>
        <w:tc>
          <w:tcPr/>
          <w:p>
            <w:pPr>
              <w:pStyle w:val="Compact"/>
              <w:jc w:val="left"/>
            </w:pPr>
            <w:r>
              <w:t xml:space="preserve">Static reference table, refreshed periodically, not real-time-computed</w:t>
            </w:r>
          </w:p>
        </w:tc>
      </w:tr>
      <w:tr>
        <w:tc>
          <w:tcPr/>
          <w:p>
            <w:pPr>
              <w:pStyle w:val="Compact"/>
              <w:jc w:val="left"/>
            </w:pPr>
            <w:r>
              <w:t xml:space="preserve">Market / Index</w:t>
            </w:r>
          </w:p>
        </w:tc>
        <w:tc>
          <w:tcPr/>
          <w:p>
            <w:pPr>
              <w:pStyle w:val="Compact"/>
              <w:jc w:val="left"/>
            </w:pPr>
            <w:r>
              <w:t xml:space="preserve">Relevant benchmark movement</w:t>
            </w:r>
          </w:p>
        </w:tc>
        <w:tc>
          <w:tcPr/>
          <w:p>
            <w:pPr>
              <w:pStyle w:val="Compact"/>
              <w:jc w:val="left"/>
            </w:pPr>
            <w:r>
              <w:t xml:space="preserve">One index feed per market as primary</w:t>
            </w:r>
          </w:p>
        </w:tc>
      </w:tr>
      <w:tr>
        <w:tc>
          <w:tcPr/>
          <w:p>
            <w:pPr>
              <w:pStyle w:val="Compact"/>
              <w:jc w:val="left"/>
            </w:pPr>
            <w:r>
              <w:t xml:space="preserve">Macro / external</w:t>
            </w:r>
          </w:p>
        </w:tc>
        <w:tc>
          <w:tcPr/>
          <w:p>
            <w:pPr>
              <w:pStyle w:val="Compact"/>
              <w:jc w:val="left"/>
            </w:pPr>
            <w:r>
              <w:t xml:space="preserve">Interest rates, inflation, currency, commodities, major global events</w:t>
            </w:r>
          </w:p>
        </w:tc>
        <w:tc>
          <w:tcPr/>
          <w:p>
            <w:pPr>
              <w:pStyle w:val="Compact"/>
              <w:jc w:val="left"/>
            </w:pPr>
            <w:r>
              <w:t xml:space="preserve">Used only as context signals per Section 11; never a primary render blocker</w:t>
            </w:r>
          </w:p>
        </w:tc>
      </w:tr>
    </w:tbl>
    <w:bookmarkEnd w:id="42"/>
    <w:bookmarkStart w:id="43" w:name="backend-architecture"/>
    <w:p>
      <w:pPr>
        <w:pStyle w:val="Heading1"/>
      </w:pPr>
      <w:r>
        <w:t xml:space="preserve">17. Backend Architecture</w:t>
      </w:r>
    </w:p>
    <w:p>
      <w:pPr>
        <w:pStyle w:val="SourceCode"/>
      </w:pPr>
      <w:r>
        <w:rPr>
          <w:rStyle w:val="VerbatimChar"/>
        </w:rPr>
        <w:t xml:space="preserve">Data Ingestion Layer</w:t>
      </w:r>
      <w:r>
        <w:br/>
      </w:r>
      <w:r>
        <w:rPr>
          <w:rStyle w:val="VerbatimChar"/>
        </w:rPr>
        <w:t xml:space="preserve">  price/volume feed (delayed) → normalized market snapshot store</w:t>
      </w:r>
      <w:r>
        <w:br/>
      </w:r>
      <w:r>
        <w:rPr>
          <w:rStyle w:val="VerbatimChar"/>
        </w:rPr>
        <w:t xml:space="preserve">  news/corporate-actions feed → event store (raw, timestamped, source-tagged)</w:t>
      </w:r>
      <w:r>
        <w:br/>
      </w:r>
      <w:r>
        <w:rPr>
          <w:rStyle w:val="VerbatimChar"/>
        </w:rPr>
        <w:t xml:space="preserve">  reference data: sector/peer mapping, index membership, rolling 30/90-day baselines</w:t>
      </w:r>
      <w:r>
        <w:br/>
      </w:r>
      <w:r>
        <w:rPr>
          <w:rStyle w:val="VerbatimChar"/>
        </w:rPr>
        <w:t xml:space="preserve">        │</w:t>
      </w:r>
      <w:r>
        <w:br/>
      </w:r>
      <w:r>
        <w:rPr>
          <w:rStyle w:val="VerbatimChar"/>
        </w:rPr>
        <w:t xml:space="preserve">        ▼</w:t>
      </w:r>
      <w:r>
        <w:br/>
      </w:r>
      <w:r>
        <w:rPr>
          <w:rStyle w:val="VerbatimChar"/>
        </w:rPr>
        <w:t xml:space="preserve">Change Detection (scheduled batch — not per request)</w:t>
      </w:r>
      <w:r>
        <w:br/>
      </w:r>
      <w:r>
        <w:rPr>
          <w:rStyle w:val="VerbatimChar"/>
        </w:rPr>
        <w:t xml:space="preserve">  price delta, volume ratio, volatility delta, relative-to-index delta</w:t>
      </w:r>
      <w:r>
        <w:br/>
      </w:r>
      <w:r>
        <w:rPr>
          <w:rStyle w:val="VerbatimChar"/>
        </w:rPr>
        <w:t xml:space="preserve">  cadence: every 5 min during market hours; once at close otherwise</w:t>
      </w:r>
      <w:r>
        <w:br/>
      </w:r>
      <w:r>
        <w:rPr>
          <w:rStyle w:val="VerbatimChar"/>
        </w:rPr>
        <w:t xml:space="preserve">        │</w:t>
      </w:r>
      <w:r>
        <w:br/>
      </w:r>
      <w:r>
        <w:rPr>
          <w:rStyle w:val="VerbatimChar"/>
        </w:rPr>
        <w:t xml:space="preserve">        ▼</w:t>
      </w:r>
      <w:r>
        <w:br/>
      </w:r>
      <w:r>
        <w:rPr>
          <w:rStyle w:val="VerbatimChar"/>
        </w:rPr>
        <w:t xml:space="preserve">Context Enrichment</w:t>
      </w:r>
      <w:r>
        <w:br/>
      </w:r>
      <w:r>
        <w:rPr>
          <w:rStyle w:val="VerbatimChar"/>
        </w:rPr>
        <w:t xml:space="preserve">  attaches sector movement, peer movement, matched event-store entries within time window</w:t>
      </w:r>
      <w:r>
        <w:br/>
      </w:r>
      <w:r>
        <w:rPr>
          <w:rStyle w:val="VerbatimChar"/>
        </w:rPr>
        <w:t xml:space="preserve">        │</w:t>
      </w:r>
      <w:r>
        <w:br/>
      </w:r>
      <w:r>
        <w:rPr>
          <w:rStyle w:val="VerbatimChar"/>
        </w:rPr>
        <w:t xml:space="preserve">        ▼</w:t>
      </w:r>
      <w:r>
        <w:br/>
      </w:r>
      <w:r>
        <w:rPr>
          <w:rStyle w:val="VerbatimChar"/>
        </w:rPr>
        <w:t xml:space="preserve">Significance Engine (deterministic, versioned)</w:t>
      </w:r>
      <w:r>
        <w:br/>
      </w:r>
      <w:r>
        <w:rPr>
          <w:rStyle w:val="VerbatimChar"/>
        </w:rPr>
        <w:t xml:space="preserve">  outputs: tier (Normal/Notable/Significant), confidence (Low/Med/High), evidence list</w:t>
      </w:r>
      <w:r>
        <w:br/>
      </w:r>
      <w:r>
        <w:rPr>
          <w:rStyle w:val="VerbatimChar"/>
        </w:rPr>
        <w:t xml:space="preserve">        │</w:t>
      </w:r>
      <w:r>
        <w:br/>
      </w:r>
      <w:r>
        <w:rPr>
          <w:rStyle w:val="VerbatimChar"/>
        </w:rPr>
        <w:t xml:space="preserve">        ▼</w:t>
      </w:r>
      <w:r>
        <w:br/>
      </w:r>
      <w:r>
        <w:rPr>
          <w:rStyle w:val="VerbatimChar"/>
        </w:rPr>
        <w:t xml:space="preserve">Global Derived-Insight Cache  ← shared across ALL users watching the same security</w:t>
      </w:r>
      <w:r>
        <w:br/>
      </w:r>
      <w:r>
        <w:rPr>
          <w:rStyle w:val="VerbatimChar"/>
        </w:rPr>
        <w:t xml:space="preserve">        │</w:t>
      </w:r>
      <w:r>
        <w:br/>
      </w:r>
      <w:r>
        <w:rPr>
          <w:rStyle w:val="VerbatimChar"/>
        </w:rPr>
        <w:t xml:space="preserve">        ▼</w:t>
      </w:r>
      <w:r>
        <w:br/>
      </w:r>
      <w:r>
        <w:rPr>
          <w:rStyle w:val="VerbatimChar"/>
        </w:rPr>
        <w:t xml:space="preserve">Per-User View Layer</w:t>
      </w:r>
      <w:r>
        <w:br/>
      </w:r>
      <w:r>
        <w:rPr>
          <w:rStyle w:val="VerbatimChar"/>
        </w:rPr>
        <w:t xml:space="preserve">  applies watchlist membership, personal thresholds/mute, acknowledgment state</w:t>
      </w:r>
      <w:r>
        <w:br/>
      </w:r>
      <w:r>
        <w:rPr>
          <w:rStyle w:val="VerbatimChar"/>
        </w:rPr>
        <w:t xml:space="preserve">  → cheap per-user filter/sort on top of the shared cache at read time</w:t>
      </w:r>
      <w:r>
        <w:br/>
      </w:r>
      <w:r>
        <w:rPr>
          <w:rStyle w:val="VerbatimChar"/>
        </w:rPr>
        <w:t xml:space="preserve">        │</w:t>
      </w:r>
      <w:r>
        <w:br/>
      </w:r>
      <w:r>
        <w:rPr>
          <w:rStyle w:val="VerbatimChar"/>
        </w:rPr>
        <w:t xml:space="preserve">        ▼</w:t>
      </w:r>
      <w:r>
        <w:br/>
      </w:r>
      <w:r>
        <w:rPr>
          <w:rStyle w:val="VerbatimChar"/>
        </w:rPr>
        <w:t xml:space="preserve">API / Frontend</w:t>
      </w:r>
      <w:r>
        <w:br/>
      </w:r>
      <w:r>
        <w:rPr>
          <w:rStyle w:val="VerbatimChar"/>
        </w:rPr>
        <w:t xml:space="preserve">  home (catch-up summary) · stock detail (timeline + evidence) · watchlist management</w:t>
      </w:r>
    </w:p>
    <w:p>
      <w:pPr>
        <w:pStyle w:val="FirstParagraph"/>
      </w:pPr>
      <w:r>
        <w:rPr>
          <w:bCs/>
          <w:b/>
        </w:rPr>
        <w:t xml:space="preserve">Key architectural decision:</w:t>
      </w:r>
      <w:r>
        <w:t xml:space="preserve"> </w:t>
      </w:r>
      <w:r>
        <w:t xml:space="preserve">significance is a property of the</w:t>
      </w:r>
      <w:r>
        <w:t xml:space="preserve"> </w:t>
      </w:r>
      <w:r>
        <w:rPr>
          <w:iCs/>
          <w:i/>
        </w:rPr>
        <w:t xml:space="preserve">security</w:t>
      </w:r>
      <w:r>
        <w:t xml:space="preserve">, computed once and cached, not recomputed per user. Personalization is a cheap filter applied at read time on top of that shared, precomputed result. This is what keeps cost proportional to the number of distinct watched securities rather than the number of users.</w:t>
      </w:r>
    </w:p>
    <w:bookmarkEnd w:id="43"/>
    <w:bookmarkStart w:id="44" w:name="frontend-ux-requirements"/>
    <w:p>
      <w:pPr>
        <w:pStyle w:val="Heading1"/>
      </w:pPr>
      <w:r>
        <w:t xml:space="preserve">18. Frontend / UX Requirements</w:t>
      </w:r>
    </w:p>
    <w:p>
      <w:pPr>
        <w:pStyle w:val="FirstParagraph"/>
      </w:pPr>
      <w:r>
        <w:rPr>
          <w:bCs/>
          <w:b/>
        </w:rPr>
        <w:t xml:space="preserve">Screens:</w:t>
      </w:r>
      <w:r>
        <w:t xml:space="preserve"> </w:t>
      </w:r>
      <w:r>
        <w:t xml:space="preserve">Home (catch-up summary + watchlist pulse), Stock Detail (before/after, evidence, timeline), Watchlist Management (add/remove/search), Settings (thresholds, mute, interest toggles).</w:t>
      </w:r>
    </w:p>
    <w:p>
      <w:pPr>
        <w:pStyle w:val="BodyText"/>
      </w:pPr>
      <w:r>
        <w:rPr>
          <w:bCs/>
          <w:b/>
        </w:rPr>
        <w:t xml:space="preserve">Required states for every data-bearing screen:</w:t>
      </w:r>
    </w:p>
    <w:p>
      <w:pPr>
        <w:numPr>
          <w:ilvl w:val="0"/>
          <w:numId w:val="1015"/>
        </w:numPr>
        <w:pStyle w:val="Compact"/>
      </w:pPr>
      <w:r>
        <w:rPr>
          <w:bCs/>
          <w:b/>
        </w:rPr>
        <w:t xml:space="preserve">Empty state</w:t>
      </w:r>
      <w:r>
        <w:t xml:space="preserve"> </w:t>
      </w:r>
      <w:r>
        <w:t xml:space="preserve">— no watchlist yet (onboarding), no acknowledgment history yet.</w:t>
      </w:r>
    </w:p>
    <w:p>
      <w:pPr>
        <w:numPr>
          <w:ilvl w:val="0"/>
          <w:numId w:val="1015"/>
        </w:numPr>
        <w:pStyle w:val="Compact"/>
      </w:pPr>
      <w:r>
        <w:rPr>
          <w:bCs/>
          <w:b/>
        </w:rPr>
        <w:t xml:space="preserve">Zero-change state</w:t>
      </w:r>
      <w:r>
        <w:t xml:space="preserve"> </w:t>
      </w:r>
      <w:r>
        <w:t xml:space="preserve">—</w:t>
      </w:r>
      <w:r>
        <w:t xml:space="preserve"> </w:t>
      </w:r>
      <w:r>
        <w:t xml:space="preserve">“</w:t>
      </w:r>
      <w:r>
        <w:t xml:space="preserve">18 of 20 stocks had no meaningful change</w:t>
      </w:r>
      <w:r>
        <w:t xml:space="preserve">”</w:t>
      </w:r>
      <w:r>
        <w:t xml:space="preserve"> </w:t>
      </w:r>
      <w:r>
        <w:t xml:space="preserve">(Section 6, Journey E) — a designed state, not a fallback.</w:t>
      </w:r>
    </w:p>
    <w:p>
      <w:pPr>
        <w:numPr>
          <w:ilvl w:val="0"/>
          <w:numId w:val="1015"/>
        </w:numPr>
        <w:pStyle w:val="Compact"/>
      </w:pPr>
      <w:r>
        <w:rPr>
          <w:bCs/>
          <w:b/>
        </w:rPr>
        <w:t xml:space="preserve">Loading state</w:t>
      </w:r>
      <w:r>
        <w:t xml:space="preserve"> </w:t>
      </w:r>
      <w:r>
        <w:t xml:space="preserve">— skeleton content while the cache/read layer responds.</w:t>
      </w:r>
    </w:p>
    <w:p>
      <w:pPr>
        <w:numPr>
          <w:ilvl w:val="0"/>
          <w:numId w:val="1015"/>
        </w:numPr>
        <w:pStyle w:val="Compact"/>
      </w:pPr>
      <w:r>
        <w:rPr>
          <w:bCs/>
          <w:b/>
        </w:rPr>
        <w:t xml:space="preserve">Partial-failure state</w:t>
      </w:r>
      <w:r>
        <w:t xml:space="preserve"> </w:t>
      </w:r>
      <w:r>
        <w:t xml:space="preserve">— if an optional data source (e.g., news feed) fails, price/volume data still renders; the failed portion is flagged, not blocking.</w:t>
      </w:r>
    </w:p>
    <w:p>
      <w:pPr>
        <w:numPr>
          <w:ilvl w:val="0"/>
          <w:numId w:val="1015"/>
        </w:numPr>
        <w:pStyle w:val="Compact"/>
      </w:pPr>
      <w:r>
        <w:rPr>
          <w:bCs/>
          <w:b/>
        </w:rPr>
        <w:t xml:space="preserve">Error state</w:t>
      </w:r>
      <w:r>
        <w:t xml:space="preserve"> </w:t>
      </w:r>
      <w:r>
        <w:t xml:space="preserve">— full request failure shows a retry affordance, never a blank screen.</w:t>
      </w:r>
    </w:p>
    <w:p>
      <w:pPr>
        <w:pStyle w:val="FirstParagraph"/>
      </w:pPr>
      <w:r>
        <w:rPr>
          <w:bCs/>
          <w:b/>
        </w:rPr>
        <w:t xml:space="preserve">Home screen composition:</w:t>
      </w:r>
      <w:r>
        <w:t xml:space="preserve"> </w:t>
      </w:r>
      <w:r>
        <w:t xml:space="preserve">“</w:t>
      </w:r>
      <w:r>
        <w:t xml:space="preserve">Since you were last here</w:t>
      </w:r>
      <w:r>
        <w:t xml:space="preserve">”</w:t>
      </w:r>
      <w:r>
        <w:t xml:space="preserve"> </w:t>
      </w:r>
      <w:r>
        <w:t xml:space="preserve">summary (≤5 items) → watchlist pulse (counts of Significant/Notable/Normal) → market/sector context line → link to full watchlist for manual inspection.</w:t>
      </w:r>
    </w:p>
    <w:p>
      <w:pPr>
        <w:pStyle w:val="BodyText"/>
      </w:pPr>
      <w:r>
        <w:rPr>
          <w:bCs/>
          <w:b/>
        </w:rPr>
        <w:t xml:space="preserve">Stock detail composition:</w:t>
      </w:r>
      <w:r>
        <w:t xml:space="preserve"> </w:t>
      </w:r>
      <w:r>
        <w:t xml:space="preserve">before-vs-now comparison → price/volume/volatility context → sector/peer comparison → layer-tagged timeline → evidence list (</w:t>
      </w:r>
      <w:r>
        <w:t xml:space="preserve">“</w:t>
      </w:r>
      <w:r>
        <w:t xml:space="preserve">why it matters</w:t>
      </w:r>
      <w:r>
        <w:t xml:space="preserve">”</w:t>
      </w:r>
      <w:r>
        <w:t xml:space="preserve">) → freshness/confidence indicators.</w:t>
      </w:r>
    </w:p>
    <w:bookmarkEnd w:id="44"/>
    <w:bookmarkStart w:id="45" w:name="non-functional-requirements"/>
    <w:p>
      <w:pPr>
        <w:pStyle w:val="Heading1"/>
      </w:pPr>
      <w:r>
        <w:t xml:space="preserve">19. Non-Functional Requirements</w:t>
      </w:r>
    </w:p>
    <w:p>
      <w:pPr>
        <w:numPr>
          <w:ilvl w:val="0"/>
          <w:numId w:val="1016"/>
        </w:numPr>
        <w:pStyle w:val="Compact"/>
      </w:pPr>
      <w:r>
        <w:rPr>
          <w:bCs/>
          <w:b/>
        </w:rPr>
        <w:t xml:space="preserve">Performance:</w:t>
      </w:r>
      <w:r>
        <w:t xml:space="preserve"> </w:t>
      </w:r>
      <w:r>
        <w:t xml:space="preserve">watchlist home renders from precomputed cache in &lt;500ms at p95; significance computation runs asynchronously and never blocks a page load.</w:t>
      </w:r>
    </w:p>
    <w:p>
      <w:pPr>
        <w:numPr>
          <w:ilvl w:val="0"/>
          <w:numId w:val="1016"/>
        </w:numPr>
        <w:pStyle w:val="Compact"/>
      </w:pPr>
      <w:r>
        <w:rPr>
          <w:bCs/>
          <w:b/>
        </w:rPr>
        <w:t xml:space="preserve">Availability:</w:t>
      </w:r>
      <w:r>
        <w:t xml:space="preserve"> </w:t>
      </w:r>
      <w:r>
        <w:t xml:space="preserve">a single failed optional data source must not prevent the rest of the page from rendering; degrade confidence/freshness labels instead of failing the request.</w:t>
      </w:r>
    </w:p>
    <w:p>
      <w:pPr>
        <w:numPr>
          <w:ilvl w:val="0"/>
          <w:numId w:val="1016"/>
        </w:numPr>
        <w:pStyle w:val="Compact"/>
      </w:pPr>
      <w:r>
        <w:rPr>
          <w:bCs/>
          <w:b/>
        </w:rPr>
        <w:t xml:space="preserve">Reliability:</w:t>
      </w:r>
      <w:r>
        <w:t xml:space="preserve"> </w:t>
      </w:r>
      <w:r>
        <w:t xml:space="preserve">significance computation runs on a fixed schedule independent of user traffic; a spike in concurrent readers does not trigger additional computation.</w:t>
      </w:r>
    </w:p>
    <w:p>
      <w:pPr>
        <w:numPr>
          <w:ilvl w:val="0"/>
          <w:numId w:val="1016"/>
        </w:numPr>
        <w:pStyle w:val="Compact"/>
      </w:pPr>
      <w:r>
        <w:rPr>
          <w:bCs/>
          <w:b/>
        </w:rPr>
        <w:t xml:space="preserve">Security:</w:t>
      </w:r>
      <w:r>
        <w:t xml:space="preserve"> </w:t>
      </w:r>
      <w:r>
        <w:t xml:space="preserve">per-account authorization enforced at the API boundary; no cross-account visibility into another user’s watchlist, thresholds, or acknowledgment state.</w:t>
      </w:r>
    </w:p>
    <w:p>
      <w:pPr>
        <w:numPr>
          <w:ilvl w:val="0"/>
          <w:numId w:val="1016"/>
        </w:numPr>
        <w:pStyle w:val="Compact"/>
      </w:pPr>
      <w:r>
        <w:rPr>
          <w:bCs/>
          <w:b/>
        </w:rPr>
        <w:t xml:space="preserve">Observability:</w:t>
      </w:r>
      <w:r>
        <w:t xml:space="preserve"> </w:t>
      </w:r>
      <w:r>
        <w:t xml:space="preserve">every Notable/Significant classification stores the exact signal values that produced it, retrievable for debugging and audit.</w:t>
      </w:r>
    </w:p>
    <w:p>
      <w:pPr>
        <w:numPr>
          <w:ilvl w:val="0"/>
          <w:numId w:val="1016"/>
        </w:numPr>
        <w:pStyle w:val="Compact"/>
      </w:pPr>
      <w:r>
        <w:rPr>
          <w:bCs/>
          <w:b/>
        </w:rPr>
        <w:t xml:space="preserve">Auditability:</w:t>
      </w:r>
      <w:r>
        <w:t xml:space="preserve"> </w:t>
      </w:r>
      <w:r>
        <w:t xml:space="preserve">the scoring function is versioned; any classification is traceable to the model version that produced it.</w:t>
      </w:r>
    </w:p>
    <w:p>
      <w:pPr>
        <w:numPr>
          <w:ilvl w:val="0"/>
          <w:numId w:val="1016"/>
        </w:numPr>
        <w:pStyle w:val="Compact"/>
      </w:pPr>
      <w:r>
        <w:rPr>
          <w:bCs/>
          <w:b/>
        </w:rPr>
        <w:t xml:space="preserve">Consistency:</w:t>
      </w:r>
      <w:r>
        <w:t xml:space="preserve"> </w:t>
      </w:r>
      <w:r>
        <w:t xml:space="preserve">market data and derived insights are eventually consistent on the ingestion cadence (Section 17); user review/acknowledgment state is strongly consistent per account.</w:t>
      </w:r>
    </w:p>
    <w:bookmarkEnd w:id="45"/>
    <w:bookmarkStart w:id="46" w:name="scalability-strategy"/>
    <w:p>
      <w:pPr>
        <w:pStyle w:val="Heading1"/>
      </w:pPr>
      <w:r>
        <w:t xml:space="preserve">20. Scalability Strategy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Scale band</w:t>
            </w:r>
          </w:p>
        </w:tc>
        <w:tc>
          <w:tcPr/>
          <w:p>
            <w:pPr>
              <w:pStyle w:val="Compact"/>
              <w:jc w:val="left"/>
            </w:pPr>
            <w:r>
              <w:t xml:space="preserve">Target</w:t>
            </w:r>
          </w:p>
        </w:tc>
        <w:tc>
          <w:tcPr/>
          <w:p>
            <w:pPr>
              <w:pStyle w:val="Compact"/>
              <w:jc w:val="left"/>
            </w:pPr>
            <w:r>
              <w:t xml:space="preserve">What matters</w:t>
            </w:r>
          </w:p>
        </w:tc>
      </w:tr>
      <w:tr>
        <w:tc>
          <w:tcPr/>
          <w:p>
            <w:pPr>
              <w:pStyle w:val="Compact"/>
              <w:jc w:val="left"/>
            </w:pPr>
            <w:r>
              <w:t xml:space="preserve">Small</w:t>
            </w:r>
          </w:p>
        </w:tc>
        <w:tc>
          <w:tcPr/>
          <w:p>
            <w:pPr>
              <w:pStyle w:val="Compact"/>
              <w:jc w:val="left"/>
            </w:pPr>
            <w:r>
              <w:t xml:space="preserve">100 users × 20 stocks</w:t>
            </w:r>
          </w:p>
        </w:tc>
        <w:tc>
          <w:tcPr/>
          <w:p>
            <w:pPr>
              <w:pStyle w:val="Compact"/>
              <w:jc w:val="left"/>
            </w:pPr>
            <w:r>
              <w:t xml:space="preserve">Correctness and UX polish; infra is not the bottleneck</w:t>
            </w:r>
          </w:p>
        </w:tc>
      </w:tr>
      <w:tr>
        <w:tc>
          <w:tcPr/>
          <w:p>
            <w:pPr>
              <w:pStyle w:val="Compact"/>
              <w:jc w:val="left"/>
            </w:pPr>
            <w:r>
              <w:t xml:space="preserve">Medium (v1 target)</w:t>
            </w:r>
          </w:p>
        </w:tc>
        <w:tc>
          <w:tcPr/>
          <w:p>
            <w:pPr>
              <w:pStyle w:val="Compact"/>
              <w:jc w:val="left"/>
            </w:pPr>
            <w:r>
              <w:t xml:space="preserve">~10,000 users × ≤100 stocks each</w:t>
            </w:r>
          </w:p>
        </w:tc>
        <w:tc>
          <w:tcPr/>
          <w:p>
            <w:pPr>
              <w:pStyle w:val="Compact"/>
              <w:jc w:val="left"/>
            </w:pPr>
            <w:r>
              <w:t xml:space="preserve">Shared significance cache must be working correctly — this is the band v1 is built and tested for</w:t>
            </w:r>
          </w:p>
        </w:tc>
      </w:tr>
      <w:tr>
        <w:tc>
          <w:tcPr/>
          <w:p>
            <w:pPr>
              <w:pStyle w:val="Compact"/>
              <w:jc w:val="left"/>
            </w:pPr>
            <w:r>
              <w:t xml:space="preserve">Large (explicit future)</w:t>
            </w:r>
          </w:p>
        </w:tc>
        <w:tc>
          <w:tcPr/>
          <w:p>
            <w:pPr>
              <w:pStyle w:val="Compact"/>
              <w:jc w:val="left"/>
            </w:pPr>
            <w:r>
              <w:t xml:space="preserve">1,000,000 users × large watchlists</w:t>
            </w:r>
          </w:p>
        </w:tc>
        <w:tc>
          <w:tcPr/>
          <w:p>
            <w:pPr>
              <w:pStyle w:val="Compact"/>
              <w:jc w:val="left"/>
            </w:pPr>
            <w:r>
              <w:t xml:space="preserve">Not built for in v1; would require sharding the derived-insight cache and possibly real-time (sub-second) scoring, both explicitly deferred</w:t>
            </w:r>
          </w:p>
        </w:tc>
      </w:tr>
    </w:tbl>
    <w:p>
      <w:pPr>
        <w:pStyle w:val="BodyText"/>
      </w:pPr>
      <w:r>
        <w:rPr>
          <w:bCs/>
          <w:b/>
        </w:rPr>
        <w:t xml:space="preserve">What is deliberately kept simple in v1:</w:t>
      </w:r>
      <w:r>
        <w:t xml:space="preserve"> </w:t>
      </w:r>
      <w:r>
        <w:t xml:space="preserve">deterministic scoring (no ML), a small fixed set of signal types (no knowledge graph), cached snapshots computed on a schedule (no streaming architecture), explicit user state (no opaque behavioral models), a single primary source of record per data type (no multi-source reconciliation engine), and strict rule-based linking (no automatic causal inference).</w:t>
      </w:r>
    </w:p>
    <w:p>
      <w:pPr>
        <w:pStyle w:val="BodyText"/>
      </w:pPr>
      <w:r>
        <w:rPr>
          <w:bCs/>
          <w:b/>
        </w:rPr>
        <w:t xml:space="preserve">What is deliberately NOT built for in v1:</w:t>
      </w:r>
      <w:r>
        <w:t xml:space="preserve"> </w:t>
      </w:r>
      <w:r>
        <w:t xml:space="preserve">real-time (&lt;1s) intraday scoring, watchlists larger than 100 securities, more than one watchlist per account, and &gt;1M distinct tracked securities.</w:t>
      </w:r>
    </w:p>
    <w:bookmarkEnd w:id="46"/>
    <w:bookmarkStart w:id="47" w:name="mvp-p1-p2-reject-matrix"/>
    <w:p>
      <w:pPr>
        <w:pStyle w:val="Heading1"/>
      </w:pPr>
      <w:r>
        <w:t xml:space="preserve">21. MVP / P1 / P2 / Reject Matrix</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Classification</w:t>
            </w:r>
          </w:p>
        </w:tc>
        <w:tc>
          <w:tcPr/>
          <w:p>
            <w:pPr>
              <w:pStyle w:val="Compact"/>
              <w:jc w:val="left"/>
            </w:pPr>
            <w:r>
              <w:t xml:space="preserve">Reason</w:t>
            </w:r>
          </w:p>
        </w:tc>
      </w:tr>
      <w:tr>
        <w:tc>
          <w:tcPr/>
          <w:p>
            <w:pPr>
              <w:pStyle w:val="Compact"/>
              <w:jc w:val="left"/>
            </w:pPr>
            <w:r>
              <w:t xml:space="preserve">Watchlist CRUD</w:t>
            </w:r>
          </w:p>
        </w:tc>
        <w:tc>
          <w:tcPr/>
          <w:p>
            <w:pPr>
              <w:pStyle w:val="Compact"/>
              <w:jc w:val="left"/>
            </w:pPr>
            <w:r>
              <w:t xml:space="preserve">P0</w:t>
            </w:r>
          </w:p>
        </w:tc>
        <w:tc>
          <w:tcPr/>
          <w:p>
            <w:pPr>
              <w:pStyle w:val="Compact"/>
              <w:jc w:val="left"/>
            </w:pPr>
            <w:r>
              <w:t xml:space="preserve">Required by the challenge brief</w:t>
            </w:r>
          </w:p>
        </w:tc>
      </w:tr>
      <w:tr>
        <w:tc>
          <w:tcPr/>
          <w:p>
            <w:pPr>
              <w:pStyle w:val="Compact"/>
              <w:jc w:val="left"/>
            </w:pPr>
            <w:r>
              <w:t xml:space="preserve">Authenticated, cross-device persistence</w:t>
            </w:r>
          </w:p>
        </w:tc>
        <w:tc>
          <w:tcPr/>
          <w:p>
            <w:pPr>
              <w:pStyle w:val="Compact"/>
              <w:jc w:val="left"/>
            </w:pPr>
            <w:r>
              <w:t xml:space="preserve">P0</w:t>
            </w:r>
          </w:p>
        </w:tc>
        <w:tc>
          <w:tcPr/>
          <w:p>
            <w:pPr>
              <w:pStyle w:val="Compact"/>
              <w:jc w:val="left"/>
            </w:pPr>
            <w:r>
              <w:t xml:space="preserve">Required for</w:t>
            </w:r>
            <w:r>
              <w:t xml:space="preserve"> </w:t>
            </w:r>
            <w:r>
              <w:t xml:space="preserve">“</w:t>
            </w:r>
            <w:r>
              <w:t xml:space="preserve">return later and see what changed</w:t>
            </w:r>
            <w:r>
              <w:t xml:space="preserve">”</w:t>
            </w:r>
            <w:r>
              <w:t xml:space="preserve"> </w:t>
            </w:r>
            <w:r>
              <w:t xml:space="preserve">to mean anything</w:t>
            </w:r>
          </w:p>
        </w:tc>
      </w:tr>
      <w:tr>
        <w:tc>
          <w:tcPr/>
          <w:p>
            <w:pPr>
              <w:pStyle w:val="Compact"/>
              <w:jc w:val="left"/>
            </w:pPr>
            <w:r>
              <w:t xml:space="preserve">Deterministic significance engine</w:t>
            </w:r>
          </w:p>
        </w:tc>
        <w:tc>
          <w:tcPr/>
          <w:p>
            <w:pPr>
              <w:pStyle w:val="Compact"/>
              <w:jc w:val="left"/>
            </w:pPr>
            <w:r>
              <w:t xml:space="preserve">P0</w:t>
            </w:r>
          </w:p>
        </w:tc>
        <w:tc>
          <w:tcPr/>
          <w:p>
            <w:pPr>
              <w:pStyle w:val="Compact"/>
              <w:jc w:val="left"/>
            </w:pPr>
            <w:r>
              <w:t xml:space="preserve">This is the product thesis</w:t>
            </w:r>
          </w:p>
        </w:tc>
      </w:tr>
      <w:tr>
        <w:tc>
          <w:tcPr/>
          <w:p>
            <w:pPr>
              <w:pStyle w:val="Compact"/>
              <w:jc w:val="left"/>
            </w:pPr>
            <w:r>
              <w:t xml:space="preserve">Catch-up summary, capped at 5</w:t>
            </w:r>
          </w:p>
        </w:tc>
        <w:tc>
          <w:tcPr/>
          <w:p>
            <w:pPr>
              <w:pStyle w:val="Compact"/>
              <w:jc w:val="left"/>
            </w:pPr>
            <w:r>
              <w:t xml:space="preserve">P0</w:t>
            </w:r>
          </w:p>
        </w:tc>
        <w:tc>
          <w:tcPr/>
          <w:p>
            <w:pPr>
              <w:pStyle w:val="Compact"/>
              <w:jc w:val="left"/>
            </w:pPr>
            <w:r>
              <w:t xml:space="preserve">The flagship experience named directly in the brief</w:t>
            </w:r>
          </w:p>
        </w:tc>
      </w:tr>
      <w:tr>
        <w:tc>
          <w:tcPr/>
          <w:p>
            <w:pPr>
              <w:pStyle w:val="Compact"/>
              <w:jc w:val="left"/>
            </w:pPr>
            <w:r>
              <w:t xml:space="preserve">Acknowledgment / mark-reviewed</w:t>
            </w:r>
          </w:p>
        </w:tc>
        <w:tc>
          <w:tcPr/>
          <w:p>
            <w:pPr>
              <w:pStyle w:val="Compact"/>
              <w:jc w:val="left"/>
            </w:pPr>
            <w:r>
              <w:t xml:space="preserve">P0</w:t>
            </w:r>
          </w:p>
        </w:tc>
        <w:tc>
          <w:tcPr/>
          <w:p>
            <w:pPr>
              <w:pStyle w:val="Compact"/>
              <w:jc w:val="left"/>
            </w:pPr>
            <w:r>
              <w:t xml:space="preserve">Required for the state model to function</w:t>
            </w:r>
          </w:p>
        </w:tc>
      </w:tr>
      <w:tr>
        <w:tc>
          <w:tcPr/>
          <w:p>
            <w:pPr>
              <w:pStyle w:val="Compact"/>
              <w:jc w:val="left"/>
            </w:pPr>
            <w:r>
              <w:t xml:space="preserve">Stock timeline (single, layer-tagged)</w:t>
            </w:r>
          </w:p>
        </w:tc>
        <w:tc>
          <w:tcPr/>
          <w:p>
            <w:pPr>
              <w:pStyle w:val="Compact"/>
              <w:jc w:val="left"/>
            </w:pPr>
            <w:r>
              <w:t xml:space="preserve">P0</w:t>
            </w:r>
          </w:p>
        </w:tc>
        <w:tc>
          <w:tcPr/>
          <w:p>
            <w:pPr>
              <w:pStyle w:val="Compact"/>
              <w:jc w:val="left"/>
            </w:pPr>
            <w:r>
              <w:t xml:space="preserve">Core differentiator; reuses the same event store as significance</w:t>
            </w:r>
          </w:p>
        </w:tc>
      </w:tr>
      <w:tr>
        <w:tc>
          <w:tcPr/>
          <w:p>
            <w:pPr>
              <w:pStyle w:val="Compact"/>
              <w:jc w:val="left"/>
            </w:pPr>
            <w:r>
              <w:t xml:space="preserve">Freshness/confidence indicators</w:t>
            </w:r>
          </w:p>
        </w:tc>
        <w:tc>
          <w:tcPr/>
          <w:p>
            <w:pPr>
              <w:pStyle w:val="Compact"/>
              <w:jc w:val="left"/>
            </w:pPr>
            <w:r>
              <w:t xml:space="preserve">P0</w:t>
            </w:r>
          </w:p>
        </w:tc>
        <w:tc>
          <w:tcPr/>
          <w:p>
            <w:pPr>
              <w:pStyle w:val="Compact"/>
              <w:jc w:val="left"/>
            </w:pPr>
            <w:r>
              <w:t xml:space="preserve">Required for trust; cheap once timestamps are tracked</w:t>
            </w:r>
          </w:p>
        </w:tc>
      </w:tr>
      <w:tr>
        <w:tc>
          <w:tcPr/>
          <w:p>
            <w:pPr>
              <w:pStyle w:val="Compact"/>
              <w:jc w:val="left"/>
            </w:pPr>
            <w:r>
              <w:t xml:space="preserve">Preference thresholds + mute</w:t>
            </w:r>
          </w:p>
        </w:tc>
        <w:tc>
          <w:tcPr/>
          <w:p>
            <w:pPr>
              <w:pStyle w:val="Compact"/>
              <w:jc w:val="left"/>
            </w:pPr>
            <w:r>
              <w:t xml:space="preserve">P1</w:t>
            </w:r>
          </w:p>
        </w:tc>
        <w:tc>
          <w:tcPr/>
          <w:p>
            <w:pPr>
              <w:pStyle w:val="Compact"/>
              <w:jc w:val="left"/>
            </w:pPr>
            <w:r>
              <w:t xml:space="preserve">Real value, moderate complexity, not required to prove the thesis</w:t>
            </w:r>
          </w:p>
        </w:tc>
      </w:tr>
      <w:tr>
        <w:tc>
          <w:tcPr/>
          <w:p>
            <w:pPr>
              <w:pStyle w:val="Compact"/>
              <w:jc w:val="left"/>
            </w:pPr>
            <w:r>
              <w:t xml:space="preserve">Temporary (event/date-bounded) watch</w:t>
            </w:r>
          </w:p>
        </w:tc>
        <w:tc>
          <w:tcPr/>
          <w:p>
            <w:pPr>
              <w:pStyle w:val="Compact"/>
              <w:jc w:val="left"/>
            </w:pPr>
            <w:r>
              <w:t xml:space="preserve">P1</w:t>
            </w:r>
          </w:p>
        </w:tc>
        <w:tc>
          <w:tcPr/>
          <w:p>
            <w:pPr>
              <w:pStyle w:val="Compact"/>
              <w:jc w:val="left"/>
            </w:pPr>
            <w:r>
              <w:t xml:space="preserve">Good differentiator, small addition to the existing watchlist model</w:t>
            </w:r>
          </w:p>
        </w:tc>
      </w:tr>
      <w:tr>
        <w:tc>
          <w:tcPr/>
          <w:p>
            <w:pPr>
              <w:pStyle w:val="Compact"/>
              <w:jc w:val="left"/>
            </w:pPr>
            <w:r>
              <w:t xml:space="preserve">Cross-layer linking (stock ↔ domestic/global)</w:t>
            </w:r>
          </w:p>
        </w:tc>
        <w:tc>
          <w:tcPr/>
          <w:p>
            <w:pPr>
              <w:pStyle w:val="Compact"/>
              <w:jc w:val="left"/>
            </w:pPr>
            <w:r>
              <w:t xml:space="preserve">P1</w:t>
            </w:r>
          </w:p>
        </w:tc>
        <w:tc>
          <w:tcPr/>
          <w:p>
            <w:pPr>
              <w:pStyle w:val="Compact"/>
              <w:jc w:val="left"/>
            </w:pPr>
            <w:r>
              <w:t xml:space="preserve">High value, must ship with the strict evidence rule; do after the core loop is solid</w:t>
            </w:r>
          </w:p>
        </w:tc>
      </w:tr>
      <w:tr>
        <w:tc>
          <w:tcPr/>
          <w:p>
            <w:pPr>
              <w:pStyle w:val="Compact"/>
              <w:jc w:val="left"/>
            </w:pPr>
            <w:r>
              <w:t xml:space="preserve">Event lifecycle / threading</w:t>
            </w:r>
          </w:p>
        </w:tc>
        <w:tc>
          <w:tcPr/>
          <w:p>
            <w:pPr>
              <w:pStyle w:val="Compact"/>
              <w:jc w:val="left"/>
            </w:pPr>
            <w:r>
              <w:t xml:space="preserve">P1</w:t>
            </w:r>
          </w:p>
        </w:tc>
        <w:tc>
          <w:tcPr/>
          <w:p>
            <w:pPr>
              <w:pStyle w:val="Compact"/>
              <w:jc w:val="left"/>
            </w:pPr>
            <w:r>
              <w:t xml:space="preserve">Improves the 7-day-away experience; not required for the 15-minute case</w:t>
            </w:r>
          </w:p>
        </w:tc>
      </w:tr>
      <w:tr>
        <w:tc>
          <w:tcPr/>
          <w:p>
            <w:pPr>
              <w:pStyle w:val="Compact"/>
              <w:jc w:val="left"/>
            </w:pPr>
            <w:r>
              <w:t xml:space="preserve">Sector/peer divergence context</w:t>
            </w:r>
          </w:p>
        </w:tc>
        <w:tc>
          <w:tcPr/>
          <w:p>
            <w:pPr>
              <w:pStyle w:val="Compact"/>
              <w:jc w:val="left"/>
            </w:pPr>
            <w:r>
              <w:t xml:space="preserve">P1</w:t>
            </w:r>
          </w:p>
        </w:tc>
        <w:tc>
          <w:tcPr/>
          <w:p>
            <w:pPr>
              <w:pStyle w:val="Compact"/>
              <w:jc w:val="left"/>
            </w:pPr>
            <w:r>
              <w:t xml:space="preserve">Strong context, moderate cost (needs peer mapping data)</w:t>
            </w:r>
          </w:p>
        </w:tc>
      </w:tr>
      <w:tr>
        <w:tc>
          <w:tcPr/>
          <w:p>
            <w:pPr>
              <w:pStyle w:val="Compact"/>
              <w:jc w:val="left"/>
            </w:pPr>
            <w:r>
              <w:t xml:space="preserve">“</w:t>
            </w:r>
            <w:r>
              <w:t xml:space="preserve">Explain my sector today</w:t>
            </w:r>
            <w:r>
              <w:t xml:space="preserve">”</w:t>
            </w:r>
            <w:r>
              <w:t xml:space="preserve"> </w:t>
            </w:r>
            <w:r>
              <w:t xml:space="preserve">(on-demand)</w:t>
            </w:r>
          </w:p>
        </w:tc>
        <w:tc>
          <w:tcPr/>
          <w:p>
            <w:pPr>
              <w:pStyle w:val="Compact"/>
              <w:jc w:val="left"/>
            </w:pPr>
            <w:r>
              <w:t xml:space="preserve">P2</w:t>
            </w:r>
          </w:p>
        </w:tc>
        <w:tc>
          <w:tcPr/>
          <w:p>
            <w:pPr>
              <w:pStyle w:val="Compact"/>
              <w:jc w:val="left"/>
            </w:pPr>
            <w:r>
              <w:t xml:space="preserve">Compelling but high hallucination risk if automated; fine as a clearly-labeled, manually triggered feature later</w:t>
            </w:r>
          </w:p>
        </w:tc>
      </w:tr>
      <w:tr>
        <w:tc>
          <w:tcPr/>
          <w:p>
            <w:pPr>
              <w:pStyle w:val="Compact"/>
              <w:jc w:val="left"/>
            </w:pPr>
            <w:r>
              <w:t xml:space="preserve">Persona-based tone/detail personalization</w:t>
            </w:r>
          </w:p>
        </w:tc>
        <w:tc>
          <w:tcPr/>
          <w:p>
            <w:pPr>
              <w:pStyle w:val="Compact"/>
              <w:jc w:val="left"/>
            </w:pPr>
            <w:r>
              <w:t xml:space="preserve">P2</w:t>
            </w:r>
          </w:p>
        </w:tc>
        <w:tc>
          <w:tcPr/>
          <w:p>
            <w:pPr>
              <w:pStyle w:val="Compact"/>
              <w:jc w:val="left"/>
            </w:pPr>
            <w:r>
              <w:t xml:space="preserve">Real UX value, not required to prove the thesis, adds config surface</w:t>
            </w:r>
          </w:p>
        </w:tc>
      </w:tr>
      <w:tr>
        <w:tc>
          <w:tcPr/>
          <w:p>
            <w:pPr>
              <w:pStyle w:val="Compact"/>
              <w:jc w:val="left"/>
            </w:pPr>
            <w:r>
              <w:t xml:space="preserve">Automated cross-stock</w:t>
            </w:r>
            <w:r>
              <w:t xml:space="preserve"> </w:t>
            </w:r>
            <w:r>
              <w:t xml:space="preserve">“</w:t>
            </w:r>
            <w:r>
              <w:t xml:space="preserve">market stories</w:t>
            </w:r>
            <w:r>
              <w:t xml:space="preserve">”</w:t>
            </w:r>
          </w:p>
        </w:tc>
        <w:tc>
          <w:tcPr/>
          <w:p>
            <w:pPr>
              <w:pStyle w:val="Compact"/>
              <w:jc w:val="left"/>
            </w:pPr>
            <w:r>
              <w:t xml:space="preserve">Reject (for now)</w:t>
            </w:r>
          </w:p>
        </w:tc>
        <w:tc>
          <w:tcPr/>
          <w:p>
            <w:pPr>
              <w:pStyle w:val="Compact"/>
              <w:jc w:val="left"/>
            </w:pPr>
            <w:r>
              <w:t xml:space="preserve">Highest complexity and highest risk of unsupported causal narrative</w:t>
            </w:r>
          </w:p>
        </w:tc>
      </w:tr>
      <w:tr>
        <w:tc>
          <w:tcPr/>
          <w:p>
            <w:pPr>
              <w:pStyle w:val="Compact"/>
              <w:jc w:val="left"/>
            </w:pPr>
            <w:r>
              <w:t xml:space="preserve">Push notifications</w:t>
            </w:r>
          </w:p>
        </w:tc>
        <w:tc>
          <w:tcPr/>
          <w:p>
            <w:pPr>
              <w:pStyle w:val="Compact"/>
              <w:jc w:val="left"/>
            </w:pPr>
            <w:r>
              <w:t xml:space="preserve">Reject (v1)</w:t>
            </w:r>
          </w:p>
        </w:tc>
        <w:tc>
          <w:tcPr/>
          <w:p>
            <w:pPr>
              <w:pStyle w:val="Compact"/>
              <w:jc w:val="left"/>
            </w:pPr>
            <w:r>
              <w:t xml:space="preserve">Expands scope without proving the core thesis; pull-based catch-up is sufficient</w:t>
            </w:r>
          </w:p>
        </w:tc>
      </w:tr>
      <w:tr>
        <w:tc>
          <w:tcPr/>
          <w:p>
            <w:pPr>
              <w:pStyle w:val="Compact"/>
              <w:jc w:val="left"/>
            </w:pPr>
            <w:r>
              <w:t xml:space="preserve">ML / learned significance weighting</w:t>
            </w:r>
          </w:p>
        </w:tc>
        <w:tc>
          <w:tcPr/>
          <w:p>
            <w:pPr>
              <w:pStyle w:val="Compact"/>
              <w:jc w:val="left"/>
            </w:pPr>
            <w:r>
              <w:t xml:space="preserve">Reject (v1)</w:t>
            </w:r>
          </w:p>
        </w:tc>
        <w:tc>
          <w:tcPr/>
          <w:p>
            <w:pPr>
              <w:pStyle w:val="Compact"/>
              <w:jc w:val="left"/>
            </w:pPr>
            <w:r>
              <w:t xml:space="preserve">Conflicts with</w:t>
            </w:r>
            <w:r>
              <w:t xml:space="preserve"> </w:t>
            </w:r>
            <w:r>
              <w:t xml:space="preserve">“</w:t>
            </w:r>
            <w:r>
              <w:t xml:space="preserve">explain over impress</w:t>
            </w:r>
            <w:r>
              <w:t xml:space="preserve">”</w:t>
            </w:r>
            <w:r>
              <w:t xml:space="preserve">; deterministic model must be proven first</w:t>
            </w:r>
          </w:p>
        </w:tc>
      </w:tr>
      <w:tr>
        <w:tc>
          <w:tcPr/>
          <w:p>
            <w:pPr>
              <w:pStyle w:val="Compact"/>
              <w:jc w:val="left"/>
            </w:pPr>
            <w:r>
              <w:t xml:space="preserve">Price prediction / trading recommendations</w:t>
            </w:r>
          </w:p>
        </w:tc>
        <w:tc>
          <w:tcPr/>
          <w:p>
            <w:pPr>
              <w:pStyle w:val="Compact"/>
              <w:jc w:val="left"/>
            </w:pPr>
            <w:r>
              <w:t xml:space="preserve">Reject (always)</w:t>
            </w:r>
          </w:p>
        </w:tc>
        <w:tc>
          <w:tcPr/>
          <w:p>
            <w:pPr>
              <w:pStyle w:val="Compact"/>
              <w:jc w:val="left"/>
            </w:pPr>
            <w:r>
              <w:t xml:space="preserve">Out of scope by design — information product, not an advisory product</w:t>
            </w:r>
          </w:p>
        </w:tc>
      </w:tr>
    </w:tbl>
    <w:bookmarkEnd w:id="47"/>
    <w:bookmarkStart w:id="48" w:name="open-product-decisions-resolved"/>
    <w:p>
      <w:pPr>
        <w:pStyle w:val="Heading1"/>
      </w:pPr>
      <w:r>
        <w:t xml:space="preserve">22. Open Product Decisions — Resolved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Decision</w:t>
            </w:r>
          </w:p>
        </w:tc>
        <w:tc>
          <w:tcPr/>
          <w:p>
            <w:pPr>
              <w:pStyle w:val="Compact"/>
              <w:jc w:val="left"/>
            </w:pPr>
            <w:r>
              <w:t xml:space="preserve">Resolution</w:t>
            </w:r>
          </w:p>
        </w:tc>
        <w:tc>
          <w:tcPr/>
          <w:p>
            <w:pPr>
              <w:pStyle w:val="Compact"/>
              <w:jc w:val="left"/>
            </w:pPr>
            <w:r>
              <w:t xml:space="preserve">Why</w:t>
            </w:r>
          </w:p>
        </w:tc>
      </w:tr>
      <w:tr>
        <w:tc>
          <w:tcPr/>
          <w:p>
            <w:pPr>
              <w:pStyle w:val="Compact"/>
              <w:jc w:val="left"/>
            </w:pPr>
            <w:r>
              <w:t xml:space="preserve">Baseline for</w:t>
            </w:r>
            <w:r>
              <w:t xml:space="preserve"> </w:t>
            </w:r>
            <w:r>
              <w:t xml:space="preserve">“</w:t>
            </w:r>
            <w:r>
              <w:t xml:space="preserve">since last checked</w:t>
            </w:r>
            <w:r>
              <w:t xml:space="preserve">”</w:t>
            </w:r>
          </w:p>
        </w:tc>
        <w:tc>
          <w:tcPr/>
          <w:p>
            <w:pPr>
              <w:pStyle w:val="Compact"/>
              <w:jc w:val="left"/>
            </w:pPr>
            <w:r>
              <w:t xml:space="preserve">Per-surface: home = last acknowledged watchlist state; stock detail = max(last acknowledged view of this stock, prior close)</w:t>
            </w:r>
          </w:p>
        </w:tc>
        <w:tc>
          <w:tcPr/>
          <w:p>
            <w:pPr>
              <w:pStyle w:val="Compact"/>
              <w:jc w:val="left"/>
            </w:pPr>
            <w:r>
              <w:t xml:space="preserve">Matches the state model in Section 8; opening-and-closing the app doesn’t erase pending items</w:t>
            </w:r>
          </w:p>
        </w:tc>
      </w:tr>
      <w:tr>
        <w:tc>
          <w:tcPr/>
          <w:p>
            <w:pPr>
              <w:pStyle w:val="Compact"/>
              <w:jc w:val="left"/>
            </w:pPr>
            <w:r>
              <w:t xml:space="preserve">Significance output shape</w:t>
            </w:r>
          </w:p>
        </w:tc>
        <w:tc>
          <w:tcPr/>
          <w:p>
            <w:pPr>
              <w:pStyle w:val="Compact"/>
              <w:jc w:val="left"/>
            </w:pPr>
            <w:r>
              <w:t xml:space="preserve">Tier + evidence + confidence, not a bare score</w:t>
            </w:r>
          </w:p>
        </w:tc>
        <w:tc>
          <w:tcPr/>
          <w:p>
            <w:pPr>
              <w:pStyle w:val="Compact"/>
              <w:jc w:val="left"/>
            </w:pPr>
            <w:r>
              <w:t xml:space="preserve">A single number invites false precision, contradicting the trust principle</w:t>
            </w:r>
          </w:p>
        </w:tc>
      </w:tr>
      <w:tr>
        <w:tc>
          <w:tcPr/>
          <w:p>
            <w:pPr>
              <w:pStyle w:val="Compact"/>
              <w:jc w:val="left"/>
            </w:pPr>
            <w:r>
              <w:t xml:space="preserve">Attention cap</w:t>
            </w:r>
          </w:p>
        </w:tc>
        <w:tc>
          <w:tcPr/>
          <w:p>
            <w:pPr>
              <w:pStyle w:val="Compact"/>
              <w:jc w:val="left"/>
            </w:pPr>
            <w:r>
              <w:t xml:space="preserve">Fixed at 5, expandable</w:t>
            </w:r>
          </w:p>
        </w:tc>
        <w:tc>
          <w:tcPr/>
          <w:p>
            <w:pPr>
              <w:pStyle w:val="Compact"/>
              <w:jc w:val="left"/>
            </w:pPr>
            <w:r>
              <w:t xml:space="preserve">Auditable and explainable; no training data required</w:t>
            </w:r>
          </w:p>
        </w:tc>
      </w:tr>
      <w:tr>
        <w:tc>
          <w:tcPr/>
          <w:p>
            <w:pPr>
              <w:pStyle w:val="Compact"/>
              <w:jc w:val="left"/>
            </w:pPr>
            <w:r>
              <w:t xml:space="preserve">Push vs. pull</w:t>
            </w:r>
          </w:p>
        </w:tc>
        <w:tc>
          <w:tcPr/>
          <w:p>
            <w:pPr>
              <w:pStyle w:val="Compact"/>
              <w:jc w:val="left"/>
            </w:pPr>
            <w:r>
              <w:t xml:space="preserve">Pull only in v1</w:t>
            </w:r>
          </w:p>
        </w:tc>
        <w:tc>
          <w:tcPr/>
          <w:p>
            <w:pPr>
              <w:pStyle w:val="Compact"/>
              <w:jc w:val="left"/>
            </w:pPr>
            <w:r>
              <w:t xml:space="preserve">Avoids notification-infra scope creep; core thesis is provable without it</w:t>
            </w:r>
          </w:p>
        </w:tc>
      </w:tr>
      <w:tr>
        <w:tc>
          <w:tcPr/>
          <w:p>
            <w:pPr>
              <w:pStyle w:val="Compact"/>
              <w:jc w:val="left"/>
            </w:pPr>
            <w:r>
              <w:t xml:space="preserve">Cross-layer linking strictness</w:t>
            </w:r>
          </w:p>
        </w:tc>
        <w:tc>
          <w:tcPr/>
          <w:p>
            <w:pPr>
              <w:pStyle w:val="Compact"/>
              <w:jc w:val="left"/>
            </w:pPr>
            <w:r>
              <w:t xml:space="preserve">Strict evidence-and-timing rule (Section 11)</w:t>
            </w:r>
          </w:p>
        </w:tc>
        <w:tc>
          <w:tcPr/>
          <w:p>
            <w:pPr>
              <w:pStyle w:val="Compact"/>
              <w:jc w:val="left"/>
            </w:pPr>
            <w:r>
              <w:t xml:space="preserve">Loose linking risks unsupported causal claims</w:t>
            </w:r>
          </w:p>
        </w:tc>
      </w:tr>
      <w:tr>
        <w:tc>
          <w:tcPr/>
          <w:p>
            <w:pPr>
              <w:pStyle w:val="Compact"/>
              <w:jc w:val="left"/>
            </w:pPr>
            <w:r>
              <w:t xml:space="preserve">Personalization depth</w:t>
            </w:r>
          </w:p>
        </w:tc>
        <w:tc>
          <w:tcPr/>
          <w:p>
            <w:pPr>
              <w:pStyle w:val="Compact"/>
              <w:jc w:val="left"/>
            </w:pPr>
            <w:r>
              <w:t xml:space="preserve">Preference toggles only, no personas or inference</w:t>
            </w:r>
          </w:p>
        </w:tc>
        <w:tc>
          <w:tcPr/>
          <w:p>
            <w:pPr>
              <w:pStyle w:val="Compact"/>
              <w:jc w:val="left"/>
            </w:pPr>
            <w:r>
              <w:t xml:space="preserve">Keeps classification objective and shared across users</w:t>
            </w:r>
          </w:p>
        </w:tc>
      </w:tr>
      <w:tr>
        <w:tc>
          <w:tcPr/>
          <w:p>
            <w:pPr>
              <w:pStyle w:val="Compact"/>
              <w:jc w:val="left"/>
            </w:pPr>
            <w:r>
              <w:t xml:space="preserve">Watchlist size limit</w:t>
            </w:r>
          </w:p>
        </w:tc>
        <w:tc>
          <w:tcPr/>
          <w:p>
            <w:pPr>
              <w:pStyle w:val="Compact"/>
              <w:jc w:val="left"/>
            </w:pPr>
            <w:r>
              <w:t xml:space="preserve">Capped at 100 securities, one watchlist per account</w:t>
            </w:r>
          </w:p>
        </w:tc>
        <w:tc>
          <w:tcPr/>
          <w:p>
            <w:pPr>
              <w:pStyle w:val="Compact"/>
              <w:jc w:val="left"/>
            </w:pPr>
            <w:r>
              <w:t xml:space="preserve">Keeps attention-model performance and UX predictable</w:t>
            </w:r>
          </w:p>
        </w:tc>
      </w:tr>
      <w:tr>
        <w:tc>
          <w:tcPr/>
          <w:p>
            <w:pPr>
              <w:pStyle w:val="Compact"/>
              <w:jc w:val="left"/>
            </w:pPr>
            <w:r>
              <w:t xml:space="preserve">Data source conflict resolution</w:t>
            </w:r>
          </w:p>
        </w:tc>
        <w:tc>
          <w:tcPr/>
          <w:p>
            <w:pPr>
              <w:pStyle w:val="Compact"/>
              <w:jc w:val="left"/>
            </w:pPr>
            <w:r>
              <w:t xml:space="preserve">Primary source of record per data type, secondary flagged not blended</w:t>
            </w:r>
          </w:p>
        </w:tc>
        <w:tc>
          <w:tcPr/>
          <w:p>
            <w:pPr>
              <w:pStyle w:val="Compact"/>
              <w:jc w:val="left"/>
            </w:pPr>
            <w:r>
              <w:t xml:space="preserve">A UI must render a number; discrepancy is shown, not hidden, but never blocks rendering</w:t>
            </w:r>
          </w:p>
        </w:tc>
      </w:tr>
    </w:tbl>
    <w:bookmarkEnd w:id="48"/>
    <w:bookmarkStart w:id="49" w:name="success-metrics"/>
    <w:p>
      <w:pPr>
        <w:pStyle w:val="Heading1"/>
      </w:pPr>
      <w:r>
        <w:t xml:space="preserve">23. Success Metrics</w:t>
      </w:r>
    </w:p>
    <w:p>
      <w:pPr>
        <w:numPr>
          <w:ilvl w:val="0"/>
          <w:numId w:val="1017"/>
        </w:numPr>
        <w:pStyle w:val="Compact"/>
      </w:pPr>
      <w:r>
        <w:rPr>
          <w:bCs/>
          <w:b/>
        </w:rPr>
        <w:t xml:space="preserve">Understanding:</w:t>
      </w:r>
      <w:r>
        <w:t xml:space="preserve"> </w:t>
      </w:r>
      <w:r>
        <w:t xml:space="preserve">≥80% of usability-test users correctly restate</w:t>
      </w:r>
      <w:r>
        <w:t xml:space="preserve"> </w:t>
      </w:r>
      <w:r>
        <w:t xml:space="preserve">“</w:t>
      </w:r>
      <w:r>
        <w:t xml:space="preserve">what changed and why</w:t>
      </w:r>
      <w:r>
        <w:t xml:space="preserve">”</w:t>
      </w:r>
      <w:r>
        <w:t xml:space="preserve"> </w:t>
      </w:r>
      <w:r>
        <w:t xml:space="preserve">for a surfaced item within 10 seconds of viewing it.</w:t>
      </w:r>
    </w:p>
    <w:p>
      <w:pPr>
        <w:numPr>
          <w:ilvl w:val="0"/>
          <w:numId w:val="1017"/>
        </w:numPr>
        <w:pStyle w:val="Compact"/>
      </w:pPr>
      <w:r>
        <w:rPr>
          <w:bCs/>
          <w:b/>
        </w:rPr>
        <w:t xml:space="preserve">Attention efficiency:</w:t>
      </w:r>
      <w:r>
        <w:t xml:space="preserve"> </w:t>
      </w:r>
      <w:r>
        <w:t xml:space="preserve">median time from opening the catch-up summary to acknowledging it is materially lower than self-reported time spent scanning a conventional watchlist of comparable size.</w:t>
      </w:r>
    </w:p>
    <w:p>
      <w:pPr>
        <w:numPr>
          <w:ilvl w:val="0"/>
          <w:numId w:val="1017"/>
        </w:numPr>
        <w:pStyle w:val="Compact"/>
      </w:pPr>
      <w:r>
        <w:rPr>
          <w:bCs/>
          <w:b/>
        </w:rPr>
        <w:t xml:space="preserve">Noise:</w:t>
      </w:r>
      <w:r>
        <w:t xml:space="preserve"> </w:t>
      </w:r>
      <w:r>
        <w:t xml:space="preserve">≥70% of items classified Notable/Significant are rated</w:t>
      </w:r>
      <w:r>
        <w:t xml:space="preserve"> </w:t>
      </w:r>
      <w:r>
        <w:t xml:space="preserve">“</w:t>
      </w:r>
      <w:r>
        <w:t xml:space="preserve">worth surfacing</w:t>
      </w:r>
      <w:r>
        <w:t xml:space="preserve">”</w:t>
      </w:r>
      <w:r>
        <w:t xml:space="preserve"> </w:t>
      </w:r>
      <w:r>
        <w:t xml:space="preserve">when reviewed against known historical market events.</w:t>
      </w:r>
    </w:p>
    <w:p>
      <w:pPr>
        <w:numPr>
          <w:ilvl w:val="0"/>
          <w:numId w:val="1017"/>
        </w:numPr>
        <w:pStyle w:val="Compact"/>
      </w:pPr>
      <w:r>
        <w:rPr>
          <w:bCs/>
          <w:b/>
        </w:rPr>
        <w:t xml:space="preserve">Return-experience value:</w:t>
      </w:r>
      <w:r>
        <w:t xml:space="preserve"> </w:t>
      </w:r>
      <w:r>
        <w:t xml:space="preserve">≥60% of returning test users acknowledge or expand the catch-up summary rather than skipping straight to the raw watchlist.</w:t>
      </w:r>
    </w:p>
    <w:p>
      <w:pPr>
        <w:numPr>
          <w:ilvl w:val="0"/>
          <w:numId w:val="1017"/>
        </w:numPr>
        <w:pStyle w:val="Compact"/>
      </w:pPr>
      <w:r>
        <w:rPr>
          <w:bCs/>
          <w:b/>
        </w:rPr>
        <w:t xml:space="preserve">Trust:</w:t>
      </w:r>
      <w:r>
        <w:t xml:space="preserve"> </w:t>
      </w:r>
      <w:r>
        <w:t xml:space="preserve">test users can correctly identify why a specific item was flagged (evidence-list comprehension) without facilitator explanation.</w:t>
      </w:r>
    </w:p>
    <w:p>
      <w:pPr>
        <w:pStyle w:val="FirstParagraph"/>
      </w:pPr>
      <w:r>
        <w:t xml:space="preserve">Instrumentation: log acknowledgment latency, expansion-rate of the</w:t>
      </w:r>
      <w:r>
        <w:t xml:space="preserve"> </w:t>
      </w:r>
      <w:r>
        <w:t xml:space="preserve">“</w:t>
      </w:r>
      <w:r>
        <w:t xml:space="preserve">N other notable changes</w:t>
      </w:r>
      <w:r>
        <w:t xml:space="preserve">”</w:t>
      </w:r>
      <w:r>
        <w:t xml:space="preserve"> </w:t>
      </w:r>
      <w:r>
        <w:t xml:space="preserve">affordance, and per-item evidence-view events, all tied to the model version that produced the classification (Section 19, Auditability).</w:t>
      </w:r>
    </w:p>
    <w:bookmarkEnd w:id="49"/>
    <w:bookmarkStart w:id="50" w:name="anti-patterns-explicit-non-goals"/>
    <w:p>
      <w:pPr>
        <w:pStyle w:val="Heading1"/>
      </w:pPr>
      <w:r>
        <w:t xml:space="preserve">24. Anti-Patterns / Explicit Non-Goals</w:t>
      </w:r>
    </w:p>
    <w:p>
      <w:pPr>
        <w:pStyle w:val="FirstParagraph"/>
      </w:pPr>
      <w:r>
        <w:t xml:space="preserve">Generic multi-chart dashboard · a single opaque significance score with no evidence · unlimited/uncapped alert volume · automated causal claims outside the strict linking rule · price prediction or trading recommendations · behavioral/ML personalization in v1 · push notifications in v1 · automated cross-stock narrative generation in v1 · an unbounded configuration surface (v1 ships a small, fixed set of toggles, not a rules engine) · giant unfiltered news feed presented as a</w:t>
      </w:r>
      <w:r>
        <w:t xml:space="preserve"> </w:t>
      </w:r>
      <w:r>
        <w:t xml:space="preserve">“</w:t>
      </w:r>
      <w:r>
        <w:t xml:space="preserve">timeline.</w:t>
      </w:r>
      <w:r>
        <w:t xml:space="preserve">”</w:t>
      </w:r>
    </w:p>
    <w:bookmarkEnd w:id="50"/>
    <w:bookmarkStart w:id="51" w:name="risks-known-limitations"/>
    <w:p>
      <w:pPr>
        <w:pStyle w:val="Heading1"/>
      </w:pPr>
      <w:r>
        <w:t xml:space="preserve">25. Risks &amp; Known Limitations</w:t>
      </w:r>
    </w:p>
    <w:p>
      <w:pPr>
        <w:numPr>
          <w:ilvl w:val="0"/>
          <w:numId w:val="1018"/>
        </w:numPr>
        <w:pStyle w:val="Compact"/>
      </w:pPr>
      <w:r>
        <w:rPr>
          <w:bCs/>
          <w:b/>
        </w:rPr>
        <w:t xml:space="preserve">False positives</w:t>
      </w:r>
      <w:r>
        <w:t xml:space="preserve"> </w:t>
      </w:r>
      <w:r>
        <w:t xml:space="preserve">from mechanical volume spikes (index rebalancing, low-float trading) misread as event-driven moves.</w:t>
      </w:r>
    </w:p>
    <w:p>
      <w:pPr>
        <w:numPr>
          <w:ilvl w:val="0"/>
          <w:numId w:val="1018"/>
        </w:numPr>
        <w:pStyle w:val="Compact"/>
      </w:pPr>
      <w:r>
        <w:rPr>
          <w:bCs/>
          <w:b/>
        </w:rPr>
        <w:t xml:space="preserve">False negatives</w:t>
      </w:r>
      <w:r>
        <w:t xml:space="preserve"> </w:t>
      </w:r>
      <w:r>
        <w:t xml:space="preserve">on slow-burn, multi-day deterioration that never trips a single-day threshold.</w:t>
      </w:r>
    </w:p>
    <w:p>
      <w:pPr>
        <w:numPr>
          <w:ilvl w:val="0"/>
          <w:numId w:val="1018"/>
        </w:numPr>
        <w:pStyle w:val="Compact"/>
      </w:pPr>
      <w:r>
        <w:rPr>
          <w:bCs/>
          <w:b/>
        </w:rPr>
        <w:t xml:space="preserve">Cross-layer linking</w:t>
      </w:r>
      <w:r>
        <w:t xml:space="preserve">, even with the strict rule, can still produce a plausible-looking but coincidental correlation; the rule reduces but does not eliminate this risk, which is why causal language stays hedged by default.</w:t>
      </w:r>
    </w:p>
    <w:p>
      <w:pPr>
        <w:numPr>
          <w:ilvl w:val="0"/>
          <w:numId w:val="1018"/>
        </w:numPr>
        <w:pStyle w:val="Compact"/>
      </w:pPr>
      <w:r>
        <w:rPr>
          <w:bCs/>
          <w:b/>
        </w:rPr>
        <w:t xml:space="preserve">Cold-start</w:t>
      </w:r>
      <w:r>
        <w:t xml:space="preserve">: newly added securities have no acknowledgment history and limited historical baseline, so early significance/confidence readings are inherently weaker (mitigated by capping confidence at Medium until sufficient baseline data exists).</w:t>
      </w:r>
    </w:p>
    <w:p>
      <w:pPr>
        <w:numPr>
          <w:ilvl w:val="0"/>
          <w:numId w:val="1018"/>
        </w:numPr>
        <w:pStyle w:val="Compact"/>
      </w:pPr>
      <w:r>
        <w:rPr>
          <w:bCs/>
          <w:b/>
        </w:rPr>
        <w:t xml:space="preserve">Vendor dependency</w:t>
      </w:r>
      <w:r>
        <w:t xml:space="preserve">: primary source-of-record design means a primary feed outage affects rendering more than a redundant multi-source design would — a deliberate simplicity/robustness trade-off for v1.</w:t>
      </w:r>
    </w:p>
    <w:bookmarkEnd w:id="51"/>
    <w:bookmarkStart w:id="52" w:name="acceptance-criteria"/>
    <w:p>
      <w:pPr>
        <w:pStyle w:val="Heading1"/>
      </w:pPr>
      <w:r>
        <w:t xml:space="preserve">26. Acceptance Criteria</w:t>
      </w:r>
    </w:p>
    <w:p>
      <w:pPr>
        <w:numPr>
          <w:ilvl w:val="0"/>
          <w:numId w:val="1019"/>
        </w:numPr>
        <w:pStyle w:val="Compact"/>
      </w:pPr>
      <w:r>
        <w:t xml:space="preserve">A user can create and manage a watchlist without ambiguity.</w:t>
      </w:r>
    </w:p>
    <w:p>
      <w:pPr>
        <w:numPr>
          <w:ilvl w:val="0"/>
          <w:numId w:val="1019"/>
        </w:numPr>
        <w:pStyle w:val="Compact"/>
      </w:pPr>
      <w:r>
        <w:t xml:space="preserve">A returning user can immediately understand what changed since the relevant previous state, and that state is per-surface correct (Section 8).</w:t>
      </w:r>
    </w:p>
    <w:p>
      <w:pPr>
        <w:numPr>
          <w:ilvl w:val="0"/>
          <w:numId w:val="1019"/>
        </w:numPr>
        <w:pStyle w:val="Compact"/>
      </w:pPr>
      <w:r>
        <w:t xml:space="preserve">The system surfaces fewer, higher-value items rather than every change, and never exceeds the 5-item default cap without an explicit user action to expand.</w:t>
      </w:r>
    </w:p>
    <w:p>
      <w:pPr>
        <w:numPr>
          <w:ilvl w:val="0"/>
          <w:numId w:val="1019"/>
        </w:numPr>
        <w:pStyle w:val="Compact"/>
      </w:pPr>
      <w:r>
        <w:t xml:space="preserve">Every Notable/Significant item has a visible, explainable reason for being surfaced, including confidence.</w:t>
      </w:r>
    </w:p>
    <w:p>
      <w:pPr>
        <w:numPr>
          <w:ilvl w:val="0"/>
          <w:numId w:val="1019"/>
        </w:numPr>
        <w:pStyle w:val="Compact"/>
      </w:pPr>
      <w:r>
        <w:t xml:space="preserve">The product distinguishes broad market movement from stock-specific anomalies (relative-move signal, Section 9.1).</w:t>
      </w:r>
    </w:p>
    <w:p>
      <w:pPr>
        <w:numPr>
          <w:ilvl w:val="0"/>
          <w:numId w:val="1019"/>
        </w:numPr>
        <w:pStyle w:val="Compact"/>
      </w:pPr>
      <w:r>
        <w:t xml:space="preserve">A user can trace a meaningful stock change through company, domestic, and global context on one common, layer-tagged timeline.</w:t>
      </w:r>
    </w:p>
    <w:p>
      <w:pPr>
        <w:numPr>
          <w:ilvl w:val="0"/>
          <w:numId w:val="1019"/>
        </w:numPr>
        <w:pStyle w:val="Compact"/>
      </w:pPr>
      <w:r>
        <w:t xml:space="preserve">The product behaves safely (degraded confidence, visible flags, no blocked renders) when data is stale, delayed, missing, or conflicting.</w:t>
      </w:r>
    </w:p>
    <w:p>
      <w:pPr>
        <w:numPr>
          <w:ilvl w:val="0"/>
          <w:numId w:val="1019"/>
        </w:numPr>
        <w:pStyle w:val="Compact"/>
      </w:pPr>
      <w:r>
        <w:t xml:space="preserve">The architecture supports the medium scale band (Section 20) without redesigning the core significance model.</w:t>
      </w:r>
    </w:p>
    <w:p>
      <w:pPr>
        <w:numPr>
          <w:ilvl w:val="0"/>
          <w:numId w:val="1019"/>
        </w:numPr>
        <w:pStyle w:val="Compact"/>
      </w:pPr>
      <w:r>
        <w:t xml:space="preserve">Every major feature in this document can be justified against the product thesis (Section 3) in one sentence.</w:t>
      </w:r>
    </w:p>
    <w:bookmarkEnd w:id="52"/>
    <w:bookmarkStart w:id="53" w:name="revision-history"/>
    <w:p>
      <w:pPr>
        <w:pStyle w:val="Heading1"/>
      </w:pPr>
      <w:r>
        <w:t xml:space="preserve">27. Revision History</w:t>
      </w:r>
    </w:p>
    <w:p>
      <w:pPr>
        <w:numPr>
          <w:ilvl w:val="0"/>
          <w:numId w:val="1020"/>
        </w:numPr>
        <w:pStyle w:val="Compact"/>
      </w:pPr>
      <w:r>
        <w:rPr>
          <w:bCs/>
          <w:b/>
        </w:rPr>
        <w:t xml:space="preserve">v0.1</w:t>
      </w:r>
      <w:r>
        <w:t xml:space="preserve"> </w:t>
      </w:r>
      <w:r>
        <w:t xml:space="preserve">— Initial brainstorming consolidated into a structured requirements baseline.</w:t>
      </w:r>
    </w:p>
    <w:p>
      <w:pPr>
        <w:numPr>
          <w:ilvl w:val="0"/>
          <w:numId w:val="1020"/>
        </w:numPr>
        <w:pStyle w:val="Compact"/>
      </w:pPr>
      <w:r>
        <w:rPr>
          <w:bCs/>
          <w:b/>
        </w:rPr>
        <w:t xml:space="preserve">v0.2</w:t>
      </w:r>
      <w:r>
        <w:t xml:space="preserve"> </w:t>
      </w:r>
      <w:r>
        <w:t xml:space="preserve">— Added stock/local/global timelines, significance layering, cross-layer linking concept.</w:t>
      </w:r>
    </w:p>
    <w:p>
      <w:pPr>
        <w:numPr>
          <w:ilvl w:val="0"/>
          <w:numId w:val="1020"/>
        </w:numPr>
        <w:pStyle w:val="Compact"/>
      </w:pPr>
      <w:r>
        <w:rPr>
          <w:bCs/>
          <w:b/>
        </w:rPr>
        <w:t xml:space="preserve">v0.3</w:t>
      </w:r>
      <w:r>
        <w:t xml:space="preserve"> </w:t>
      </w:r>
      <w:r>
        <w:t xml:space="preserve">— Extended functional, UX, and success requirements for the three-layer timeline concept.</w:t>
      </w:r>
    </w:p>
    <w:p>
      <w:pPr>
        <w:numPr>
          <w:ilvl w:val="0"/>
          <w:numId w:val="1020"/>
        </w:numPr>
        <w:pStyle w:val="Compact"/>
      </w:pPr>
      <w:r>
        <w:rPr>
          <w:bCs/>
          <w:b/>
        </w:rPr>
        <w:t xml:space="preserve">v1.0 (this document)</w:t>
      </w:r>
      <w:r>
        <w:t xml:space="preserve"> </w:t>
      </w:r>
      <w:r>
        <w:t xml:space="preserve">— Converted all candidate/open items into resolved decisions: defined the baseline model, replaced the single-score concept with tier + evidence + confidence, specified the exact significance formula, resolved the attention cap, tightened cross-layer linking into a strict evidence rule, resolved push-vs-pull, resolved personalization scope, added numeric non-functional targets and scale bands, and consolidated functional requirements into a single table.</w:t>
      </w:r>
    </w:p>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Market Watchlist — Product Requirements Document</dc:title>
  <dc:creator>Product / Engineering</dc:creator>
  <cp:keywords/>
  <dcterms:created xsi:type="dcterms:W3CDTF">2026-09-04T07:16:21Z</dcterms:created>
  <dcterms:modified xsi:type="dcterms:W3CDTF">2026-09-04T07:16:21Z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 — September 2026</vt:lpwstr>
  </property>
</Properties>
</file>