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72554"/>
          <w:sz w:val="42"/>
        </w:rPr>
        <w:t>NISHA GANGADHAR</w:t>
      </w:r>
    </w:p>
    <w:p>
      <w:pPr>
        <w:spacing w:after="60"/>
      </w:pPr>
      <w:r>
        <w:rPr>
          <w:rFonts w:ascii="Calibri" w:hAnsi="Calibri"/>
          <w:b/>
          <w:i w:val="0"/>
          <w:color w:val="2563EB"/>
          <w:sz w:val="21"/>
        </w:rPr>
        <w:t>Data Analyst | Power BI Data Analyst | MIS &amp; Reporting Analyst</w:t>
        <w:br/>
        <w:t>Business Intelligence Analyst | Operations Data Analyst | Associate BI Developer</w:t>
      </w:r>
    </w:p>
    <w:p>
      <w:pPr>
        <w:spacing w:after="100"/>
        <w:pBdr>
          <w:bottom w:val="single" w:sz="8" w:space="5" w:color="D9E2EC"/>
        </w:pBdr>
      </w:pPr>
      <w:r>
        <w:rPr>
          <w:rFonts w:ascii="Calibri" w:hAnsi="Calibri"/>
          <w:b w:val="0"/>
          <w:i w:val="0"/>
          <w:color w:val="1F2937"/>
          <w:sz w:val="18"/>
        </w:rPr>
        <w:t xml:space="preserve">Chikmagaluru, Karnataka | +91 78927 7921 | nishagangadharrao@gmail.com | </w:t>
      </w:r>
      <w:hyperlink r:id="rId10">
        <w:r>
          <w:rPr>
            <w:rFonts w:ascii="Calibri" w:hAnsi="Calibri"/>
            <w:color w:val="2563EB"/>
            <w:sz w:val="19"/>
          </w:rPr>
          <w:t>LinkedIn</w:t>
        </w:r>
      </w:hyperlink>
      <w:r>
        <w:rPr>
          <w:rFonts w:ascii="Calibri" w:hAnsi="Calibri"/>
          <w:b w:val="0"/>
          <w:i w:val="0"/>
          <w:color w:val="1F2937"/>
          <w:sz w:val="18"/>
        </w:rPr>
        <w:t xml:space="preserve"> | </w:t>
      </w:r>
      <w:hyperlink r:id="rId11">
        <w:r>
          <w:rPr>
            <w:rFonts w:ascii="Calibri" w:hAnsi="Calibri"/>
            <w:color w:val="2563EB"/>
            <w:sz w:val="19"/>
          </w:rPr>
          <w:t>Portfolio</w:t>
        </w:r>
      </w:hyperlink>
    </w:p>
    <w:p>
      <w:pPr>
        <w:pStyle w:val="ResumeHeading"/>
        <w:keepNext/>
        <w:pBdr>
          <w:bottom w:val="single" w:sz="8" w:space="5" w:color="D9E2EC"/>
        </w:pBdr>
      </w:pPr>
      <w:r>
        <w:t>PROFESSIONAL SUMMARY</w:t>
      </w:r>
    </w:p>
    <w:p>
      <w:r>
        <w:t>Data Analyst and MIS reporting professional with 5+ years of government-sector experience transforming operational, financial and programme data into accurate management reports, KPI dashboards and decision-ready insights. Hands-on with Power BI, DAX, Power Query, Advanced Excel and SQL, plus Python (Pandas) for data cleaning, transformation and validation. Project exposure includes AWS S3, Glue and Athena, and Azure Data Factory for cloud data preparation and reporting workflows. Built a multi-domain analytics portfolio using synthetic datasets across sales, workforce, finance, housing-scheme monitoring, procurement and public-service operations. Following a planned career break from January to December 2024, began working independently in January 2025 through a mixture of freelance analytics assignments and portfolio development while strengthening practical BI, data-quality and cloud reporting capabilities.</w:t>
      </w:r>
    </w:p>
    <w:p>
      <w:pPr>
        <w:pStyle w:val="ResumeHeading"/>
        <w:keepNext/>
        <w:pBdr>
          <w:bottom w:val="single" w:sz="8" w:space="5" w:color="D9E2EC"/>
        </w:pBdr>
      </w:pPr>
      <w:r>
        <w:t>CORE SKILLS</w:t>
      </w:r>
    </w:p>
    <w:p>
      <w:pPr>
        <w:spacing w:after="36"/>
      </w:pPr>
      <w:r>
        <w:rPr>
          <w:rFonts w:ascii="Calibri" w:hAnsi="Calibri"/>
          <w:b/>
          <w:i w:val="0"/>
          <w:color w:val="172554"/>
          <w:sz w:val="18"/>
        </w:rPr>
        <w:t xml:space="preserve">Business Intelligence: </w:t>
      </w:r>
      <w:r>
        <w:rPr>
          <w:rFonts w:ascii="Calibri" w:hAnsi="Calibri"/>
          <w:b w:val="0"/>
          <w:i w:val="0"/>
          <w:color w:val="1F2937"/>
          <w:sz w:val="18"/>
        </w:rPr>
        <w:t>Power BI Desktop, interactive dashboards, KPI scorecards, drill-through, slicers, bookmarks, tooltips, conditional formatting, publishing and scheduled refresh</w:t>
      </w:r>
    </w:p>
    <w:p>
      <w:pPr>
        <w:spacing w:after="36"/>
      </w:pPr>
      <w:r>
        <w:rPr>
          <w:rFonts w:ascii="Calibri" w:hAnsi="Calibri"/>
          <w:b/>
          <w:i w:val="0"/>
          <w:color w:val="172554"/>
          <w:sz w:val="18"/>
        </w:rPr>
        <w:t xml:space="preserve">Data Modelling &amp; DAX: </w:t>
      </w:r>
      <w:r>
        <w:rPr>
          <w:rFonts w:ascii="Calibri" w:hAnsi="Calibri"/>
          <w:b w:val="0"/>
          <w:i w:val="0"/>
          <w:color w:val="1F2937"/>
          <w:sz w:val="18"/>
        </w:rPr>
        <w:t>Star schema, fact/dimension modelling, calculated tables, time intelligence, ranking, variance, utilisation, attrition and conversion measures</w:t>
      </w:r>
    </w:p>
    <w:p>
      <w:pPr>
        <w:spacing w:after="36"/>
      </w:pPr>
      <w:r>
        <w:rPr>
          <w:rFonts w:ascii="Calibri" w:hAnsi="Calibri"/>
          <w:b/>
          <w:i w:val="0"/>
          <w:color w:val="172554"/>
          <w:sz w:val="18"/>
        </w:rPr>
        <w:t xml:space="preserve">Data Preparation: </w:t>
      </w:r>
      <w:r>
        <w:rPr>
          <w:rFonts w:ascii="Calibri" w:hAnsi="Calibri"/>
          <w:b w:val="0"/>
          <w:i w:val="0"/>
          <w:color w:val="1F2937"/>
          <w:sz w:val="18"/>
        </w:rPr>
        <w:t>Power Query (M); Python (Pandas) for data cleaning, transformation and validation; data profiling, merge/append, date handling, null/error resolution and multi-source consolidation</w:t>
      </w:r>
    </w:p>
    <w:p>
      <w:pPr>
        <w:spacing w:after="36"/>
      </w:pPr>
      <w:r>
        <w:rPr>
          <w:rFonts w:ascii="Calibri" w:hAnsi="Calibri"/>
          <w:b/>
          <w:i w:val="0"/>
          <w:color w:val="172554"/>
          <w:sz w:val="18"/>
        </w:rPr>
        <w:t xml:space="preserve">Analysis &amp; Reporting: </w:t>
      </w:r>
      <w:r>
        <w:rPr>
          <w:rFonts w:ascii="Calibri" w:hAnsi="Calibri"/>
          <w:b w:val="0"/>
          <w:i w:val="0"/>
          <w:color w:val="1F2937"/>
          <w:sz w:val="18"/>
        </w:rPr>
        <w:t>Advanced Excel, PivotTables, XLOOKUP, Power Pivot, MIS automation, trend analysis, budget variance, workforce and operations reporting</w:t>
      </w:r>
    </w:p>
    <w:p>
      <w:pPr>
        <w:spacing w:after="36"/>
      </w:pPr>
      <w:r>
        <w:rPr>
          <w:rFonts w:ascii="Calibri" w:hAnsi="Calibri"/>
          <w:b/>
          <w:i w:val="0"/>
          <w:color w:val="172554"/>
          <w:sz w:val="18"/>
        </w:rPr>
        <w:t xml:space="preserve">SQL &amp; Cloud Exposure: </w:t>
      </w:r>
      <w:r>
        <w:rPr>
          <w:rFonts w:ascii="Calibri" w:hAnsi="Calibri"/>
          <w:b w:val="0"/>
          <w:i w:val="0"/>
          <w:color w:val="1F2937"/>
          <w:sz w:val="18"/>
        </w:rPr>
        <w:t>SQL joins, aggregations, CTEs, views and reporting queries; project exposure to AWS S3, Glue crawler/ETL and Athena, plus Azure Data Factory pipelines</w:t>
      </w:r>
    </w:p>
    <w:p>
      <w:pPr>
        <w:spacing w:after="36"/>
      </w:pPr>
      <w:r>
        <w:rPr>
          <w:rFonts w:ascii="Calibri" w:hAnsi="Calibri"/>
          <w:b/>
          <w:i w:val="0"/>
          <w:color w:val="172554"/>
          <w:sz w:val="18"/>
        </w:rPr>
        <w:t xml:space="preserve">Delivery: </w:t>
      </w:r>
      <w:r>
        <w:rPr>
          <w:rFonts w:ascii="Calibri" w:hAnsi="Calibri"/>
          <w:b w:val="0"/>
          <w:i w:val="0"/>
          <w:color w:val="1F2937"/>
          <w:sz w:val="18"/>
        </w:rPr>
        <w:t>Requirements gathering, KPI definition, data validation, documentation, stakeholder communication, user training and self-service analytics</w:t>
      </w:r>
    </w:p>
    <w:p>
      <w:pPr>
        <w:pStyle w:val="ResumeHeading"/>
        <w:keepNext/>
        <w:pBdr>
          <w:bottom w:val="single" w:sz="8" w:space="5" w:color="D9E2EC"/>
        </w:pBdr>
      </w:pPr>
      <w:r>
        <w:t>PROFESSIONAL EXPERIENCE</w:t>
      </w:r>
    </w:p>
    <w:p>
      <w:pPr>
        <w:keepNext/>
        <w:tabs>
          <w:tab w:pos="8640" w:val="left"/>
        </w:tabs>
        <w:spacing w:before="40" w:after="20"/>
      </w:pPr>
      <w:r>
        <w:rPr>
          <w:rFonts w:ascii="Calibri" w:hAnsi="Calibri"/>
          <w:b/>
          <w:i w:val="0"/>
          <w:color w:val="172554"/>
          <w:sz w:val="20"/>
        </w:rPr>
        <w:t>MIS Specialist</w:t>
      </w:r>
      <w:r>
        <w:rPr>
          <w:rFonts w:ascii="Calibri" w:hAnsi="Calibri"/>
          <w:b/>
          <w:i w:val="0"/>
          <w:color w:val="1F2937"/>
          <w:sz w:val="20"/>
        </w:rPr>
        <w:t xml:space="preserve"> | District Urban Development Cell, Government Department</w:t>
      </w:r>
      <w:r>
        <w:rPr>
          <w:rFonts w:ascii="Calibri" w:hAnsi="Calibri"/>
          <w:b/>
          <w:i w:val="0"/>
          <w:color w:val="64748B"/>
          <w:sz w:val="18"/>
        </w:rPr>
        <w:tab/>
        <w:t>Mar 2018 – Dec 2023</w:t>
      </w:r>
    </w:p>
    <w:p>
      <w:pPr>
        <w:spacing w:after="40"/>
      </w:pPr>
      <w:r>
        <w:rPr>
          <w:rFonts w:ascii="Calibri" w:hAnsi="Calibri"/>
          <w:b w:val="0"/>
          <w:i/>
          <w:color w:val="64748B"/>
          <w:sz w:val="18"/>
        </w:rPr>
        <w:t>Chikmagaluru, Karnataka</w:t>
      </w:r>
    </w:p>
    <w:p>
      <w:pPr>
        <w:pStyle w:val="ListBullet"/>
        <w:spacing w:after="48"/>
      </w:pPr>
      <w:r>
        <w:t>Managed recurring MIS reporting across 5+ departments, including work in the RGRHCL housing-scheme reporting environment, consolidating operational, finance and public-programme data into periodic reports and management summaries for 10+ senior stakeholders.</w:t>
      </w:r>
    </w:p>
    <w:p>
      <w:pPr>
        <w:pStyle w:val="ListBullet"/>
        <w:spacing w:after="48"/>
      </w:pPr>
      <w:r>
        <w:t>Cleaned, reconciled and transformed multi-source datasets using Advanced Excel, Power Query and SQL, improving reported data accuracy from approximately 80% to 90%.</w:t>
      </w:r>
    </w:p>
    <w:p>
      <w:pPr>
        <w:pStyle w:val="ListBullet"/>
        <w:spacing w:after="48"/>
      </w:pPr>
      <w:r>
        <w:t>Developed KPI-driven Power BI and Excel reporting solutions for recruitment, expenditure, claims and scheme monitoring, reducing reporting turnaround time by approximately 30%.</w:t>
      </w:r>
    </w:p>
    <w:p>
      <w:pPr>
        <w:pStyle w:val="ListBullet"/>
        <w:spacing w:after="48"/>
      </w:pPr>
      <w:r>
        <w:t>Automated repeatable reporting activities and validation steps, reducing manual spreadsheet effort by approximately 60% and saving 15+ hours per week.</w:t>
      </w:r>
    </w:p>
    <w:p>
      <w:pPr>
        <w:pStyle w:val="ListBullet"/>
        <w:spacing w:after="48"/>
      </w:pPr>
      <w:r>
        <w:t>Partnered with 5+ department heads to define requirements, document KPI logic, resolve data-quality issues and standardise reporting formats and schedules.</w:t>
      </w:r>
    </w:p>
    <w:p>
      <w:pPr>
        <w:pStyle w:val="ListBullet"/>
        <w:spacing w:after="48"/>
      </w:pPr>
      <w:r>
        <w:t>Trained 20+ colleagues to interpret dashboards and use self-service reports, supporting wider adoption of evidence-based operational reviews.</w:t>
      </w:r>
    </w:p>
    <w:p>
      <w:pPr>
        <w:keepNext/>
        <w:tabs>
          <w:tab w:pos="8640" w:val="left"/>
        </w:tabs>
        <w:spacing w:before="40" w:after="20"/>
      </w:pPr>
      <w:r>
        <w:rPr>
          <w:rFonts w:ascii="Calibri" w:hAnsi="Calibri"/>
          <w:b/>
          <w:i w:val="0"/>
          <w:color w:val="172554"/>
          <w:sz w:val="20"/>
        </w:rPr>
        <w:t>Planned Career Break | Analytics Upskilling</w:t>
        <w:tab/>
        <w:t>Jan–Dec 2024</w:t>
      </w:r>
      <w:r>
        <w:rPr>
          <w:rFonts w:ascii="Calibri" w:hAnsi="Calibri"/>
          <w:b/>
          <w:i w:val="0"/>
          <w:color w:val="64748B"/>
          <w:sz w:val="18"/>
        </w:rPr>
      </w:r>
    </w:p>
    <w:p>
      <w:pPr>
        <w:pStyle w:val="ListBullet"/>
        <w:spacing w:after="48"/>
      </w:pPr>
      <w:r>
        <w:t>Took a planned career break while maintaining professional readiness through structured upskilling in Power BI, SQL, Advanced Excel and business intelligence.</w:t>
      </w:r>
    </w:p>
    <w:p>
      <w:pPr>
        <w:pStyle w:val="ListBullet"/>
        <w:spacing w:after="48"/>
      </w:pPr>
      <w:r>
        <w:t>Completed Power BI and SQL micro-courses and continued hands-on practice in dashboard development, data modelling, data validation and reporting workflows.</w:t>
      </w:r>
    </w:p>
    <w:p>
      <w:pPr>
        <w:keepNext/>
        <w:tabs>
          <w:tab w:pos="8640" w:val="left"/>
        </w:tabs>
        <w:spacing w:before="40" w:after="20"/>
      </w:pPr>
      <w:r>
        <w:rPr>
          <w:rFonts w:ascii="Calibri" w:hAnsi="Calibri"/>
          <w:b/>
          <w:i w:val="0"/>
          <w:color w:val="172554"/>
          <w:sz w:val="20"/>
        </w:rPr>
        <w:t>Freelance Data Analyst &amp; Power BI Developer</w:t>
        <w:tab/>
        <w:t>Jan 2025 – Present</w:t>
      </w:r>
      <w:r>
        <w:rPr>
          <w:rFonts w:ascii="Calibri" w:hAnsi="Calibri"/>
          <w:b/>
          <w:i w:val="0"/>
          <w:color w:val="64748B"/>
          <w:sz w:val="18"/>
        </w:rPr>
      </w:r>
    </w:p>
    <w:p>
      <w:pPr>
        <w:pStyle w:val="ListBullet"/>
        <w:spacing w:after="48"/>
      </w:pPr>
      <w:r>
        <w:t>Delivered freelance analytics and reporting assignments using Power BI, Advanced Excel, Power Query and SQL, converting business requirements into practical KPIs, dashboards and recurring reports.</w:t>
      </w:r>
    </w:p>
    <w:p>
      <w:pPr>
        <w:pStyle w:val="ListBullet"/>
        <w:spacing w:after="48"/>
      </w:pPr>
      <w:r>
        <w:t>Prepared, cleaned and reconciled source data; created reusable transformation steps, star-schema models and DAX measures; and validated outputs before stakeholder review.</w:t>
      </w:r>
    </w:p>
    <w:p>
      <w:pPr>
        <w:pStyle w:val="ListBullet"/>
        <w:spacing w:after="48"/>
      </w:pPr>
      <w:r>
        <w:t>Designed interactive reports with slicers, drill-through, dynamic titles, conditional formatting and exportable detail views to support management and operational analysis.</w:t>
      </w:r>
    </w:p>
    <w:p>
      <w:pPr>
        <w:pStyle w:val="ListBullet"/>
        <w:spacing w:after="48"/>
      </w:pPr>
      <w:r>
        <w:t>Separately built and documented multi-domain synthetic BI case studies covering sales, workforce, finance, government-scheme operations, procurement and citizen services; these are portfolio projects and not presented as employer or client implementations.</w:t>
      </w:r>
    </w:p>
    <w:p>
      <w:pPr>
        <w:pStyle w:val="ListBullet"/>
        <w:spacing w:after="48"/>
      </w:pPr>
      <w:r>
        <w:t>Practised an end-to-end AWS-to-Power BI flow using S3, Glue crawler/Visual ETL, Athena and ODBC, including IAM troubleshooting, date-quality checks and dashboard consumption; also completed guided Azure Data Factory pipeline exercises.</w:t>
      </w:r>
    </w:p>
    <w:p>
      <w:pPr>
        <w:pStyle w:val="ResumeHeading"/>
        <w:keepNext/>
        <w:pBdr>
          <w:bottom w:val="single" w:sz="8" w:space="5" w:color="D9E2EC"/>
        </w:pBdr>
      </w:pPr>
      <w:r>
        <w:t>SELECTED ORGANISATION-SCALE PORTFOLIO PROJECTS</w:t>
      </w:r>
    </w:p>
    <w:p>
      <w:pPr>
        <w:spacing w:after="40"/>
      </w:pPr>
      <w:r>
        <w:rPr>
          <w:rFonts w:ascii="Calibri" w:hAnsi="Calibri"/>
          <w:b w:val="0"/>
          <w:i/>
          <w:color w:val="64748B"/>
          <w:sz w:val="17"/>
        </w:rPr>
        <w:t>All projects below use synthetic data for learning and demonstration; they are not presented as employer or client implementations.</w:t>
      </w:r>
    </w:p>
    <w:p>
      <w:pPr>
        <w:keepNext/>
        <w:spacing w:before="60" w:after="20"/>
      </w:pPr>
      <w:r>
        <w:rPr>
          <w:rFonts w:ascii="Calibri" w:hAnsi="Calibri"/>
          <w:b/>
          <w:i w:val="0"/>
          <w:color w:val="172554"/>
          <w:sz w:val="20"/>
        </w:rPr>
        <w:t>Enterprise Sales Performance Analytics</w:t>
      </w:r>
      <w:r>
        <w:rPr>
          <w:rFonts w:ascii="Calibri" w:hAnsi="Calibri"/>
          <w:b w:val="0"/>
          <w:i/>
          <w:color w:val="64748B"/>
          <w:sz w:val="18"/>
        </w:rPr>
        <w:t xml:space="preserve"> | 8,000 orders | 60 companies | 40 products | 180 sales employees</w:t>
      </w:r>
    </w:p>
    <w:p>
      <w:pPr>
        <w:pStyle w:val="ListBullet"/>
        <w:spacing w:after="36"/>
      </w:pPr>
      <w:r>
        <w:t>Built a star-schema model with order, target, company, product, employee and calendar entities; defined revenue, order, unit, AOV, quota-attainment and ranking measures.</w:t>
      </w:r>
    </w:p>
    <w:p>
      <w:pPr>
        <w:pStyle w:val="ListBullet"/>
        <w:spacing w:after="36"/>
      </w:pPr>
      <w:r>
        <w:t>Designed executive and salesperson/company views with regional and industry analysis, Top-N controls, dynamic titles, drill-through and detailed exportable records.</w:t>
      </w:r>
    </w:p>
    <w:p>
      <w:pPr>
        <w:keepNext/>
        <w:spacing w:before="60" w:after="20"/>
      </w:pPr>
      <w:r>
        <w:rPr>
          <w:rFonts w:ascii="Calibri" w:hAnsi="Calibri"/>
          <w:b/>
          <w:i w:val="0"/>
          <w:color w:val="172554"/>
          <w:sz w:val="20"/>
        </w:rPr>
        <w:t>Workforce, Attrition &amp; Recruitment Analytics</w:t>
      </w:r>
      <w:r>
        <w:rPr>
          <w:rFonts w:ascii="Calibri" w:hAnsi="Calibri"/>
          <w:b w:val="0"/>
          <w:i/>
          <w:color w:val="64748B"/>
          <w:sz w:val="18"/>
        </w:rPr>
        <w:t xml:space="preserve"> | 1,000 employees | 2,000 candidates | 10 departments</w:t>
      </w:r>
    </w:p>
    <w:p>
      <w:pPr>
        <w:pStyle w:val="ListBullet"/>
        <w:spacing w:after="36"/>
      </w:pPr>
      <w:r>
        <w:t>Analysed headcount, tenure, salary, diversity, attrition segments, exit reasons, recruitment funnel, offer acceptance and time to hire.</w:t>
      </w:r>
    </w:p>
    <w:p>
      <w:pPr>
        <w:pStyle w:val="ListBullet"/>
        <w:spacing w:after="36"/>
      </w:pPr>
      <w:r>
        <w:t>Used careful analytical language to identify factors associated with attrition without claiming causation; added department and employee drill-through views.</w:t>
      </w:r>
    </w:p>
    <w:p>
      <w:pPr>
        <w:keepNext/>
        <w:spacing w:before="60" w:after="20"/>
      </w:pPr>
      <w:r>
        <w:rPr>
          <w:rFonts w:ascii="Calibri" w:hAnsi="Calibri"/>
          <w:b/>
          <w:i w:val="0"/>
          <w:color w:val="172554"/>
          <w:sz w:val="20"/>
        </w:rPr>
        <w:t>Finance Budget, Expense &amp; Forecasting Analytics</w:t>
      </w:r>
      <w:r>
        <w:rPr>
          <w:rFonts w:ascii="Calibri" w:hAnsi="Calibri"/>
          <w:b w:val="0"/>
          <w:i/>
          <w:color w:val="64748B"/>
          <w:sz w:val="18"/>
        </w:rPr>
        <w:t xml:space="preserve"> | 4,320 budget rows | 5,000 expenses | 12 departments | 120 vendors</w:t>
      </w:r>
    </w:p>
    <w:p>
      <w:pPr>
        <w:pStyle w:val="ListBullet"/>
        <w:spacing w:after="36"/>
      </w:pPr>
      <w:r>
        <w:t>Modelled budget and approved expenses with department, category, vendor and calendar dimensions; calculated variance, utilisation, outstanding exposure and year-end run-rate forecast.</w:t>
      </w:r>
    </w:p>
    <w:p>
      <w:pPr>
        <w:pStyle w:val="ListBullet"/>
        <w:spacing w:after="36"/>
      </w:pPr>
      <w:r>
        <w:t>Applied green/amber/red management thresholds, variance contribution, payment ageing and vendor/category exception analysis for cost-control reviews.</w:t>
      </w:r>
    </w:p>
    <w:p>
      <w:pPr>
        <w:keepNext/>
        <w:spacing w:before="60" w:after="20"/>
      </w:pPr>
      <w:r>
        <w:rPr>
          <w:rFonts w:ascii="Calibri" w:hAnsi="Calibri"/>
          <w:b/>
          <w:i w:val="0"/>
          <w:color w:val="172554"/>
          <w:sz w:val="20"/>
        </w:rPr>
        <w:t>Government Scheme Reach &amp; Service-Delivery Analytics</w:t>
      </w:r>
      <w:r>
        <w:rPr>
          <w:rFonts w:ascii="Calibri" w:hAnsi="Calibri"/>
          <w:b w:val="0"/>
          <w:i/>
          <w:color w:val="64748B"/>
          <w:sz w:val="18"/>
        </w:rPr>
        <w:t xml:space="preserve"> | 8,000 applications | 10 schemes | 50 geographic units</w:t>
      </w:r>
    </w:p>
    <w:p>
      <w:pPr>
        <w:pStyle w:val="ListBullet"/>
        <w:spacing w:after="36"/>
      </w:pPr>
      <w:r>
        <w:t>Created scheme, application, allocation, geography and calendar views covering beneficiary reach, inclusion, approval/rejection, processing time, pending ageing and budget utilisation.</w:t>
      </w:r>
    </w:p>
    <w:p>
      <w:pPr>
        <w:pStyle w:val="ListBullet"/>
        <w:spacing w:after="36"/>
      </w:pPr>
      <w:r>
        <w:t>Designed geographic and operational analysis for district-level monitoring, low-coverage identification and pending-case follow-up, aligned to government MIS experience.</w:t>
      </w:r>
    </w:p>
    <w:p>
      <w:pPr>
        <w:pStyle w:val="ResumeHeading"/>
        <w:keepNext/>
        <w:pBdr>
          <w:bottom w:val="single" w:sz="8" w:space="5" w:color="D9E2EC"/>
        </w:pBdr>
      </w:pPr>
      <w:r>
        <w:t>EDUCATION &amp; CERTIFICATIONS</w:t>
      </w:r>
    </w:p>
    <w:p>
      <w:r>
        <w:rPr>
          <w:rFonts w:ascii="Calibri" w:hAnsi="Calibri"/>
          <w:b/>
          <w:i w:val="0"/>
          <w:color w:val="172554"/>
          <w:sz w:val="18"/>
        </w:rPr>
        <w:t>B.E. in Computer Science | Sri Siddhartha Institute of Technology, Tumkur | 2017 | CGPA: 8.35</w:t>
      </w:r>
    </w:p>
    <w:p>
      <w:pPr>
        <w:pStyle w:val="ListBullet"/>
        <w:spacing w:after="24"/>
      </w:pPr>
      <w:r>
        <w:t>Microsoft Power BI Desktop for Business Intelligence — Udemy (2023)</w:t>
      </w:r>
    </w:p>
    <w:p>
      <w:pPr>
        <w:pStyle w:val="ListBullet"/>
        <w:spacing w:after="24"/>
      </w:pPr>
      <w:r>
        <w:t>Microsoft Excel: Business Intelligence with Power Query &amp; DAX — Udemy (2023)</w:t>
      </w:r>
    </w:p>
    <w:p>
      <w:pPr>
        <w:pStyle w:val="ListBullet"/>
        <w:spacing w:after="24"/>
      </w:pPr>
      <w:r>
        <w:t>Microsoft Excel: Data Analysis with PivotTables — Udemy (2023)</w:t>
      </w:r>
    </w:p>
    <w:p>
      <w:pPr>
        <w:pStyle w:val="ListBullet"/>
        <w:spacing w:after="24"/>
      </w:pPr>
      <w:r>
        <w:t>Power BI Micro Course — SkillCourse (2024)</w:t>
      </w:r>
    </w:p>
    <w:p>
      <w:pPr>
        <w:pStyle w:val="ListBullet"/>
        <w:spacing w:after="24"/>
      </w:pPr>
      <w:r>
        <w:t>SQL Micro Course — SkillCourse (2024)</w:t>
      </w:r>
    </w:p>
    <w:p>
      <w:pPr>
        <w:pStyle w:val="ResumeHeading"/>
        <w:keepNext/>
        <w:pBdr>
          <w:bottom w:val="single" w:sz="8" w:space="5" w:color="D9E2EC"/>
        </w:pBdr>
      </w:pPr>
      <w:r>
        <w:t>LANGUAGES</w:t>
      </w:r>
    </w:p>
    <w:p>
      <w:pPr>
        <w:spacing w:after="0"/>
      </w:pPr>
      <w:r>
        <w:t>Kannada (Native) | English (Fluent) | Hindi (Fluent)</w:t>
      </w:r>
    </w:p>
    <w:sectPr w:rsidR="00FC693F" w:rsidRPr="0006063C" w:rsidSect="00034616">
      <w:footerReference w:type="default" r:id="rId9"/>
      <w:pgSz w:w="12240" w:h="15840"/>
      <w:pgMar w:top="893" w:right="979" w:bottom="835"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6"/>
      </w:rPr>
      <w:t>Nisha Gangadhar | Data Analyst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Resume Bullet"/>
    <w:basedOn w:val="Normal"/>
    <w:uiPriority w:val="99"/>
    <w:unhideWhenUsed/>
    <w:rsid w:val="00326F90"/>
    <w:pPr>
      <w:numPr>
        <w:numId w:val="1"/>
      </w:numPr>
      <w:spacing w:before="0" w:after="48" w:line="254" w:lineRule="auto"/>
      <w:ind w:left="317" w:hanging="202"/>
      <w:contextualSpacing/>
    </w:pPr>
    <w:rPr>
      <w:rFonts w:ascii="Calibri" w:hAnsi="Calibri"/>
      <w:color w:val="1F293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Heading">
    <w:name w:val="Resume Heading"/>
    <w:pPr>
      <w:keepNext/>
      <w:spacing w:before="120" w:after="80"/>
    </w:pPr>
    <w:rPr>
      <w:rFonts w:ascii="Calibri" w:hAnsi="Calibri"/>
      <w:b/>
      <w:color w:val="2563E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nkedin.com/in/nisha-gangadhar-06972b333" TargetMode="External"/><Relationship Id="rId11" Type="http://schemas.openxmlformats.org/officeDocument/2006/relationships/hyperlink" Target="https://data-analyst-portfolio.gagandevali.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Nisha Gangadhar - Data Analyst Resume</dc:title>
  <dc:subject>Career-return resume with government MIS, freelance analytics and Power BI portfolio experience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