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6" w:color="000000"/>
          <w:left w:val="single" w:sz="6" w:color="000000"/>
          <w:bottom w:val="single" w:sz="6" w:color="000000"/>
          <w:right w:val="single" w:sz="6" w:color="000000"/>
          <w:insideH w:val="single" w:sz="6" w:color="000000"/>
          <w:insideV w:val="single" w:sz="6" w:color="000000"/>
        </w:tblBorders>
      </w:tblPr>
      <w:tblGrid>
        <w:gridCol w:w="2232"/>
        <w:gridCol w:w="7848"/>
      </w:tblGrid>
      <w:tr>
        <w:tc>
          <w:tcPr>
            <w:tcW w:type="dxa" w:w="2232"/>
          </w:tcPr>
          <w:p>
            <w:pPr>
              <w:jc w:val="center"/>
            </w:pPr>
            <w:r/>
            <w:r>
              <w:drawing>
                <wp:inline xmlns:a="http://schemas.openxmlformats.org/drawingml/2006/main" xmlns:pic="http://schemas.openxmlformats.org/drawingml/2006/picture">
                  <wp:extent cx="1143000" cy="1059110"/>
                  <wp:docPr id="1" name="Picture 1"/>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1143000" cy="1059110"/>
                          </a:xfrm>
                          <a:prstGeom prst="rect"/>
                        </pic:spPr>
                      </pic:pic>
                    </a:graphicData>
                  </a:graphic>
                </wp:inline>
              </w:drawing>
            </w:r>
          </w:p>
        </w:tc>
        <w:tc>
          <w:tcPr>
            <w:tcW w:type="dxa" w:w="7848"/>
          </w:tcPr>
          <w:p>
            <w:pPr>
              <w:spacing w:after="0"/>
              <w:jc w:val="center"/>
            </w:pPr>
            <w:r/>
            <w:r>
              <w:rPr>
                <w:rFonts w:ascii="Times New Roman" w:hAnsi="Times New Roman" w:eastAsia="Times New Roman"/>
                <w:b w:val="0"/>
                <w:i w:val="0"/>
                <w:sz w:val="20"/>
                <w:u w:val="none"/>
              </w:rPr>
              <w:t xml:space="preserve">PimpriChinchwad Education Trust’s </w:t>
            </w:r>
            <w:r>
              <w:rPr>
                <w:rFonts w:ascii="Times New Roman" w:hAnsi="Times New Roman" w:eastAsia="Times New Roman"/>
                <w:b/>
                <w:i w:val="0"/>
                <w:sz w:val="20"/>
                <w:u w:val="none"/>
              </w:rPr>
              <w:t>PimpriChinchwad College of Engineering (PCCoE)</w:t>
            </w:r>
            <w:r>
              <w:rPr>
                <w:rFonts w:ascii="Times New Roman" w:hAnsi="Times New Roman" w:eastAsia="Times New Roman"/>
                <w:b w:val="0"/>
                <w:i w:val="0"/>
                <w:sz w:val="20"/>
                <w:u w:val="none"/>
              </w:rPr>
              <w:t xml:space="preserve"> (An Autonomous Institute)</w:t>
            </w:r>
          </w:p>
          <w:p>
            <w:pPr>
              <w:jc w:val="center"/>
            </w:pPr>
            <w:r>
              <w:rPr>
                <w:rFonts w:ascii="Times New Roman" w:hAnsi="Times New Roman" w:eastAsia="Times New Roman"/>
                <w:b w:val="0"/>
                <w:i w:val="0"/>
                <w:sz w:val="20"/>
                <w:u w:val="none"/>
              </w:rPr>
              <w:t>Affiliated to SavitribaiPhule Pune University(SPPU)</w:t>
            </w:r>
          </w:p>
        </w:tc>
      </w:tr>
      <w:tr>
        <w:tc>
          <w:tcPr>
            <w:tcW w:type="dxa" w:w="10080"/>
            <w:gridSpan w:val="2"/>
          </w:tcPr>
          <w:p>
            <w:pPr>
              <w:spacing w:after="0"/>
              <w:jc w:val="center"/>
            </w:pPr>
            <w:r>
              <w:rPr>
                <w:u w:val="single"/>
              </w:rPr>
            </w:r>
            <w:r>
              <w:rPr>
                <w:rFonts w:ascii="Times New Roman" w:hAnsi="Times New Roman" w:eastAsia="Times New Roman"/>
                <w:b/>
                <w:i w:val="0"/>
                <w:sz w:val="20"/>
                <w:u w:val="none"/>
              </w:rPr>
              <w:t>MDM-Digital Marketing - Capstone Project [BCE27MD06]</w:t>
            </w:r>
          </w:p>
        </w:tc>
      </w:tr>
    </w:tbl>
    <w:p>
      <w:pPr>
        <w:spacing w:after="120" w:before="0" w:line="240" w:lineRule="auto"/>
      </w:pPr>
    </w:p>
    <w:tbl>
      <w:tblPr>
        <w:tblW w:type="auto" w:w="0"/>
        <w:jc w:val="center"/>
        <w:tblLook w:firstColumn="1" w:firstRow="1" w:lastColumn="0" w:lastRow="0" w:noHBand="0" w:noVBand="1" w:val="04A0"/>
      </w:tblPr>
      <w:tblGrid>
        <w:gridCol w:w="3360"/>
        <w:gridCol w:w="3360"/>
        <w:gridCol w:w="3360"/>
      </w:tblGrid>
      <w:tr>
        <w:tc>
          <w:tcPr>
            <w:tcW w:type="dxa" w:w="3360"/>
          </w:tcPr>
          <w:p>
            <w:pPr>
              <w:spacing w:after="120"/>
            </w:pPr>
            <w:r/>
            <w:r>
              <w:rPr>
                <w:rFonts w:ascii="Times New Roman" w:hAnsi="Times New Roman" w:eastAsia="Times New Roman"/>
                <w:b/>
                <w:i w:val="0"/>
                <w:sz w:val="22"/>
                <w:u w:val="none"/>
              </w:rPr>
              <w:t>Department: [Department]</w:t>
            </w:r>
          </w:p>
        </w:tc>
        <w:tc>
          <w:tcPr>
            <w:tcW w:type="dxa" w:w="3360"/>
          </w:tcPr>
          <w:p>
            <w:pPr>
              <w:spacing w:after="120"/>
              <w:jc w:val="center"/>
            </w:pPr>
            <w:r/>
            <w:r>
              <w:rPr>
                <w:rFonts w:ascii="Times New Roman" w:hAnsi="Times New Roman" w:eastAsia="Times New Roman"/>
                <w:b/>
                <w:i w:val="0"/>
                <w:sz w:val="22"/>
                <w:u w:val="none"/>
              </w:rPr>
              <w:t>Academic Year: 2026-2027</w:t>
            </w:r>
          </w:p>
        </w:tc>
        <w:tc>
          <w:tcPr>
            <w:tcW w:type="dxa" w:w="3360"/>
          </w:tcPr>
          <w:p>
            <w:pPr>
              <w:spacing w:after="120"/>
              <w:jc w:val="right"/>
            </w:pPr>
            <w:r/>
            <w:r>
              <w:rPr>
                <w:rFonts w:ascii="Times New Roman" w:hAnsi="Times New Roman" w:eastAsia="Times New Roman"/>
                <w:b/>
                <w:i w:val="0"/>
                <w:sz w:val="22"/>
                <w:u w:val="none"/>
              </w:rPr>
              <w:t>Semester: I</w:t>
            </w:r>
          </w:p>
        </w:tc>
      </w:tr>
      <w:tr>
        <w:tc>
          <w:tcPr>
            <w:tcW w:type="dxa" w:w="3360"/>
          </w:tcPr>
          <w:p>
            <w:pPr>
              <w:spacing w:after="120"/>
            </w:pPr>
            <w:r/>
            <w:r>
              <w:rPr>
                <w:rFonts w:ascii="Times New Roman" w:hAnsi="Times New Roman" w:eastAsia="Times New Roman"/>
                <w:b/>
                <w:i w:val="0"/>
                <w:sz w:val="22"/>
                <w:u w:val="none"/>
              </w:rPr>
              <w:t>Year: B. Tech</w:t>
            </w:r>
          </w:p>
        </w:tc>
        <w:tc>
          <w:tcPr>
            <w:tcW w:type="dxa" w:w="3360"/>
          </w:tcPr>
          <w:p>
            <w:pPr>
              <w:spacing w:after="120"/>
              <w:jc w:val="center"/>
            </w:pPr>
            <w:r/>
            <w:r>
              <w:rPr>
                <w:rFonts w:ascii="Times New Roman" w:hAnsi="Times New Roman" w:eastAsia="Times New Roman"/>
                <w:b/>
                <w:i w:val="0"/>
                <w:sz w:val="22"/>
                <w:u w:val="none"/>
              </w:rPr>
              <w:t>Group ID: [Group ID]</w:t>
            </w:r>
          </w:p>
        </w:tc>
        <w:tc>
          <w:tcPr>
            <w:tcW w:type="dxa" w:w="3360"/>
          </w:tcPr>
          <w:p>
            <w:pPr>
              <w:spacing w:after="120"/>
              <w:jc w:val="right"/>
            </w:pPr>
            <w:r/>
            <w:r>
              <w:rPr>
                <w:rFonts w:ascii="Times New Roman" w:hAnsi="Times New Roman" w:eastAsia="Times New Roman"/>
                <w:b/>
                <w:i w:val="0"/>
                <w:sz w:val="22"/>
                <w:u w:val="none"/>
              </w:rPr>
              <w:t>Date: [DD/MM/2026]</w:t>
            </w:r>
          </w:p>
        </w:tc>
      </w:tr>
    </w:tbl>
    <w:p>
      <w:pPr>
        <w:spacing w:after="80" w:before="0" w:line="240" w:lineRule="auto"/>
      </w:pPr>
    </w:p>
    <w:p>
      <w:pPr>
        <w:spacing w:after="200" w:before="0" w:line="240" w:lineRule="auto"/>
      </w:pPr>
      <w:r>
        <w:rPr>
          <w:rFonts w:ascii="Times New Roman" w:hAnsi="Times New Roman" w:eastAsia="Times New Roman"/>
          <w:b/>
          <w:i w:val="0"/>
          <w:sz w:val="22"/>
          <w:u w:val="none"/>
        </w:rPr>
        <w:t xml:space="preserve">Problem Statement: </w:t>
      </w:r>
      <w:r>
        <w:rPr>
          <w:rFonts w:ascii="Times New Roman" w:hAnsi="Times New Roman" w:eastAsia="Times New Roman"/>
          <w:b/>
          <w:i w:val="0"/>
          <w:sz w:val="22"/>
          <w:u w:val="none"/>
        </w:rPr>
        <w:t>Multi-Channel Digital Marketing Attribution and Conversion Analysis (ChannelTrace)</w:t>
      </w:r>
    </w:p>
    <w:p>
      <w:pPr>
        <w:spacing w:after="120" w:before="0" w:line="240" w:lineRule="auto"/>
      </w:pPr>
      <w:r>
        <w:rPr>
          <w:rFonts w:ascii="Times New Roman" w:hAnsi="Times New Roman" w:eastAsia="Times New Roman"/>
          <w:b/>
          <w:i w:val="0"/>
          <w:sz w:val="22"/>
          <w:u w:val="none"/>
        </w:rPr>
        <w:t>SDG Goals aligned with the project:</w:t>
      </w:r>
    </w:p>
    <w:tbl>
      <w:tblPr>
        <w:tblW w:type="auto" w:w="0"/>
        <w:tblLook w:firstColumn="1" w:firstRow="1" w:lastColumn="0" w:lastRow="0" w:noHBand="0" w:noVBand="1" w:val="04A0"/>
        <w:jc w:val="center"/>
        <w:tblBorders>
          <w:top w:val="single" w:sz="6" w:color="000000"/>
          <w:left w:val="single" w:sz="6" w:color="000000"/>
          <w:bottom w:val="single" w:sz="6" w:color="000000"/>
          <w:right w:val="single" w:sz="6" w:color="000000"/>
          <w:insideH w:val="single" w:sz="6" w:color="000000"/>
          <w:insideV w:val="single" w:sz="6" w:color="000000"/>
        </w:tblBorders>
      </w:tblPr>
      <w:tblGrid>
        <w:gridCol w:w="5040"/>
        <w:gridCol w:w="5040"/>
      </w:tblGrid>
      <w:tr>
        <w:tc>
          <w:tcPr>
            <w:tcW w:type="dxa" w:w="2592"/>
          </w:tcPr>
          <w:p>
            <w:pPr>
              <w:spacing w:after="0"/>
            </w:pPr>
            <w:r/>
            <w:r>
              <w:rPr>
                <w:rFonts w:ascii="Times New Roman" w:hAnsi="Times New Roman" w:eastAsia="Times New Roman"/>
                <w:b/>
                <w:i w:val="0"/>
                <w:sz w:val="20"/>
                <w:u w:val="none"/>
              </w:rPr>
              <w:t>SDG No.</w:t>
            </w:r>
          </w:p>
        </w:tc>
        <w:tc>
          <w:tcPr>
            <w:tcW w:type="dxa" w:w="7056"/>
          </w:tcPr>
          <w:p>
            <w:pPr>
              <w:spacing w:after="0"/>
            </w:pPr>
            <w:r/>
            <w:r>
              <w:rPr>
                <w:rFonts w:ascii="Times New Roman" w:hAnsi="Times New Roman" w:eastAsia="Times New Roman"/>
                <w:b/>
                <w:i w:val="0"/>
                <w:sz w:val="20"/>
                <w:u w:val="none"/>
              </w:rPr>
              <w:t>Name</w:t>
            </w:r>
          </w:p>
        </w:tc>
      </w:tr>
      <w:tr>
        <w:tc>
          <w:tcPr>
            <w:tcW w:type="dxa" w:w="2592"/>
          </w:tcPr>
          <w:p>
            <w:pPr>
              <w:spacing w:after="0"/>
            </w:pPr>
            <w:r/>
            <w:r>
              <w:rPr>
                <w:rFonts w:ascii="Times New Roman" w:hAnsi="Times New Roman" w:eastAsia="Times New Roman"/>
                <w:b w:val="0"/>
                <w:i w:val="0"/>
                <w:sz w:val="20"/>
                <w:u w:val="none"/>
              </w:rPr>
              <w:t>SDG 8</w:t>
            </w:r>
          </w:p>
        </w:tc>
        <w:tc>
          <w:tcPr>
            <w:tcW w:type="dxa" w:w="7056"/>
          </w:tcPr>
          <w:p>
            <w:pPr>
              <w:spacing w:after="0"/>
            </w:pPr>
            <w:r/>
            <w:r>
              <w:rPr>
                <w:rFonts w:ascii="Times New Roman" w:hAnsi="Times New Roman" w:eastAsia="Times New Roman"/>
                <w:b w:val="0"/>
                <w:i w:val="0"/>
                <w:sz w:val="20"/>
                <w:u w:val="none"/>
              </w:rPr>
              <w:t>Decent Work and Economic Growth</w:t>
            </w:r>
          </w:p>
        </w:tc>
      </w:tr>
      <w:tr>
        <w:tc>
          <w:tcPr>
            <w:tcW w:type="dxa" w:w="2592"/>
          </w:tcPr>
          <w:p>
            <w:pPr>
              <w:spacing w:after="0"/>
            </w:pPr>
            <w:r/>
            <w:r>
              <w:rPr>
                <w:rFonts w:ascii="Times New Roman" w:hAnsi="Times New Roman" w:eastAsia="Times New Roman"/>
                <w:b w:val="0"/>
                <w:i w:val="0"/>
                <w:sz w:val="20"/>
                <w:u w:val="none"/>
              </w:rPr>
              <w:t>SDG 9</w:t>
            </w:r>
          </w:p>
        </w:tc>
        <w:tc>
          <w:tcPr>
            <w:tcW w:type="dxa" w:w="7056"/>
          </w:tcPr>
          <w:p>
            <w:pPr>
              <w:spacing w:after="0"/>
            </w:pPr>
            <w:r/>
            <w:r>
              <w:rPr>
                <w:rFonts w:ascii="Times New Roman" w:hAnsi="Times New Roman" w:eastAsia="Times New Roman"/>
                <w:b w:val="0"/>
                <w:i w:val="0"/>
                <w:sz w:val="20"/>
                <w:u w:val="none"/>
              </w:rPr>
              <w:t>Industry, Innovation and Infrastructure</w:t>
            </w:r>
          </w:p>
        </w:tc>
      </w:tr>
      <w:tr>
        <w:tc>
          <w:tcPr>
            <w:tcW w:type="dxa" w:w="2592"/>
          </w:tcPr>
          <w:p>
            <w:pPr>
              <w:spacing w:after="0"/>
            </w:pPr>
            <w:r/>
            <w:r>
              <w:rPr>
                <w:rFonts w:ascii="Times New Roman" w:hAnsi="Times New Roman" w:eastAsia="Times New Roman"/>
                <w:b w:val="0"/>
                <w:i w:val="0"/>
                <w:sz w:val="20"/>
                <w:u w:val="none"/>
              </w:rPr>
            </w:r>
          </w:p>
        </w:tc>
        <w:tc>
          <w:tcPr>
            <w:tcW w:type="dxa" w:w="7056"/>
          </w:tcPr>
          <w:p>
            <w:pPr>
              <w:spacing w:after="0"/>
            </w:pPr>
            <w:r/>
            <w:r>
              <w:rPr>
                <w:rFonts w:ascii="Times New Roman" w:hAnsi="Times New Roman" w:eastAsia="Times New Roman"/>
                <w:b w:val="0"/>
                <w:i w:val="0"/>
                <w:sz w:val="20"/>
                <w:u w:val="none"/>
              </w:rPr>
            </w:r>
          </w:p>
        </w:tc>
      </w:tr>
    </w:tbl>
    <w:p>
      <w:pPr>
        <w:spacing w:after="240" w:before="0" w:line="240" w:lineRule="auto"/>
      </w:pPr>
    </w:p>
    <w:p>
      <w:pPr>
        <w:spacing w:after="120" w:before="0" w:line="240" w:lineRule="auto"/>
      </w:pPr>
      <w:r>
        <w:rPr>
          <w:rFonts w:ascii="Times New Roman" w:hAnsi="Times New Roman" w:eastAsia="Times New Roman"/>
          <w:b/>
          <w:i w:val="0"/>
          <w:sz w:val="22"/>
          <w:u w:val="none"/>
        </w:rPr>
        <w:t>Team Members:</w:t>
      </w:r>
    </w:p>
    <w:tbl>
      <w:tblPr>
        <w:tblW w:type="auto" w:w="0"/>
        <w:tblLook w:firstColumn="1" w:firstRow="1" w:lastColumn="0" w:lastRow="0" w:noHBand="0" w:noVBand="1" w:val="04A0"/>
        <w:jc w:val="center"/>
        <w:tblBorders>
          <w:top w:val="single" w:sz="6" w:color="000000"/>
          <w:left w:val="single" w:sz="6" w:color="000000"/>
          <w:bottom w:val="single" w:sz="6" w:color="000000"/>
          <w:right w:val="single" w:sz="6" w:color="000000"/>
          <w:insideH w:val="single" w:sz="6" w:color="000000"/>
          <w:insideV w:val="single" w:sz="6" w:color="000000"/>
        </w:tblBorders>
      </w:tblPr>
      <w:tblGrid>
        <w:gridCol w:w="1680"/>
        <w:gridCol w:w="1680"/>
        <w:gridCol w:w="1680"/>
        <w:gridCol w:w="1680"/>
        <w:gridCol w:w="1680"/>
        <w:gridCol w:w="1680"/>
      </w:tblGrid>
      <w:tr>
        <w:tc>
          <w:tcPr>
            <w:tcW w:type="dxa" w:w="1368"/>
          </w:tcPr>
          <w:p>
            <w:pPr>
              <w:spacing w:after="0"/>
              <w:jc w:val="center"/>
            </w:pPr>
            <w:r/>
            <w:r>
              <w:rPr>
                <w:rFonts w:ascii="Times New Roman" w:hAnsi="Times New Roman" w:eastAsia="Times New Roman"/>
                <w:b/>
                <w:i w:val="0"/>
                <w:sz w:val="20"/>
                <w:u w:val="none"/>
              </w:rPr>
              <w:t>PRN No</w:t>
            </w:r>
          </w:p>
        </w:tc>
        <w:tc>
          <w:tcPr>
            <w:tcW w:type="dxa" w:w="2232"/>
          </w:tcPr>
          <w:p>
            <w:pPr>
              <w:spacing w:after="0"/>
              <w:jc w:val="center"/>
            </w:pPr>
            <w:r/>
            <w:r>
              <w:rPr>
                <w:rFonts w:ascii="Times New Roman" w:hAnsi="Times New Roman" w:eastAsia="Times New Roman"/>
                <w:b/>
                <w:i w:val="0"/>
                <w:sz w:val="20"/>
                <w:u w:val="none"/>
              </w:rPr>
              <w:t>Name of Student</w:t>
            </w:r>
          </w:p>
        </w:tc>
        <w:tc>
          <w:tcPr>
            <w:tcW w:type="dxa" w:w="1656"/>
          </w:tcPr>
          <w:p>
            <w:pPr>
              <w:spacing w:after="0"/>
              <w:jc w:val="center"/>
            </w:pPr>
            <w:r/>
            <w:r>
              <w:rPr>
                <w:rFonts w:ascii="Times New Roman" w:hAnsi="Times New Roman" w:eastAsia="Times New Roman"/>
                <w:b/>
                <w:i w:val="0"/>
                <w:sz w:val="20"/>
                <w:u w:val="none"/>
              </w:rPr>
              <w:t>Department</w:t>
            </w:r>
          </w:p>
        </w:tc>
        <w:tc>
          <w:tcPr>
            <w:tcW w:type="dxa" w:w="1944"/>
          </w:tcPr>
          <w:p>
            <w:pPr>
              <w:spacing w:after="0"/>
              <w:jc w:val="center"/>
            </w:pPr>
            <w:r/>
            <w:r>
              <w:rPr>
                <w:rFonts w:ascii="Times New Roman" w:hAnsi="Times New Roman" w:eastAsia="Times New Roman"/>
                <w:b/>
                <w:i w:val="0"/>
                <w:sz w:val="20"/>
                <w:u w:val="none"/>
              </w:rPr>
              <w:t>Mail-id</w:t>
            </w:r>
          </w:p>
        </w:tc>
        <w:tc>
          <w:tcPr>
            <w:tcW w:type="dxa" w:w="1440"/>
          </w:tcPr>
          <w:p>
            <w:pPr>
              <w:spacing w:after="0"/>
              <w:jc w:val="center"/>
            </w:pPr>
            <w:r/>
            <w:r>
              <w:rPr>
                <w:rFonts w:ascii="Times New Roman" w:hAnsi="Times New Roman" w:eastAsia="Times New Roman"/>
                <w:b/>
                <w:i w:val="0"/>
                <w:sz w:val="20"/>
                <w:u w:val="none"/>
              </w:rPr>
              <w:t>Contact No.</w:t>
            </w:r>
          </w:p>
        </w:tc>
        <w:tc>
          <w:tcPr>
            <w:tcW w:type="dxa" w:w="1440"/>
          </w:tcPr>
          <w:p>
            <w:pPr>
              <w:spacing w:after="0"/>
              <w:jc w:val="center"/>
            </w:pPr>
            <w:r/>
            <w:r>
              <w:rPr>
                <w:rFonts w:ascii="Times New Roman" w:hAnsi="Times New Roman" w:eastAsia="Times New Roman"/>
                <w:b/>
                <w:i w:val="0"/>
                <w:sz w:val="20"/>
                <w:u w:val="none"/>
              </w:rPr>
              <w:t>Signature</w:t>
            </w:r>
          </w:p>
        </w:tc>
      </w:tr>
      <w:tr>
        <w:trPr>
          <w:trHeight w:val="432"/>
        </w:trPr>
        <w:tc>
          <w:tcPr>
            <w:tcW w:type="dxa" w:w="1368"/>
          </w:tcPr>
          <w:p>
            <w:pPr>
              <w:spacing w:after="0"/>
            </w:pPr>
            <w:r/>
            <w:r>
              <w:rPr>
                <w:rFonts w:ascii="Times New Roman" w:hAnsi="Times New Roman" w:eastAsia="Times New Roman"/>
                <w:b w:val="0"/>
                <w:i w:val="0"/>
                <w:sz w:val="20"/>
                <w:u w:val="none"/>
              </w:rPr>
            </w:r>
          </w:p>
        </w:tc>
        <w:tc>
          <w:tcPr>
            <w:tcW w:type="dxa" w:w="2232"/>
          </w:tcPr>
          <w:p>
            <w:pPr>
              <w:spacing w:after="0"/>
            </w:pPr>
            <w:r/>
            <w:r>
              <w:rPr>
                <w:rFonts w:ascii="Times New Roman" w:hAnsi="Times New Roman" w:eastAsia="Times New Roman"/>
                <w:b w:val="0"/>
                <w:i w:val="0"/>
                <w:sz w:val="20"/>
                <w:u w:val="none"/>
              </w:rPr>
              <w:t>Nishaad Gangal</w:t>
            </w:r>
          </w:p>
        </w:tc>
        <w:tc>
          <w:tcPr>
            <w:tcW w:type="dxa" w:w="1656"/>
          </w:tcPr>
          <w:p>
            <w:pPr>
              <w:spacing w:after="0"/>
            </w:pPr>
            <w:r/>
            <w:r>
              <w:rPr>
                <w:rFonts w:ascii="Times New Roman" w:hAnsi="Times New Roman" w:eastAsia="Times New Roman"/>
                <w:b w:val="0"/>
                <w:i w:val="0"/>
                <w:sz w:val="20"/>
                <w:u w:val="none"/>
              </w:rPr>
            </w:r>
          </w:p>
        </w:tc>
        <w:tc>
          <w:tcPr>
            <w:tcW w:type="dxa" w:w="1944"/>
          </w:tcPr>
          <w:p>
            <w:pPr>
              <w:spacing w:after="0"/>
            </w:pPr>
            <w:r/>
            <w:r>
              <w:rPr>
                <w:rFonts w:ascii="Times New Roman" w:hAnsi="Times New Roman" w:eastAsia="Times New Roman"/>
                <w:b w:val="0"/>
                <w:i w:val="0"/>
                <w:sz w:val="20"/>
                <w:u w:val="none"/>
              </w:rPr>
              <w:t>nishaad.gangal23@pccoepune.org</w:t>
            </w:r>
          </w:p>
        </w:tc>
        <w:tc>
          <w:tcPr>
            <w:tcW w:type="dxa" w:w="1440"/>
          </w:tcPr>
          <w:p>
            <w:pPr>
              <w:spacing w:after="0"/>
            </w:pPr>
            <w:r/>
            <w:r>
              <w:rPr>
                <w:rFonts w:ascii="Times New Roman" w:hAnsi="Times New Roman" w:eastAsia="Times New Roman"/>
                <w:b w:val="0"/>
                <w:i w:val="0"/>
                <w:sz w:val="20"/>
                <w:u w:val="none"/>
              </w:rPr>
            </w:r>
          </w:p>
        </w:tc>
        <w:tc>
          <w:tcPr>
            <w:tcW w:type="dxa" w:w="1440"/>
          </w:tcPr>
          <w:p/>
        </w:tc>
      </w:tr>
      <w:tr>
        <w:trPr>
          <w:trHeight w:val="432"/>
        </w:trPr>
        <w:tc>
          <w:tcPr>
            <w:tcW w:type="dxa" w:w="1368"/>
          </w:tcPr>
          <w:p>
            <w:pPr>
              <w:spacing w:after="0"/>
            </w:pPr>
            <w:r/>
            <w:r>
              <w:rPr>
                <w:rFonts w:ascii="Times New Roman" w:hAnsi="Times New Roman" w:eastAsia="Times New Roman"/>
                <w:b w:val="0"/>
                <w:i w:val="0"/>
                <w:sz w:val="20"/>
                <w:u w:val="none"/>
              </w:rPr>
            </w:r>
          </w:p>
        </w:tc>
        <w:tc>
          <w:tcPr>
            <w:tcW w:type="dxa" w:w="2232"/>
          </w:tcPr>
          <w:p>
            <w:pPr>
              <w:spacing w:after="0"/>
            </w:pPr>
            <w:r/>
            <w:r>
              <w:rPr>
                <w:rFonts w:ascii="Times New Roman" w:hAnsi="Times New Roman" w:eastAsia="Times New Roman"/>
                <w:b w:val="0"/>
                <w:i w:val="0"/>
                <w:sz w:val="20"/>
                <w:u w:val="none"/>
              </w:rPr>
              <w:t>Om Katole</w:t>
            </w:r>
          </w:p>
        </w:tc>
        <w:tc>
          <w:tcPr>
            <w:tcW w:type="dxa" w:w="1656"/>
          </w:tcPr>
          <w:p>
            <w:pPr>
              <w:spacing w:after="0"/>
            </w:pPr>
            <w:r/>
            <w:r>
              <w:rPr>
                <w:rFonts w:ascii="Times New Roman" w:hAnsi="Times New Roman" w:eastAsia="Times New Roman"/>
                <w:b w:val="0"/>
                <w:i w:val="0"/>
                <w:sz w:val="20"/>
                <w:u w:val="none"/>
              </w:rPr>
            </w:r>
          </w:p>
        </w:tc>
        <w:tc>
          <w:tcPr>
            <w:tcW w:type="dxa" w:w="1944"/>
          </w:tcPr>
          <w:p>
            <w:pPr>
              <w:spacing w:after="0"/>
            </w:pPr>
            <w:r/>
            <w:r>
              <w:rPr>
                <w:rFonts w:ascii="Times New Roman" w:hAnsi="Times New Roman" w:eastAsia="Times New Roman"/>
                <w:b w:val="0"/>
                <w:i w:val="0"/>
                <w:sz w:val="20"/>
                <w:u w:val="none"/>
              </w:rPr>
              <w:t>om.katole23@pccoepune.org</w:t>
            </w:r>
          </w:p>
        </w:tc>
        <w:tc>
          <w:tcPr>
            <w:tcW w:type="dxa" w:w="1440"/>
          </w:tcPr>
          <w:p>
            <w:pPr>
              <w:spacing w:after="0"/>
            </w:pPr>
            <w:r/>
            <w:r>
              <w:rPr>
                <w:rFonts w:ascii="Times New Roman" w:hAnsi="Times New Roman" w:eastAsia="Times New Roman"/>
                <w:b w:val="0"/>
                <w:i w:val="0"/>
                <w:sz w:val="20"/>
                <w:u w:val="none"/>
              </w:rPr>
            </w:r>
          </w:p>
        </w:tc>
        <w:tc>
          <w:tcPr>
            <w:tcW w:type="dxa" w:w="1440"/>
          </w:tcPr>
          <w:p/>
        </w:tc>
      </w:tr>
      <w:tr>
        <w:trPr>
          <w:trHeight w:val="432"/>
        </w:trPr>
        <w:tc>
          <w:tcPr>
            <w:tcW w:type="dxa" w:w="1368"/>
          </w:tcPr>
          <w:p>
            <w:pPr>
              <w:spacing w:after="0"/>
            </w:pPr>
            <w:r/>
            <w:r>
              <w:rPr>
                <w:rFonts w:ascii="Times New Roman" w:hAnsi="Times New Roman" w:eastAsia="Times New Roman"/>
                <w:b w:val="0"/>
                <w:i w:val="0"/>
                <w:sz w:val="20"/>
                <w:u w:val="none"/>
              </w:rPr>
            </w:r>
          </w:p>
        </w:tc>
        <w:tc>
          <w:tcPr>
            <w:tcW w:type="dxa" w:w="2232"/>
          </w:tcPr>
          <w:p>
            <w:pPr>
              <w:spacing w:after="0"/>
            </w:pPr>
            <w:r/>
            <w:r>
              <w:rPr>
                <w:rFonts w:ascii="Times New Roman" w:hAnsi="Times New Roman" w:eastAsia="Times New Roman"/>
                <w:b w:val="0"/>
                <w:i w:val="0"/>
                <w:sz w:val="20"/>
                <w:u w:val="none"/>
              </w:rPr>
              <w:t>Satyam Kumar</w:t>
            </w:r>
          </w:p>
        </w:tc>
        <w:tc>
          <w:tcPr>
            <w:tcW w:type="dxa" w:w="1656"/>
          </w:tcPr>
          <w:p>
            <w:pPr>
              <w:spacing w:after="0"/>
            </w:pPr>
            <w:r/>
            <w:r>
              <w:rPr>
                <w:rFonts w:ascii="Times New Roman" w:hAnsi="Times New Roman" w:eastAsia="Times New Roman"/>
                <w:b w:val="0"/>
                <w:i w:val="0"/>
                <w:sz w:val="20"/>
                <w:u w:val="none"/>
              </w:rPr>
            </w:r>
          </w:p>
        </w:tc>
        <w:tc>
          <w:tcPr>
            <w:tcW w:type="dxa" w:w="1944"/>
          </w:tcPr>
          <w:p>
            <w:pPr>
              <w:spacing w:after="0"/>
            </w:pPr>
            <w:r/>
            <w:r>
              <w:rPr>
                <w:rFonts w:ascii="Times New Roman" w:hAnsi="Times New Roman" w:eastAsia="Times New Roman"/>
                <w:b w:val="0"/>
                <w:i w:val="0"/>
                <w:sz w:val="20"/>
                <w:u w:val="none"/>
              </w:rPr>
              <w:t>satyam.kumar23@pccoepune.org</w:t>
            </w:r>
          </w:p>
        </w:tc>
        <w:tc>
          <w:tcPr>
            <w:tcW w:type="dxa" w:w="1440"/>
          </w:tcPr>
          <w:p>
            <w:pPr>
              <w:spacing w:after="0"/>
            </w:pPr>
            <w:r/>
            <w:r>
              <w:rPr>
                <w:rFonts w:ascii="Times New Roman" w:hAnsi="Times New Roman" w:eastAsia="Times New Roman"/>
                <w:b w:val="0"/>
                <w:i w:val="0"/>
                <w:sz w:val="20"/>
                <w:u w:val="none"/>
              </w:rPr>
            </w:r>
          </w:p>
        </w:tc>
        <w:tc>
          <w:tcPr>
            <w:tcW w:type="dxa" w:w="1440"/>
          </w:tcPr>
          <w:p/>
        </w:tc>
      </w:tr>
      <w:tr>
        <w:trPr>
          <w:trHeight w:val="432"/>
        </w:trPr>
        <w:tc>
          <w:tcPr>
            <w:tcW w:type="dxa" w:w="1368"/>
          </w:tcPr>
          <w:p>
            <w:pPr>
              <w:spacing w:after="0"/>
            </w:pPr>
            <w:r/>
            <w:r>
              <w:rPr>
                <w:rFonts w:ascii="Times New Roman" w:hAnsi="Times New Roman" w:eastAsia="Times New Roman"/>
                <w:b w:val="0"/>
                <w:i w:val="0"/>
                <w:sz w:val="20"/>
                <w:u w:val="none"/>
              </w:rPr>
            </w:r>
          </w:p>
        </w:tc>
        <w:tc>
          <w:tcPr>
            <w:tcW w:type="dxa" w:w="2232"/>
          </w:tcPr>
          <w:p>
            <w:pPr>
              <w:spacing w:after="0"/>
            </w:pPr>
            <w:r/>
            <w:r>
              <w:rPr>
                <w:rFonts w:ascii="Times New Roman" w:hAnsi="Times New Roman" w:eastAsia="Times New Roman"/>
                <w:b w:val="0"/>
                <w:i w:val="0"/>
                <w:sz w:val="20"/>
                <w:u w:val="none"/>
              </w:rPr>
              <w:t>Akshat Jhanwar</w:t>
            </w:r>
          </w:p>
        </w:tc>
        <w:tc>
          <w:tcPr>
            <w:tcW w:type="dxa" w:w="1656"/>
          </w:tcPr>
          <w:p>
            <w:pPr>
              <w:spacing w:after="0"/>
            </w:pPr>
            <w:r/>
            <w:r>
              <w:rPr>
                <w:rFonts w:ascii="Times New Roman" w:hAnsi="Times New Roman" w:eastAsia="Times New Roman"/>
                <w:b w:val="0"/>
                <w:i w:val="0"/>
                <w:sz w:val="20"/>
                <w:u w:val="none"/>
              </w:rPr>
            </w:r>
          </w:p>
        </w:tc>
        <w:tc>
          <w:tcPr>
            <w:tcW w:type="dxa" w:w="1944"/>
          </w:tcPr>
          <w:p>
            <w:pPr>
              <w:spacing w:after="0"/>
            </w:pPr>
            <w:r/>
            <w:r>
              <w:rPr>
                <w:rFonts w:ascii="Times New Roman" w:hAnsi="Times New Roman" w:eastAsia="Times New Roman"/>
                <w:b w:val="0"/>
                <w:i w:val="0"/>
                <w:sz w:val="20"/>
                <w:u w:val="none"/>
              </w:rPr>
              <w:t>akshat.jhanwar23@pccoepune.org</w:t>
            </w:r>
          </w:p>
        </w:tc>
        <w:tc>
          <w:tcPr>
            <w:tcW w:type="dxa" w:w="1440"/>
          </w:tcPr>
          <w:p>
            <w:pPr>
              <w:spacing w:after="0"/>
            </w:pPr>
            <w:r/>
            <w:r>
              <w:rPr>
                <w:rFonts w:ascii="Times New Roman" w:hAnsi="Times New Roman" w:eastAsia="Times New Roman"/>
                <w:b w:val="0"/>
                <w:i w:val="0"/>
                <w:sz w:val="20"/>
                <w:u w:val="none"/>
              </w:rPr>
            </w:r>
          </w:p>
        </w:tc>
        <w:tc>
          <w:tcPr>
            <w:tcW w:type="dxa" w:w="1440"/>
          </w:tcPr>
          <w:p/>
        </w:tc>
      </w:tr>
    </w:tbl>
    <w:p>
      <w:pPr>
        <w:spacing w:after="360" w:before="0" w:line="240" w:lineRule="auto"/>
      </w:pPr>
    </w:p>
    <w:p>
      <w:pPr>
        <w:spacing w:after="80" w:before="0" w:line="240" w:lineRule="auto"/>
      </w:pPr>
      <w:r>
        <w:rPr>
          <w:rFonts w:ascii="Times New Roman" w:hAnsi="Times New Roman" w:eastAsia="Times New Roman"/>
          <w:b/>
          <w:i w:val="0"/>
          <w:sz w:val="22"/>
          <w:u w:val="none"/>
        </w:rPr>
        <w:t xml:space="preserve">Project Guide: </w:t>
      </w:r>
      <w:r>
        <w:rPr>
          <w:rFonts w:ascii="Times New Roman" w:hAnsi="Times New Roman" w:eastAsia="Times New Roman"/>
          <w:b/>
          <w:i w:val="0"/>
          <w:sz w:val="22"/>
          <w:u w:val="none"/>
        </w:rPr>
        <w:t>Minal Shahakar</w:t>
      </w:r>
    </w:p>
    <w:p>
      <w:r>
        <w:br w:type="page"/>
      </w:r>
    </w:p>
    <w:p>
      <w:pPr>
        <w:spacing w:after="80" w:before="240" w:line="240" w:lineRule="auto"/>
      </w:pPr>
      <w:r>
        <w:rPr>
          <w:rFonts w:ascii="Times New Roman" w:hAnsi="Times New Roman" w:eastAsia="Times New Roman"/>
          <w:b/>
          <w:i w:val="0"/>
          <w:sz w:val="26"/>
          <w:u w:val="none"/>
        </w:rPr>
        <w:t>1) Introduction</w:t>
      </w:r>
    </w:p>
    <w:p>
      <w:pPr>
        <w:spacing w:after="40" w:before="120" w:line="240" w:lineRule="auto"/>
      </w:pPr>
      <w:r>
        <w:rPr>
          <w:rFonts w:ascii="Times New Roman" w:hAnsi="Times New Roman" w:eastAsia="Times New Roman"/>
          <w:b/>
          <w:i w:val="0"/>
          <w:sz w:val="22"/>
          <w:u w:val="none"/>
        </w:rPr>
        <w:t>Background of the Selected Business/Domain</w:t>
      </w:r>
    </w:p>
    <w:p>
      <w:pPr>
        <w:spacing w:after="120" w:before="0" w:line="240" w:lineRule="auto"/>
        <w:jc w:val="both"/>
      </w:pPr>
      <w:r>
        <w:rPr>
          <w:rFonts w:ascii="Times New Roman" w:hAnsi="Times New Roman" w:eastAsia="Times New Roman"/>
          <w:b w:val="0"/>
          <w:i w:val="0"/>
          <w:sz w:val="22"/>
          <w:u w:val="none"/>
        </w:rPr>
        <w:t>Customers rarely buy a product after a single interaction with a brand. A typical online purchase is preceded by several touchpoints across different digital channels: a person may first see a social media advertisement, later search for the product on Google, open a promotional email, return to the website directly and only then complete the purchase. Businesses of every size now spend across search, social, display, email and referral channels at the same time, yet they usually see only the final sale and not the path that led to it.</w:t>
      </w:r>
    </w:p>
    <w:p>
      <w:pPr>
        <w:spacing w:after="40" w:before="120" w:line="240" w:lineRule="auto"/>
      </w:pPr>
      <w:r>
        <w:rPr>
          <w:rFonts w:ascii="Times New Roman" w:hAnsi="Times New Roman" w:eastAsia="Times New Roman"/>
          <w:b/>
          <w:i w:val="0"/>
          <w:sz w:val="22"/>
          <w:u w:val="none"/>
        </w:rPr>
        <w:t>Role of Digital Marketing</w:t>
      </w:r>
    </w:p>
    <w:p>
      <w:pPr>
        <w:spacing w:after="120" w:before="0" w:line="240" w:lineRule="auto"/>
        <w:jc w:val="both"/>
      </w:pPr>
      <w:r>
        <w:rPr>
          <w:rFonts w:ascii="Times New Roman" w:hAnsi="Times New Roman" w:eastAsia="Times New Roman"/>
          <w:b w:val="0"/>
          <w:i w:val="0"/>
          <w:sz w:val="22"/>
          <w:u w:val="none"/>
        </w:rPr>
        <w:t>Digital marketing makes these interactions measurable. Every advertising platform reports impressions, clicks, spend and conversions, and web analytics tools record the channel through which each visit arrives. Marketing attribution uses this data to decide how much credit each channel deserves for a conversion. The answer directly shapes budget decisions: a channel that receives little credit is often cut, even when it plays an important role earlier in the customer journey.</w:t>
      </w:r>
    </w:p>
    <w:p>
      <w:pPr>
        <w:spacing w:after="40" w:before="120" w:line="240" w:lineRule="auto"/>
      </w:pPr>
      <w:r>
        <w:rPr>
          <w:rFonts w:ascii="Times New Roman" w:hAnsi="Times New Roman" w:eastAsia="Times New Roman"/>
          <w:b/>
          <w:i w:val="0"/>
          <w:sz w:val="22"/>
          <w:u w:val="none"/>
        </w:rPr>
        <w:t>Motivation</w:t>
      </w:r>
    </w:p>
    <w:p>
      <w:pPr>
        <w:spacing w:after="120" w:before="0" w:line="240" w:lineRule="auto"/>
        <w:jc w:val="both"/>
      </w:pPr>
      <w:r>
        <w:rPr>
          <w:rFonts w:ascii="Times New Roman" w:hAnsi="Times New Roman" w:eastAsia="Times New Roman"/>
          <w:b w:val="0"/>
          <w:i w:val="0"/>
          <w:sz w:val="22"/>
          <w:u w:val="none"/>
        </w:rPr>
        <w:t>Most ad platforms report conversions using their own view, typically last-click, so several platforms can claim the same sale while channels that start journeys appear to contribute little. Advanced attribution tools exist, but they are usually tied to a single platform or require paid subscriptions, and small businesses rarely have the analytical skills to interpret them. The motivation of this project is to study, with real public data, how much a channel's apparent value depends on the attribution rule used, and to turn these methods into a free, easy-to-use tool with an AI assistant that explains the results in plain language.</w:t>
      </w:r>
    </w:p>
    <w:p>
      <w:pPr>
        <w:spacing w:after="80" w:before="240" w:line="240" w:lineRule="auto"/>
      </w:pPr>
      <w:r>
        <w:rPr>
          <w:rFonts w:ascii="Times New Roman" w:hAnsi="Times New Roman" w:eastAsia="Times New Roman"/>
          <w:b/>
          <w:i w:val="0"/>
          <w:sz w:val="26"/>
          <w:u w:val="none"/>
        </w:rPr>
        <w:t>2) Literature / Market Review</w:t>
      </w:r>
    </w:p>
    <w:p>
      <w:pPr>
        <w:spacing w:after="40" w:before="120" w:line="240" w:lineRule="auto"/>
      </w:pPr>
      <w:r>
        <w:rPr>
          <w:rFonts w:ascii="Times New Roman" w:hAnsi="Times New Roman" w:eastAsia="Times New Roman"/>
          <w:b/>
          <w:i w:val="0"/>
          <w:sz w:val="22"/>
          <w:u w:val="none"/>
        </w:rPr>
        <w:t>Research Paper 1 – Multichannel Conversion Attribution</w:t>
      </w:r>
    </w:p>
    <w:p>
      <w:pPr>
        <w:spacing w:after="120" w:before="0" w:line="240" w:lineRule="auto"/>
        <w:jc w:val="both"/>
      </w:pPr>
      <w:r>
        <w:rPr>
          <w:rFonts w:ascii="Times New Roman" w:hAnsi="Times New Roman" w:eastAsia="Times New Roman"/>
          <w:b w:val="0"/>
          <w:i w:val="0"/>
          <w:sz w:val="22"/>
          <w:u w:val="none"/>
        </w:rPr>
        <w:t>Li and Kannan (2014) developed an empirical model of how customers consider and visit a firm's online channels before converting, using individual-level touchpoint data, and validated it with a field experiment. The study shows that the contribution of channels estimated by the model differs considerably from what simple metrics such as last click suggest, because channels influence each other through carryover and spillover effects. This directly supports our research question on whether channel importance changes under different attribution approaches.</w:t>
      </w:r>
    </w:p>
    <w:p>
      <w:pPr>
        <w:spacing w:after="40" w:before="120" w:line="240" w:lineRule="auto"/>
      </w:pPr>
      <w:r>
        <w:rPr>
          <w:rFonts w:ascii="Times New Roman" w:hAnsi="Times New Roman" w:eastAsia="Times New Roman"/>
          <w:b/>
          <w:i w:val="0"/>
          <w:sz w:val="22"/>
          <w:u w:val="none"/>
        </w:rPr>
        <w:t>Research Paper 2 – Data-Driven Multi-Touch Attribution</w:t>
      </w:r>
    </w:p>
    <w:p>
      <w:pPr>
        <w:spacing w:after="120" w:before="0" w:line="240" w:lineRule="auto"/>
        <w:jc w:val="both"/>
      </w:pPr>
      <w:r>
        <w:rPr>
          <w:rFonts w:ascii="Times New Roman" w:hAnsi="Times New Roman" w:eastAsia="Times New Roman"/>
          <w:b w:val="0"/>
          <w:i w:val="0"/>
          <w:sz w:val="22"/>
          <w:u w:val="none"/>
        </w:rPr>
        <w:t>Shao and Li (2011) proposed data-driven multi-touch attribution models that learn the contribution of each advertising channel from both converting and non-converting user histories, instead of relying on fixed rules. They also argued that an attribution model should be judged on both accuracy and stability. This work motivates the inclusion of data-driven models (Shapley value) alongside rule-based models in our project, and our use of stability checks such as bootstrap confidence intervals.</w:t>
      </w:r>
    </w:p>
    <w:p>
      <w:pPr>
        <w:spacing w:after="40" w:before="120" w:line="240" w:lineRule="auto"/>
      </w:pPr>
      <w:r>
        <w:rPr>
          <w:rFonts w:ascii="Times New Roman" w:hAnsi="Times New Roman" w:eastAsia="Times New Roman"/>
          <w:b/>
          <w:i w:val="0"/>
          <w:sz w:val="22"/>
          <w:u w:val="none"/>
        </w:rPr>
        <w:t>Research Paper 3 – Graph-Based (Markov) Attribution</w:t>
      </w:r>
    </w:p>
    <w:p>
      <w:pPr>
        <w:spacing w:after="120" w:before="0" w:line="240" w:lineRule="auto"/>
        <w:jc w:val="both"/>
      </w:pPr>
      <w:r>
        <w:rPr>
          <w:rFonts w:ascii="Times New Roman" w:hAnsi="Times New Roman" w:eastAsia="Times New Roman"/>
          <w:b w:val="0"/>
          <w:i w:val="0"/>
          <w:sz w:val="22"/>
          <w:u w:val="none"/>
        </w:rPr>
        <w:t>Anderl, Becker, von Wangenheim and Schumann (2016) introduced a graph-based framework that represents customer journeys as Markov chains and measures each channel's importance through its removal effect, that is, how much the probability of conversion falls when the channel is removed. Applied to large customer-journey datasets, the framework showed that common heuristic models misallocate credit. Our project implements this Markov removal-effect model as one of its two data-driven attribution methods.</w:t>
      </w:r>
    </w:p>
    <w:p>
      <w:pPr>
        <w:spacing w:after="40" w:before="120" w:line="240" w:lineRule="auto"/>
      </w:pPr>
      <w:r>
        <w:rPr>
          <w:rFonts w:ascii="Times New Roman" w:hAnsi="Times New Roman" w:eastAsia="Times New Roman"/>
          <w:b/>
          <w:i w:val="0"/>
          <w:sz w:val="22"/>
          <w:u w:val="none"/>
        </w:rPr>
        <w:t>Research Paper 4 – Predicting Purchase Intention from Session Behaviour</w:t>
      </w:r>
    </w:p>
    <w:p>
      <w:pPr>
        <w:spacing w:after="120" w:before="0" w:line="240" w:lineRule="auto"/>
        <w:jc w:val="both"/>
      </w:pPr>
      <w:r>
        <w:rPr>
          <w:rFonts w:ascii="Times New Roman" w:hAnsi="Times New Roman" w:eastAsia="Times New Roman"/>
          <w:b w:val="0"/>
          <w:i w:val="0"/>
          <w:sz w:val="22"/>
          <w:u w:val="none"/>
        </w:rPr>
        <w:t>Sakar, Polat, Katircioglu and Kastro (2019) used clickstream and session information from an online store to predict whether a visit will end in a purchase, comparing several machine-learning classifiers. Their work, and the public UCI dataset released with it, shows that session behaviour such as pages viewed, time spent and page value is strongly associated with purchase. We use this dataset to study which visitor and session characteristics are associated with conversion.</w:t>
      </w:r>
    </w:p>
    <w:p>
      <w:pPr>
        <w:spacing w:after="40" w:before="120" w:line="240" w:lineRule="auto"/>
      </w:pPr>
      <w:r>
        <w:rPr>
          <w:rFonts w:ascii="Times New Roman" w:hAnsi="Times New Roman" w:eastAsia="Times New Roman"/>
          <w:b/>
          <w:i w:val="0"/>
          <w:sz w:val="22"/>
          <w:u w:val="none"/>
        </w:rPr>
        <w:t>Research Paper 5 – Attribution in Display Advertising</w:t>
      </w:r>
    </w:p>
    <w:p>
      <w:pPr>
        <w:spacing w:after="120" w:before="0" w:line="240" w:lineRule="auto"/>
        <w:jc w:val="both"/>
      </w:pPr>
      <w:r>
        <w:rPr>
          <w:rFonts w:ascii="Times New Roman" w:hAnsi="Times New Roman" w:eastAsia="Times New Roman"/>
          <w:b w:val="0"/>
          <w:i w:val="0"/>
          <w:sz w:val="22"/>
          <w:u w:val="none"/>
        </w:rPr>
        <w:t>Diemert, Meynet, Galland and Lefortier (2017) studied attribution modelling for real-time bidding in display advertising and released the Criteo attribution dataset of 16.5 million impressions. Their work shows that taking attribution into account improves advertising efficiency, and the dataset allows us to study how credit is spread across repeated advertising exposures and how often last-click credit misses earlier impressions.</w:t>
      </w:r>
    </w:p>
    <w:p>
      <w:pPr>
        <w:spacing w:after="40" w:before="120" w:line="240" w:lineRule="auto"/>
      </w:pPr>
      <w:r>
        <w:rPr>
          <w:rFonts w:ascii="Times New Roman" w:hAnsi="Times New Roman" w:eastAsia="Times New Roman"/>
          <w:b/>
          <w:i w:val="0"/>
          <w:sz w:val="22"/>
          <w:u w:val="none"/>
        </w:rPr>
        <w:t>Existing Market Solutions</w:t>
      </w:r>
    </w:p>
    <w:p>
      <w:pPr>
        <w:spacing w:after="120" w:before="0" w:line="240" w:lineRule="auto"/>
        <w:jc w:val="both"/>
      </w:pPr>
      <w:r>
        <w:rPr>
          <w:rFonts w:ascii="Times New Roman" w:hAnsi="Times New Roman" w:eastAsia="Times New Roman"/>
          <w:b w:val="0"/>
          <w:i w:val="0"/>
          <w:sz w:val="22"/>
          <w:u w:val="none"/>
        </w:rPr>
        <w:t>Google Analytics 4 offers attribution reports including a data-driven model, Google Ads and Meta Ads Manager each report conversions attributed to their own campaigns, and commercial multi-touch attribution platforms combine data from several sources. These tools are useful, but each platform naturally reports from its own perspective, the multi-source tools are paid, and none of them explain their results in plain language for a small business owner.</w:t>
      </w:r>
    </w:p>
    <w:p>
      <w:pPr>
        <w:spacing w:after="80" w:before="240" w:line="240" w:lineRule="auto"/>
      </w:pPr>
      <w:r>
        <w:rPr>
          <w:rFonts w:ascii="Times New Roman" w:hAnsi="Times New Roman" w:eastAsia="Times New Roman"/>
          <w:b/>
          <w:i w:val="0"/>
          <w:sz w:val="26"/>
          <w:u w:val="none"/>
        </w:rPr>
        <w:t>3) Gap Identification</w:t>
      </w:r>
    </w:p>
    <w:p>
      <w:pPr>
        <w:spacing w:after="40" w:before="120" w:line="240" w:lineRule="auto"/>
      </w:pPr>
      <w:r>
        <w:rPr>
          <w:rFonts w:ascii="Times New Roman" w:hAnsi="Times New Roman" w:eastAsia="Times New Roman"/>
          <w:b/>
          <w:i w:val="0"/>
          <w:sz w:val="22"/>
          <w:u w:val="none"/>
        </w:rPr>
        <w:t>Existing Solutions Provide</w:t>
      </w:r>
    </w:p>
    <w:p>
      <w:pPr>
        <w:spacing w:after="120" w:before="0" w:line="240" w:lineRule="auto"/>
        <w:jc w:val="both"/>
      </w:pPr>
      <w:r>
        <w:rPr>
          <w:rFonts w:ascii="Times New Roman" w:hAnsi="Times New Roman" w:eastAsia="Times New Roman"/>
          <w:b w:val="0"/>
          <w:i w:val="0"/>
          <w:sz w:val="22"/>
          <w:u w:val="none"/>
        </w:rPr>
        <w:t>Existing tools and research provide several useful capabilities:</w:t>
      </w:r>
    </w:p>
    <w:p>
      <w:pPr>
        <w:pStyle w:val="ListBullet"/>
        <w:spacing w:after="60" w:line="240" w:lineRule="auto"/>
      </w:pPr>
      <w:r>
        <w:rPr>
          <w:rFonts w:ascii="Times New Roman" w:hAnsi="Times New Roman" w:eastAsia="Times New Roman"/>
          <w:b w:val="0"/>
          <w:i w:val="0"/>
          <w:sz w:val="22"/>
          <w:u w:val="none"/>
        </w:rPr>
        <w:t>Ad platform reports (Google Ads, Meta Ads Manager) provide spend, clicks and conversions for their own campaigns.</w:t>
      </w:r>
    </w:p>
    <w:p>
      <w:pPr>
        <w:pStyle w:val="ListBullet"/>
        <w:spacing w:after="60" w:line="240" w:lineRule="auto"/>
      </w:pPr>
      <w:r>
        <w:rPr>
          <w:rFonts w:ascii="Times New Roman" w:hAnsi="Times New Roman" w:eastAsia="Times New Roman"/>
          <w:b w:val="0"/>
          <w:i w:val="0"/>
          <w:sz w:val="22"/>
          <w:u w:val="none"/>
        </w:rPr>
        <w:t>Web analytics tools provide traffic-source information and, in some cases, built-in attribution reports.</w:t>
      </w:r>
    </w:p>
    <w:p>
      <w:pPr>
        <w:pStyle w:val="ListBullet"/>
        <w:spacing w:after="60" w:line="240" w:lineRule="auto"/>
      </w:pPr>
      <w:r>
        <w:rPr>
          <w:rFonts w:ascii="Times New Roman" w:hAnsi="Times New Roman" w:eastAsia="Times New Roman"/>
          <w:b w:val="0"/>
          <w:i w:val="0"/>
          <w:sz w:val="22"/>
          <w:u w:val="none"/>
        </w:rPr>
        <w:t>Academic research provides rule-based and data-driven attribution models and conversion-prediction methods.</w:t>
      </w:r>
    </w:p>
    <w:p>
      <w:pPr>
        <w:pStyle w:val="ListBullet"/>
        <w:spacing w:after="60" w:line="240" w:lineRule="auto"/>
      </w:pPr>
      <w:r>
        <w:rPr>
          <w:rFonts w:ascii="Times New Roman" w:hAnsi="Times New Roman" w:eastAsia="Times New Roman"/>
          <w:b w:val="0"/>
          <w:i w:val="0"/>
          <w:sz w:val="22"/>
          <w:u w:val="none"/>
        </w:rPr>
        <w:t>Commercial attribution platforms provide cross-channel views for businesses that can pay for them.</w:t>
      </w:r>
    </w:p>
    <w:p>
      <w:pPr>
        <w:spacing w:after="40" w:before="120" w:line="240" w:lineRule="auto"/>
      </w:pPr>
      <w:r>
        <w:rPr>
          <w:rFonts w:ascii="Times New Roman" w:hAnsi="Times New Roman" w:eastAsia="Times New Roman"/>
          <w:b/>
          <w:i w:val="0"/>
          <w:sz w:val="22"/>
          <w:u w:val="none"/>
        </w:rPr>
        <w:t>Limitations of Existing Practices</w:t>
      </w:r>
    </w:p>
    <w:p>
      <w:pPr>
        <w:spacing w:after="120" w:before="0" w:line="240" w:lineRule="auto"/>
        <w:jc w:val="both"/>
      </w:pPr>
      <w:r>
        <w:rPr>
          <w:rFonts w:ascii="Times New Roman" w:hAnsi="Times New Roman" w:eastAsia="Times New Roman"/>
          <w:b w:val="0"/>
          <w:i w:val="0"/>
          <w:sz w:val="22"/>
          <w:u w:val="none"/>
        </w:rPr>
        <w:t>Each ad platform measures performance from its own perspective, usually with last-click logic, so the same sale is claimed several times and channels that start customer journeys are undervalued. Cross-channel attribution tools are usually paid or tied to one ecosystem. Research models are rarely available in a form a small business can use, and even when numbers are available, owners often do not know what action to take.</w:t>
      </w:r>
    </w:p>
    <w:p>
      <w:pPr>
        <w:spacing w:after="40" w:before="120" w:line="240" w:lineRule="auto"/>
      </w:pPr>
      <w:r>
        <w:rPr>
          <w:rFonts w:ascii="Times New Roman" w:hAnsi="Times New Roman" w:eastAsia="Times New Roman"/>
          <w:b/>
          <w:i w:val="0"/>
          <w:sz w:val="22"/>
          <w:u w:val="none"/>
        </w:rPr>
        <w:t>Identified Gap</w:t>
      </w:r>
    </w:p>
    <w:p>
      <w:pPr>
        <w:spacing w:after="120" w:before="0" w:line="240" w:lineRule="auto"/>
        <w:jc w:val="both"/>
      </w:pPr>
      <w:r>
        <w:rPr>
          <w:rFonts w:ascii="Times New Roman" w:hAnsi="Times New Roman" w:eastAsia="Times New Roman"/>
          <w:b w:val="0"/>
          <w:i w:val="0"/>
          <w:sz w:val="22"/>
          <w:u w:val="none"/>
        </w:rPr>
        <w:t>The gap is therefore not the absence of attribution methods, but the absence of a free, transparent, research-backed tool that compares several attribution models on a business's own data, shows how much the choice of model changes the answer, and explains the results in plain language.</w:t>
      </w:r>
    </w:p>
    <w:p>
      <w:pPr>
        <w:spacing w:after="40" w:before="120" w:line="240" w:lineRule="auto"/>
      </w:pPr>
      <w:r>
        <w:rPr>
          <w:rFonts w:ascii="Times New Roman" w:hAnsi="Times New Roman" w:eastAsia="Times New Roman"/>
          <w:b/>
          <w:i w:val="0"/>
          <w:sz w:val="22"/>
          <w:u w:val="none"/>
        </w:rPr>
        <w:t>How the Proposed Project Addresses the Gap</w:t>
      </w:r>
    </w:p>
    <w:p>
      <w:pPr>
        <w:spacing w:after="120" w:before="0" w:line="240" w:lineRule="auto"/>
        <w:jc w:val="both"/>
      </w:pPr>
      <w:r>
        <w:rPr>
          <w:rFonts w:ascii="Times New Roman" w:hAnsi="Times New Roman" w:eastAsia="Times New Roman"/>
          <w:b w:val="0"/>
          <w:i w:val="0"/>
          <w:sz w:val="22"/>
          <w:u w:val="none"/>
        </w:rPr>
        <w:t>The project first studies multi-channel journeys, attribution and conversion behaviour on public datasets. It then packages the same methods into ChannelTrace, a free web application where a business uploads a Google Ads, Meta Ads or customer-journey CSV and receives an insight dashboard, a side-by-side comparison of seven attribution models and an AI assistant that answers questions from the computed results. The proposed analysis flow is:</w:t>
      </w:r>
    </w:p>
    <w:p>
      <w:pPr>
        <w:spacing w:after="120" w:before="0" w:line="240" w:lineRule="auto"/>
      </w:pPr>
      <w:r>
        <w:rPr>
          <w:rFonts w:ascii="Times New Roman" w:hAnsi="Times New Roman" w:eastAsia="Times New Roman"/>
          <w:b/>
          <w:i w:val="0"/>
          <w:sz w:val="22"/>
          <w:u w:val="none"/>
        </w:rPr>
        <w:t>Upload / Collect Data → Clean → Reconstruct Journeys → Compare Attribution Models → Analyse Conversion → Explain with AI Assistant</w:t>
      </w:r>
    </w:p>
    <w:p>
      <w:pPr>
        <w:spacing w:after="80" w:before="240" w:line="240" w:lineRule="auto"/>
      </w:pPr>
      <w:r>
        <w:rPr>
          <w:rFonts w:ascii="Times New Roman" w:hAnsi="Times New Roman" w:eastAsia="Times New Roman"/>
          <w:b/>
          <w:i w:val="0"/>
          <w:sz w:val="26"/>
          <w:u w:val="none"/>
        </w:rPr>
        <w:t>4) Problem Statement</w:t>
      </w:r>
    </w:p>
    <w:p>
      <w:pPr>
        <w:spacing w:after="120" w:before="0" w:line="240" w:lineRule="auto"/>
        <w:jc w:val="both"/>
      </w:pPr>
      <w:r>
        <w:rPr>
          <w:rFonts w:ascii="Times New Roman" w:hAnsi="Times New Roman" w:eastAsia="Times New Roman"/>
          <w:b w:val="0"/>
          <w:i w:val="0"/>
          <w:sz w:val="22"/>
          <w:u w:val="none"/>
        </w:rPr>
        <w:t>Customers interact with several digital marketing channels before purchasing, but businesses usually measure channel performance with single-platform, last-click reports. As a result, budget decisions may favour channels that close sales and undervalue channels that start customer journeys. Existing cross-channel attribution tools are often paid or difficult for small businesses to use and interpret.</w:t>
      </w:r>
    </w:p>
    <w:p>
      <w:pPr>
        <w:spacing w:after="120" w:before="0" w:line="240" w:lineRule="auto"/>
        <w:jc w:val="both"/>
      </w:pPr>
      <w:r>
        <w:rPr>
          <w:rFonts w:ascii="Times New Roman" w:hAnsi="Times New Roman" w:eastAsia="Times New Roman"/>
          <w:b w:val="0"/>
          <w:i w:val="0"/>
          <w:sz w:val="22"/>
          <w:u w:val="none"/>
        </w:rPr>
        <w:t>The project aims to analyse multi-channel customer journeys using public digital marketing and e-commerce data, compare how different attribution models assign conversion credit, identify behaviours associated with conversion, and deliver these methods as a free plug-and-play dashboard with an AI assistant for businesses.</w:t>
      </w:r>
    </w:p>
    <w:p>
      <w:pPr>
        <w:spacing w:after="120" w:before="0" w:line="240" w:lineRule="auto"/>
        <w:jc w:val="both"/>
      </w:pPr>
      <w:r>
        <w:rPr>
          <w:rFonts w:ascii="Times New Roman" w:hAnsi="Times New Roman" w:eastAsia="Times New Roman"/>
          <w:b w:val="0"/>
          <w:i w:val="0"/>
          <w:sz w:val="22"/>
          <w:u w:val="none"/>
        </w:rPr>
        <w:t>Target Users: Small and medium businesses running online advertising, digital marketers and marketing students.</w:t>
      </w:r>
    </w:p>
    <w:p>
      <w:pPr>
        <w:spacing w:after="80" w:before="240" w:line="240" w:lineRule="auto"/>
      </w:pPr>
      <w:r>
        <w:rPr>
          <w:rFonts w:ascii="Times New Roman" w:hAnsi="Times New Roman" w:eastAsia="Times New Roman"/>
          <w:b/>
          <w:i w:val="0"/>
          <w:sz w:val="26"/>
          <w:u w:val="none"/>
        </w:rPr>
        <w:t>5) Objectives</w:t>
      </w:r>
    </w:p>
    <w:p>
      <w:pPr>
        <w:pStyle w:val="ListNumber"/>
        <w:spacing w:after="60" w:line="240" w:lineRule="auto"/>
      </w:pPr>
      <w:r>
        <w:rPr>
          <w:rFonts w:ascii="Times New Roman" w:hAnsi="Times New Roman" w:eastAsia="Times New Roman"/>
          <w:b w:val="0"/>
          <w:i w:val="0"/>
          <w:sz w:val="22"/>
          <w:u w:val="none"/>
        </w:rPr>
        <w:t>To collect, clean and document public datasets on web analytics, advertising and online shopping behaviour.</w:t>
      </w:r>
    </w:p>
    <w:p>
      <w:pPr>
        <w:pStyle w:val="ListNumber"/>
        <w:spacing w:after="60" w:line="240" w:lineRule="auto"/>
      </w:pPr>
      <w:r>
        <w:rPr>
          <w:rFonts w:ascii="Times New Roman" w:hAnsi="Times New Roman" w:eastAsia="Times New Roman"/>
          <w:b w:val="0"/>
          <w:i w:val="0"/>
          <w:sz w:val="22"/>
          <w:u w:val="none"/>
        </w:rPr>
        <w:t>To reconstruct customer journeys and identify common channel paths that lead to a purchase.</w:t>
      </w:r>
    </w:p>
    <w:p>
      <w:pPr>
        <w:pStyle w:val="ListNumber"/>
        <w:spacing w:after="60" w:line="240" w:lineRule="auto"/>
      </w:pPr>
      <w:r>
        <w:rPr>
          <w:rFonts w:ascii="Times New Roman" w:hAnsi="Times New Roman" w:eastAsia="Times New Roman"/>
          <w:b w:val="0"/>
          <w:i w:val="0"/>
          <w:sz w:val="22"/>
          <w:u w:val="none"/>
        </w:rPr>
        <w:t>To compare seven attribution models (first touch, last touch, linear, time decay, position based, Markov chain and Shapley value) and measure how channel credit changes between them.</w:t>
      </w:r>
    </w:p>
    <w:p>
      <w:pPr>
        <w:pStyle w:val="ListNumber"/>
        <w:spacing w:after="60" w:line="240" w:lineRule="auto"/>
      </w:pPr>
      <w:r>
        <w:rPr>
          <w:rFonts w:ascii="Times New Roman" w:hAnsi="Times New Roman" w:eastAsia="Times New Roman"/>
          <w:b w:val="0"/>
          <w:i w:val="0"/>
          <w:sz w:val="22"/>
          <w:u w:val="none"/>
        </w:rPr>
        <w:t>To identify visitor and session behaviours associated with conversion using statistical tests and machine learning.</w:t>
      </w:r>
    </w:p>
    <w:p>
      <w:pPr>
        <w:pStyle w:val="ListNumber"/>
        <w:spacing w:after="60" w:line="240" w:lineRule="auto"/>
      </w:pPr>
      <w:r>
        <w:rPr>
          <w:rFonts w:ascii="Times New Roman" w:hAnsi="Times New Roman" w:eastAsia="Times New Roman"/>
          <w:b w:val="0"/>
          <w:i w:val="0"/>
          <w:sz w:val="22"/>
          <w:u w:val="none"/>
        </w:rPr>
        <w:t>To develop a free plug-and-play dashboard that analyses Google Ads, Meta Ads and customer-journey CSV files.</w:t>
      </w:r>
    </w:p>
    <w:p>
      <w:pPr>
        <w:pStyle w:val="ListNumber"/>
        <w:spacing w:after="60" w:line="240" w:lineRule="auto"/>
      </w:pPr>
      <w:r>
        <w:rPr>
          <w:rFonts w:ascii="Times New Roman" w:hAnsi="Times New Roman" w:eastAsia="Times New Roman"/>
          <w:b w:val="0"/>
          <w:i w:val="0"/>
          <w:sz w:val="22"/>
          <w:u w:val="none"/>
        </w:rPr>
        <w:t>To develop an AI assistant that answers questions and suggests actions using only the computed results.</w:t>
      </w:r>
    </w:p>
    <w:p>
      <w:pPr>
        <w:pStyle w:val="ListNumber"/>
        <w:spacing w:after="60" w:line="240" w:lineRule="auto"/>
      </w:pPr>
      <w:r>
        <w:rPr>
          <w:rFonts w:ascii="Times New Roman" w:hAnsi="Times New Roman" w:eastAsia="Times New Roman"/>
          <w:b w:val="0"/>
          <w:i w:val="0"/>
          <w:sz w:val="22"/>
          <w:u w:val="none"/>
        </w:rPr>
        <w:t>To evaluate the tool for correctness, usability and assistant accuracy, and to document the work as a research paper.</w:t>
      </w:r>
    </w:p>
    <w:p>
      <w:pPr>
        <w:spacing w:after="80" w:before="240" w:line="240" w:lineRule="auto"/>
      </w:pPr>
      <w:r>
        <w:rPr>
          <w:rFonts w:ascii="Times New Roman" w:hAnsi="Times New Roman" w:eastAsia="Times New Roman"/>
          <w:b/>
          <w:i w:val="0"/>
          <w:sz w:val="26"/>
          <w:u w:val="none"/>
        </w:rPr>
        <w:t>6) Scope of the Project</w:t>
      </w:r>
    </w:p>
    <w:p>
      <w:pPr>
        <w:pStyle w:val="ListBullet"/>
        <w:spacing w:after="60" w:line="240" w:lineRule="auto"/>
      </w:pPr>
      <w:r>
        <w:rPr>
          <w:rFonts w:ascii="Times New Roman" w:hAnsi="Times New Roman" w:eastAsia="Times New Roman"/>
          <w:b/>
          <w:i w:val="0"/>
          <w:sz w:val="22"/>
          <w:u w:val="none"/>
        </w:rPr>
        <w:t xml:space="preserve">Data Collection and Preparation: </w:t>
      </w:r>
      <w:r>
        <w:rPr>
          <w:rFonts w:ascii="Times New Roman" w:hAnsi="Times New Roman" w:eastAsia="Times New Roman"/>
          <w:b w:val="0"/>
          <w:i w:val="0"/>
          <w:sz w:val="22"/>
          <w:u w:val="none"/>
        </w:rPr>
        <w:t>Use the Google Analytics 360 sample, UCI Online Shoppers, Criteo Attribution and Facebook Ad Campaign datasets, each for the question it can support; clean and document every step.</w:t>
      </w:r>
    </w:p>
    <w:p>
      <w:pPr>
        <w:pStyle w:val="ListBullet"/>
        <w:spacing w:after="60" w:line="240" w:lineRule="auto"/>
      </w:pPr>
      <w:r>
        <w:rPr>
          <w:rFonts w:ascii="Times New Roman" w:hAnsi="Times New Roman" w:eastAsia="Times New Roman"/>
          <w:b/>
          <w:i w:val="0"/>
          <w:sz w:val="22"/>
          <w:u w:val="none"/>
        </w:rPr>
        <w:t xml:space="preserve">Customer Journey Analysis: </w:t>
      </w:r>
      <w:r>
        <w:rPr>
          <w:rFonts w:ascii="Times New Roman" w:hAnsi="Times New Roman" w:eastAsia="Times New Roman"/>
          <w:b w:val="0"/>
          <w:i w:val="0"/>
          <w:sz w:val="22"/>
          <w:u w:val="none"/>
        </w:rPr>
        <w:t>Order each visitor's sessions by time and identify the most common paths to purchase.</w:t>
      </w:r>
    </w:p>
    <w:p>
      <w:pPr>
        <w:pStyle w:val="ListBullet"/>
        <w:spacing w:after="60" w:line="240" w:lineRule="auto"/>
      </w:pPr>
      <w:r>
        <w:rPr>
          <w:rFonts w:ascii="Times New Roman" w:hAnsi="Times New Roman" w:eastAsia="Times New Roman"/>
          <w:b/>
          <w:i w:val="0"/>
          <w:sz w:val="22"/>
          <w:u w:val="none"/>
        </w:rPr>
        <w:t xml:space="preserve">Attribution Modelling: </w:t>
      </w:r>
      <w:r>
        <w:rPr>
          <w:rFonts w:ascii="Times New Roman" w:hAnsi="Times New Roman" w:eastAsia="Times New Roman"/>
          <w:b w:val="0"/>
          <w:i w:val="0"/>
          <w:sz w:val="22"/>
          <w:u w:val="none"/>
        </w:rPr>
        <w:t>Implement and compare five rule-based and two data-driven attribution models.</w:t>
      </w:r>
    </w:p>
    <w:p>
      <w:pPr>
        <w:pStyle w:val="ListBullet"/>
        <w:spacing w:after="60" w:line="240" w:lineRule="auto"/>
      </w:pPr>
      <w:r>
        <w:rPr>
          <w:rFonts w:ascii="Times New Roman" w:hAnsi="Times New Roman" w:eastAsia="Times New Roman"/>
          <w:b/>
          <w:i w:val="0"/>
          <w:sz w:val="22"/>
          <w:u w:val="none"/>
        </w:rPr>
        <w:t xml:space="preserve">Conversion Analysis: </w:t>
      </w:r>
      <w:r>
        <w:rPr>
          <w:rFonts w:ascii="Times New Roman" w:hAnsi="Times New Roman" w:eastAsia="Times New Roman"/>
          <w:b w:val="0"/>
          <w:i w:val="0"/>
          <w:sz w:val="22"/>
          <w:u w:val="none"/>
        </w:rPr>
        <w:t>Compare converting and non-converting sessions and model which factors are associated with buying.</w:t>
      </w:r>
    </w:p>
    <w:p>
      <w:pPr>
        <w:pStyle w:val="ListBullet"/>
        <w:spacing w:after="60" w:line="240" w:lineRule="auto"/>
      </w:pPr>
      <w:r>
        <w:rPr>
          <w:rFonts w:ascii="Times New Roman" w:hAnsi="Times New Roman" w:eastAsia="Times New Roman"/>
          <w:b/>
          <w:i w:val="0"/>
          <w:sz w:val="22"/>
          <w:u w:val="none"/>
        </w:rPr>
        <w:t xml:space="preserve">Insight Dashboard: </w:t>
      </w:r>
      <w:r>
        <w:rPr>
          <w:rFonts w:ascii="Times New Roman" w:hAnsi="Times New Roman" w:eastAsia="Times New Roman"/>
          <w:b w:val="0"/>
          <w:i w:val="0"/>
          <w:sz w:val="22"/>
          <w:u w:val="none"/>
        </w:rPr>
        <w:t>Present research findings and analyse uploaded Google Ads, Meta Ads or journey CSV files.</w:t>
      </w:r>
    </w:p>
    <w:p>
      <w:pPr>
        <w:pStyle w:val="ListBullet"/>
        <w:spacing w:after="60" w:line="240" w:lineRule="auto"/>
      </w:pPr>
      <w:r>
        <w:rPr>
          <w:rFonts w:ascii="Times New Roman" w:hAnsi="Times New Roman" w:eastAsia="Times New Roman"/>
          <w:b/>
          <w:i w:val="0"/>
          <w:sz w:val="22"/>
          <w:u w:val="none"/>
        </w:rPr>
        <w:t xml:space="preserve">AI Assistant: </w:t>
      </w:r>
      <w:r>
        <w:rPr>
          <w:rFonts w:ascii="Times New Roman" w:hAnsi="Times New Roman" w:eastAsia="Times New Roman"/>
          <w:b w:val="0"/>
          <w:i w:val="0"/>
          <w:sz w:val="22"/>
          <w:u w:val="none"/>
        </w:rPr>
        <w:t>Answer questions in plain language from computed results only, working offline or with a free AI model.</w:t>
      </w:r>
    </w:p>
    <w:p>
      <w:pPr>
        <w:pStyle w:val="ListBullet"/>
        <w:spacing w:after="60" w:line="240" w:lineRule="auto"/>
      </w:pPr>
      <w:r>
        <w:rPr>
          <w:rFonts w:ascii="Times New Roman" w:hAnsi="Times New Roman" w:eastAsia="Times New Roman"/>
          <w:b/>
          <w:i w:val="0"/>
          <w:sz w:val="22"/>
          <w:u w:val="none"/>
        </w:rPr>
        <w:t xml:space="preserve">Evaluation: </w:t>
      </w:r>
      <w:r>
        <w:rPr>
          <w:rFonts w:ascii="Times New Roman" w:hAnsi="Times New Roman" w:eastAsia="Times New Roman"/>
          <w:b w:val="0"/>
          <w:i w:val="0"/>
          <w:sz w:val="22"/>
          <w:u w:val="none"/>
        </w:rPr>
        <w:t>Check output correctness, run a usability survey (SUS) and measure the assistant's accuracy.</w:t>
      </w:r>
    </w:p>
    <w:p>
      <w:pPr>
        <w:spacing w:after="80" w:before="240" w:line="240" w:lineRule="auto"/>
      </w:pPr>
      <w:r>
        <w:rPr>
          <w:rFonts w:ascii="Times New Roman" w:hAnsi="Times New Roman" w:eastAsia="Times New Roman"/>
          <w:b/>
          <w:i w:val="0"/>
          <w:sz w:val="26"/>
          <w:u w:val="none"/>
        </w:rPr>
        <w:t>7) Tools and Technologies</w:t>
      </w:r>
    </w:p>
    <w:p>
      <w:pPr>
        <w:pStyle w:val="ListBullet"/>
        <w:spacing w:after="60" w:line="240" w:lineRule="auto"/>
      </w:pPr>
      <w:r>
        <w:rPr>
          <w:rFonts w:ascii="Times New Roman" w:hAnsi="Times New Roman" w:eastAsia="Times New Roman"/>
          <w:b/>
          <w:i w:val="0"/>
          <w:sz w:val="22"/>
          <w:u w:val="none"/>
        </w:rPr>
        <w:t xml:space="preserve">Python, Pandas and NumPy: </w:t>
      </w:r>
      <w:r>
        <w:rPr>
          <w:rFonts w:ascii="Times New Roman" w:hAnsi="Times New Roman" w:eastAsia="Times New Roman"/>
          <w:b w:val="0"/>
          <w:i w:val="0"/>
          <w:sz w:val="22"/>
          <w:u w:val="none"/>
        </w:rPr>
        <w:t>For data cleaning, journey reconstruction and analysis.</w:t>
      </w:r>
    </w:p>
    <w:p>
      <w:pPr>
        <w:pStyle w:val="ListBullet"/>
        <w:spacing w:after="60" w:line="240" w:lineRule="auto"/>
      </w:pPr>
      <w:r>
        <w:rPr>
          <w:rFonts w:ascii="Times New Roman" w:hAnsi="Times New Roman" w:eastAsia="Times New Roman"/>
          <w:b/>
          <w:i w:val="0"/>
          <w:sz w:val="22"/>
          <w:u w:val="none"/>
        </w:rPr>
        <w:t xml:space="preserve">SciPy and scikit-learn: </w:t>
      </w:r>
      <w:r>
        <w:rPr>
          <w:rFonts w:ascii="Times New Roman" w:hAnsi="Times New Roman" w:eastAsia="Times New Roman"/>
          <w:b w:val="0"/>
          <w:i w:val="0"/>
          <w:sz w:val="22"/>
          <w:u w:val="none"/>
        </w:rPr>
        <w:t>For statistical tests, attribution models and machine-learning classifiers.</w:t>
      </w:r>
    </w:p>
    <w:p>
      <w:pPr>
        <w:pStyle w:val="ListBullet"/>
        <w:spacing w:after="60" w:line="240" w:lineRule="auto"/>
      </w:pPr>
      <w:r>
        <w:rPr>
          <w:rFonts w:ascii="Times New Roman" w:hAnsi="Times New Roman" w:eastAsia="Times New Roman"/>
          <w:b/>
          <w:i w:val="0"/>
          <w:sz w:val="22"/>
          <w:u w:val="none"/>
        </w:rPr>
        <w:t xml:space="preserve">Google BigQuery (free sandbox): </w:t>
      </w:r>
      <w:r>
        <w:rPr>
          <w:rFonts w:ascii="Times New Roman" w:hAnsi="Times New Roman" w:eastAsia="Times New Roman"/>
          <w:b w:val="0"/>
          <w:i w:val="0"/>
          <w:sz w:val="22"/>
          <w:u w:val="none"/>
        </w:rPr>
        <w:t>For querying the Google Analytics 360 sample dataset.</w:t>
      </w:r>
    </w:p>
    <w:p>
      <w:pPr>
        <w:pStyle w:val="ListBullet"/>
        <w:spacing w:after="60" w:line="240" w:lineRule="auto"/>
      </w:pPr>
      <w:r>
        <w:rPr>
          <w:rFonts w:ascii="Times New Roman" w:hAnsi="Times New Roman" w:eastAsia="Times New Roman"/>
          <w:b/>
          <w:i w:val="0"/>
          <w:sz w:val="22"/>
          <w:u w:val="none"/>
        </w:rPr>
        <w:t xml:space="preserve">Streamlit and Plotly: </w:t>
      </w:r>
      <w:r>
        <w:rPr>
          <w:rFonts w:ascii="Times New Roman" w:hAnsi="Times New Roman" w:eastAsia="Times New Roman"/>
          <w:b w:val="0"/>
          <w:i w:val="0"/>
          <w:sz w:val="22"/>
          <w:u w:val="none"/>
        </w:rPr>
        <w:t>For the interactive dashboard and charts.</w:t>
      </w:r>
    </w:p>
    <w:p>
      <w:pPr>
        <w:pStyle w:val="ListBullet"/>
        <w:spacing w:after="60" w:line="240" w:lineRule="auto"/>
      </w:pPr>
      <w:r>
        <w:rPr>
          <w:rFonts w:ascii="Times New Roman" w:hAnsi="Times New Roman" w:eastAsia="Times New Roman"/>
          <w:b/>
          <w:i w:val="0"/>
          <w:sz w:val="22"/>
          <w:u w:val="none"/>
        </w:rPr>
        <w:t xml:space="preserve">Generative AI (Google Gemini free tier) and TF-IDF retrieval: </w:t>
      </w:r>
      <w:r>
        <w:rPr>
          <w:rFonts w:ascii="Times New Roman" w:hAnsi="Times New Roman" w:eastAsia="Times New Roman"/>
          <w:b w:val="0"/>
          <w:i w:val="0"/>
          <w:sz w:val="22"/>
          <w:u w:val="none"/>
        </w:rPr>
        <w:t>For the AI assistant, with an offline mode.</w:t>
      </w:r>
    </w:p>
    <w:p>
      <w:pPr>
        <w:pStyle w:val="ListBullet"/>
        <w:spacing w:after="60" w:line="240" w:lineRule="auto"/>
      </w:pPr>
      <w:r>
        <w:rPr>
          <w:rFonts w:ascii="Times New Roman" w:hAnsi="Times New Roman" w:eastAsia="Times New Roman"/>
          <w:b/>
          <w:i w:val="0"/>
          <w:sz w:val="22"/>
          <w:u w:val="none"/>
        </w:rPr>
        <w:t xml:space="preserve">GitHub and Streamlit Community Cloud: </w:t>
      </w:r>
      <w:r>
        <w:rPr>
          <w:rFonts w:ascii="Times New Roman" w:hAnsi="Times New Roman" w:eastAsia="Times New Roman"/>
          <w:b w:val="0"/>
          <w:i w:val="0"/>
          <w:sz w:val="22"/>
          <w:u w:val="none"/>
        </w:rPr>
        <w:t>For version control and free hosting of the application.</w:t>
      </w:r>
    </w:p>
    <w:p>
      <w:pPr>
        <w:pStyle w:val="ListBullet"/>
        <w:spacing w:after="60" w:line="240" w:lineRule="auto"/>
      </w:pPr>
      <w:r>
        <w:rPr>
          <w:rFonts w:ascii="Times New Roman" w:hAnsi="Times New Roman" w:eastAsia="Times New Roman"/>
          <w:b/>
          <w:i w:val="0"/>
          <w:sz w:val="22"/>
          <w:u w:val="none"/>
        </w:rPr>
        <w:t xml:space="preserve">Power BI / Looker Studio: </w:t>
      </w:r>
      <w:r>
        <w:rPr>
          <w:rFonts w:ascii="Times New Roman" w:hAnsi="Times New Roman" w:eastAsia="Times New Roman"/>
          <w:b w:val="0"/>
          <w:i w:val="0"/>
          <w:sz w:val="22"/>
          <w:u w:val="none"/>
        </w:rPr>
        <w:t>For an additional business-intelligence style dashboard (planned).</w:t>
      </w:r>
    </w:p>
    <w:p>
      <w:pPr>
        <w:spacing w:after="120" w:before="0" w:line="240" w:lineRule="auto"/>
        <w:jc w:val="both"/>
      </w:pPr>
      <w:r>
        <w:rPr>
          <w:rFonts w:ascii="Times New Roman" w:hAnsi="Times New Roman" w:eastAsia="Times New Roman"/>
          <w:b w:val="0"/>
          <w:i w:val="0"/>
          <w:sz w:val="22"/>
          <w:u w:val="none"/>
        </w:rPr>
        <w:t>All tools used are free or open source, so the project has no cost.</w:t>
      </w:r>
    </w:p>
    <w:p>
      <w:pPr>
        <w:spacing w:after="80" w:before="240" w:line="240" w:lineRule="auto"/>
      </w:pPr>
      <w:r>
        <w:rPr>
          <w:rFonts w:ascii="Times New Roman" w:hAnsi="Times New Roman" w:eastAsia="Times New Roman"/>
          <w:b/>
          <w:i w:val="0"/>
          <w:sz w:val="26"/>
          <w:u w:val="none"/>
        </w:rPr>
        <w:t>8) Proposed Methodology</w:t>
      </w:r>
    </w:p>
    <w:p>
      <w:pPr>
        <w:spacing w:after="120" w:before="0" w:line="240" w:lineRule="auto"/>
        <w:jc w:val="both"/>
      </w:pPr>
      <w:r>
        <w:rPr>
          <w:rFonts w:ascii="Times New Roman" w:hAnsi="Times New Roman" w:eastAsia="Times New Roman"/>
          <w:b w:val="0"/>
          <w:i w:val="0"/>
          <w:sz w:val="22"/>
          <w:u w:val="none"/>
        </w:rPr>
        <w:t>The project will follow a step-by-step research and development approach:</w:t>
      </w:r>
    </w:p>
    <w:p>
      <w:pPr>
        <w:spacing w:after="120" w:before="0" w:line="240" w:lineRule="auto"/>
      </w:pPr>
      <w:r>
        <w:rPr>
          <w:rFonts w:ascii="Times New Roman" w:hAnsi="Times New Roman" w:eastAsia="Times New Roman"/>
          <w:b/>
          <w:i w:val="0"/>
          <w:sz w:val="22"/>
          <w:u w:val="none"/>
        </w:rPr>
        <w:t>1. Data Collection → 2. Data Cleaning → 3. Exploratory Analysis → 4. Journey Reconstruction → 5. Attribution Modelling → 6. Conversion Analysis → 7. Tool Development → 8. Evaluation → 9. Research Paper</w:t>
      </w:r>
    </w:p>
    <w:p>
      <w:pPr>
        <w:spacing w:after="120" w:before="0" w:line="240" w:lineRule="auto"/>
        <w:jc w:val="both"/>
      </w:pPr>
      <w:r>
        <w:rPr>
          <w:rFonts w:ascii="Times New Roman" w:hAnsi="Times New Roman" w:eastAsia="Times New Roman"/>
          <w:b w:val="0"/>
          <w:i w:val="0"/>
          <w:sz w:val="22"/>
          <w:u w:val="none"/>
        </w:rPr>
        <w:t>First, the public datasets will be collected and cleaned, and each will be matched to the research question it can genuinely answer. Customer journeys will then be reconstructed from the Google Analytics 360 sample, and seven attribution models will be applied and compared. The attribution code will be validated on synthetic journeys with a known correct answer, by checking that every model distributes exactly the total number of conversions, and with bootstrap confidence intervals. Conversion behaviour will be studied with Mann-Whitney U and chi-square tests and with logistic regression and random forest models evaluated by ROC-AUC.</w:t>
      </w:r>
    </w:p>
    <w:p>
      <w:pPr>
        <w:spacing w:after="120" w:before="0" w:line="240" w:lineRule="auto"/>
        <w:jc w:val="both"/>
      </w:pPr>
      <w:r>
        <w:rPr>
          <w:rFonts w:ascii="Times New Roman" w:hAnsi="Times New Roman" w:eastAsia="Times New Roman"/>
          <w:b w:val="0"/>
          <w:i w:val="0"/>
          <w:sz w:val="22"/>
          <w:u w:val="none"/>
        </w:rPr>
        <w:t>The same methods will then be packaged into the ChannelTrace web application and AI assistant. Finally, the tool will be evaluated for correctness on real Facebook advertising data, for usability through a System Usability Scale survey, and for the accuracy of the assistant's answers, and the findings will be written up as a research paper.</w:t>
      </w:r>
    </w:p>
    <w:p>
      <w:pPr>
        <w:spacing w:after="80" w:before="240" w:line="240" w:lineRule="auto"/>
      </w:pPr>
      <w:r>
        <w:rPr>
          <w:rFonts w:ascii="Times New Roman" w:hAnsi="Times New Roman" w:eastAsia="Times New Roman"/>
          <w:b/>
          <w:i w:val="0"/>
          <w:sz w:val="26"/>
          <w:u w:val="none"/>
        </w:rPr>
        <w:t>9) Result and Discussion</w:t>
      </w:r>
    </w:p>
    <w:p>
      <w:pPr>
        <w:spacing w:after="120" w:before="0" w:line="240" w:lineRule="auto"/>
        <w:jc w:val="both"/>
      </w:pPr>
      <w:r>
        <w:rPr>
          <w:rFonts w:ascii="Times New Roman" w:hAnsi="Times New Roman" w:eastAsia="Times New Roman"/>
          <w:b w:val="0"/>
          <w:i w:val="0"/>
          <w:sz w:val="22"/>
          <w:u w:val="none"/>
        </w:rPr>
        <w:t>Preliminary results on the UCI Online Shoppers dataset (12,205 sessions after removing duplicates) show an overall conversion rate of 15.6 percent. New visitors convert at 24.9 percent against 14.1 percent for returning visitors, although returning visitors make up 85 percent of sessions. Conversion peaks in November at 25.5 percent. Buyers view a median of 29 product pages against 16 for non-buyers, and all ten behavioural measures differ significantly. A random forest predicts conversion with a ROC-AUC of 0.78 from early-session behaviour (0.93 when the PageValues feature, which partly reflects the outcome, is included).</w:t>
      </w:r>
    </w:p>
    <w:p>
      <w:pPr>
        <w:spacing w:after="120" w:before="0" w:line="240" w:lineRule="auto"/>
        <w:jc w:val="both"/>
      </w:pPr>
      <w:r>
        <w:rPr>
          <w:rFonts w:ascii="Times New Roman" w:hAnsi="Times New Roman" w:eastAsia="Times New Roman"/>
          <w:b w:val="0"/>
          <w:i w:val="0"/>
          <w:sz w:val="22"/>
          <w:u w:val="none"/>
        </w:rPr>
        <w:t>A working prototype of the dashboard and AI assistant has been developed. On the real Facebook Ad Campaign data it finds that 10 percent of spend went to ad sets with no approved conversions. On synthetic test journeys with known channel roles, the data-driven attribution models correctly identify that last-click reporting under-credits channels that start journeys and over-credits channels that close them.</w:t>
      </w:r>
    </w:p>
    <w:p>
      <w:pPr>
        <w:spacing w:after="120" w:before="0" w:line="240" w:lineRule="auto"/>
        <w:jc w:val="both"/>
      </w:pPr>
      <w:r>
        <w:rPr>
          <w:rFonts w:ascii="Times New Roman" w:hAnsi="Times New Roman" w:eastAsia="Times New Roman"/>
          <w:b w:val="0"/>
          <w:i w:val="0"/>
          <w:sz w:val="22"/>
          <w:u w:val="none"/>
        </w:rPr>
        <w:t>The expected final result is a comparison of how channel credit changes across attribution models on real multi-channel data, a set of plain-language findings for marketers, and an evaluated, free tool that businesses can use on their own data. All findings will be presented as associations, not proof that a channel caused a sale.</w:t>
      </w:r>
    </w:p>
    <w:p>
      <w:pPr>
        <w:spacing w:after="80" w:before="240" w:line="240" w:lineRule="auto"/>
      </w:pPr>
      <w:r>
        <w:rPr>
          <w:rFonts w:ascii="Times New Roman" w:hAnsi="Times New Roman" w:eastAsia="Times New Roman"/>
          <w:b/>
          <w:i w:val="0"/>
          <w:sz w:val="26"/>
          <w:u w:val="none"/>
        </w:rPr>
        <w:t>10) Conclusion</w:t>
      </w:r>
    </w:p>
    <w:p>
      <w:pPr>
        <w:spacing w:after="120" w:before="0" w:line="240" w:lineRule="auto"/>
        <w:jc w:val="both"/>
      </w:pPr>
      <w:r>
        <w:rPr>
          <w:rFonts w:ascii="Times New Roman" w:hAnsi="Times New Roman" w:eastAsia="Times New Roman"/>
          <w:b w:val="0"/>
          <w:i w:val="0"/>
          <w:sz w:val="22"/>
          <w:u w:val="none"/>
        </w:rPr>
        <w:t>The proposed project studies how customers move across digital channels before buying and how strongly the choice of attribution model affects the credit each channel receives. By combining public-data research with a free plug-and-play dashboard and an AI assistant, the project connects academic attribution methods with practical marketing decisions.</w:t>
      </w:r>
    </w:p>
    <w:p>
      <w:pPr>
        <w:spacing w:after="120" w:before="0" w:line="240" w:lineRule="auto"/>
        <w:jc w:val="both"/>
      </w:pPr>
      <w:r>
        <w:rPr>
          <w:rFonts w:ascii="Times New Roman" w:hAnsi="Times New Roman" w:eastAsia="Times New Roman"/>
          <w:b w:val="0"/>
          <w:i w:val="0"/>
          <w:sz w:val="22"/>
          <w:u w:val="none"/>
        </w:rPr>
        <w:t>The approach is feasible because it relies on publicly available datasets and free tools, and it is measurable through clear evaluation criteria. Overall, the project helps businesses look beyond single-platform, last-click reports and make better-informed decisions about where to spend their marketing budget.</w:t>
      </w:r>
    </w:p>
    <w:p>
      <w:pPr>
        <w:spacing w:after="80" w:before="240" w:line="240" w:lineRule="auto"/>
      </w:pPr>
      <w:r>
        <w:rPr>
          <w:rFonts w:ascii="Times New Roman" w:hAnsi="Times New Roman" w:eastAsia="Times New Roman"/>
          <w:b/>
          <w:i w:val="0"/>
          <w:sz w:val="26"/>
          <w:u w:val="none"/>
        </w:rPr>
        <w:t>11) References</w:t>
      </w:r>
    </w:p>
    <w:p>
      <w:pPr>
        <w:spacing w:after="100" w:before="0" w:line="240" w:lineRule="auto"/>
        <w:jc w:val="both"/>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 xml:space="preserve">H. Li and P. K. Kannan, “Attributing conversions in a multichannel online marketing environment: An empirical model and a field experiment,” </w:t>
      </w:r>
      <w:r>
        <w:rPr>
          <w:rFonts w:ascii="Times New Roman" w:hAnsi="Times New Roman" w:eastAsia="Times New Roman"/>
          <w:b w:val="0"/>
          <w:i/>
          <w:sz w:val="22"/>
          <w:u w:val="none"/>
        </w:rPr>
        <w:t>Journal of Marketing Research</w:t>
      </w:r>
      <w:r>
        <w:rPr>
          <w:rFonts w:ascii="Times New Roman" w:hAnsi="Times New Roman" w:eastAsia="Times New Roman"/>
          <w:b w:val="0"/>
          <w:i w:val="0"/>
          <w:sz w:val="22"/>
          <w:u w:val="none"/>
        </w:rPr>
        <w:t>, vol. 51, no. 1, pp. 40–56, 2014.</w:t>
      </w:r>
    </w:p>
    <w:p>
      <w:pPr>
        <w:spacing w:after="100" w:before="0" w:line="240" w:lineRule="auto"/>
        <w:jc w:val="both"/>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 xml:space="preserve">X. Shao and L. Li, “Data-driven multi-touch attribution models,” in </w:t>
      </w:r>
      <w:r>
        <w:rPr>
          <w:rFonts w:ascii="Times New Roman" w:hAnsi="Times New Roman" w:eastAsia="Times New Roman"/>
          <w:b w:val="0"/>
          <w:i/>
          <w:sz w:val="22"/>
          <w:u w:val="none"/>
        </w:rPr>
        <w:t>Proceedings of the 17th ACM SIGKDD International Conference on Knowledge Discovery and Data Mining</w:t>
      </w:r>
      <w:r>
        <w:rPr>
          <w:rFonts w:ascii="Times New Roman" w:hAnsi="Times New Roman" w:eastAsia="Times New Roman"/>
          <w:b w:val="0"/>
          <w:i w:val="0"/>
          <w:sz w:val="22"/>
          <w:u w:val="none"/>
        </w:rPr>
        <w:t>, pp. 258–264, 2011.</w:t>
      </w:r>
    </w:p>
    <w:p>
      <w:pPr>
        <w:spacing w:after="100" w:before="0" w:line="240" w:lineRule="auto"/>
        <w:jc w:val="both"/>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 xml:space="preserve">E. Anderl, I. Becker, F. von Wangenheim, and J. H. Schumann, “Mapping the customer journey: Lessons learned from graph-based online attribution modeling,” </w:t>
      </w:r>
      <w:r>
        <w:rPr>
          <w:rFonts w:ascii="Times New Roman" w:hAnsi="Times New Roman" w:eastAsia="Times New Roman"/>
          <w:b w:val="0"/>
          <w:i/>
          <w:sz w:val="22"/>
          <w:u w:val="none"/>
        </w:rPr>
        <w:t>International Journal of Research in Marketing</w:t>
      </w:r>
      <w:r>
        <w:rPr>
          <w:rFonts w:ascii="Times New Roman" w:hAnsi="Times New Roman" w:eastAsia="Times New Roman"/>
          <w:b w:val="0"/>
          <w:i w:val="0"/>
          <w:sz w:val="22"/>
          <w:u w:val="none"/>
        </w:rPr>
        <w:t>, vol. 33, no. 3, pp. 457–474, 2016.</w:t>
      </w:r>
    </w:p>
    <w:p>
      <w:pPr>
        <w:spacing w:after="100" w:before="0" w:line="240" w:lineRule="auto"/>
        <w:jc w:val="both"/>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 xml:space="preserve">C. O. Sakar, S. O. Polat, M. Katircioglu, and Y. Kastro, “Real-time prediction of online shoppers’ purchasing intention using multilayer perceptron and LSTM recurrent neural networks,” </w:t>
      </w:r>
      <w:r>
        <w:rPr>
          <w:rFonts w:ascii="Times New Roman" w:hAnsi="Times New Roman" w:eastAsia="Times New Roman"/>
          <w:b w:val="0"/>
          <w:i/>
          <w:sz w:val="22"/>
          <w:u w:val="none"/>
        </w:rPr>
        <w:t>Neural Computing and Applications</w:t>
      </w:r>
      <w:r>
        <w:rPr>
          <w:rFonts w:ascii="Times New Roman" w:hAnsi="Times New Roman" w:eastAsia="Times New Roman"/>
          <w:b w:val="0"/>
          <w:i w:val="0"/>
          <w:sz w:val="22"/>
          <w:u w:val="none"/>
        </w:rPr>
        <w:t>, vol. 31, pp. 6893–6908, 2019.</w:t>
      </w:r>
    </w:p>
    <w:p>
      <w:pPr>
        <w:spacing w:after="100" w:before="0" w:line="240" w:lineRule="auto"/>
        <w:jc w:val="both"/>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 xml:space="preserve">E. Diemert, J. Meynet, P. Galland, and D. Lefortier, “Attribution modeling increases efficiency of bidding in display advertising,” in </w:t>
      </w:r>
      <w:r>
        <w:rPr>
          <w:rFonts w:ascii="Times New Roman" w:hAnsi="Times New Roman" w:eastAsia="Times New Roman"/>
          <w:b w:val="0"/>
          <w:i/>
          <w:sz w:val="22"/>
          <w:u w:val="none"/>
        </w:rPr>
        <w:t>Proceedings of the AdKDD and TargetAd Workshop, KDD</w:t>
      </w:r>
      <w:r>
        <w:rPr>
          <w:rFonts w:ascii="Times New Roman" w:hAnsi="Times New Roman" w:eastAsia="Times New Roman"/>
          <w:b w:val="0"/>
          <w:i w:val="0"/>
          <w:sz w:val="22"/>
          <w:u w:val="none"/>
        </w:rPr>
        <w:t>, 2017.</w:t>
      </w:r>
    </w:p>
    <w:p>
      <w:pPr>
        <w:spacing w:after="100" w:before="0" w:line="240" w:lineRule="auto"/>
        <w:jc w:val="both"/>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 xml:space="preserve">Google, “BigQuery sample dataset for Google Analytics 360 (google_analytics_sample),” </w:t>
      </w:r>
      <w:r>
        <w:rPr>
          <w:rFonts w:ascii="Times New Roman" w:hAnsi="Times New Roman" w:eastAsia="Times New Roman"/>
          <w:b w:val="0"/>
          <w:i/>
          <w:sz w:val="22"/>
          <w:u w:val="none"/>
        </w:rPr>
        <w:t>Google Analytics Help</w:t>
      </w:r>
      <w:r>
        <w:rPr>
          <w:rFonts w:ascii="Times New Roman" w:hAnsi="Times New Roman" w:eastAsia="Times New Roman"/>
          <w:b w:val="0"/>
          <w:i w:val="0"/>
          <w:sz w:val="22"/>
          <w:u w:val="none"/>
        </w:rPr>
        <w:t>.</w:t>
      </w:r>
    </w:p>
    <w:p>
      <w:pPr>
        <w:spacing w:after="100" w:before="0" w:line="240" w:lineRule="auto"/>
        <w:jc w:val="both"/>
      </w:pPr>
      <w:r>
        <w:rPr>
          <w:rFonts w:ascii="Times New Roman" w:hAnsi="Times New Roman" w:eastAsia="Times New Roman"/>
          <w:b/>
          <w:i w:val="0"/>
          <w:sz w:val="22"/>
          <w:u w:val="none"/>
        </w:rPr>
        <w:t xml:space="preserve">[7] </w:t>
      </w:r>
      <w:r>
        <w:rPr>
          <w:rFonts w:ascii="Times New Roman" w:hAnsi="Times New Roman" w:eastAsia="Times New Roman"/>
          <w:b w:val="0"/>
          <w:i w:val="0"/>
          <w:sz w:val="22"/>
          <w:u w:val="none"/>
        </w:rPr>
        <w:t xml:space="preserve">Criteo AI Lab, “Criteo Attribution Modeling for Bidding Dataset,” </w:t>
      </w:r>
      <w:r>
        <w:rPr>
          <w:rFonts w:ascii="Times New Roman" w:hAnsi="Times New Roman" w:eastAsia="Times New Roman"/>
          <w:b w:val="0"/>
          <w:i/>
          <w:sz w:val="22"/>
          <w:u w:val="none"/>
        </w:rPr>
        <w:t>Criteo AI Lab</w:t>
      </w:r>
      <w:r>
        <w:rPr>
          <w:rFonts w:ascii="Times New Roman" w:hAnsi="Times New Roman" w:eastAsia="Times New Roman"/>
          <w:b w:val="0"/>
          <w:i w:val="0"/>
          <w:sz w:val="22"/>
          <w:u w:val="none"/>
        </w:rPr>
        <w:t>.</w:t>
      </w:r>
    </w:p>
    <w:p>
      <w:pPr>
        <w:spacing w:after="100" w:before="0" w:line="240" w:lineRule="auto"/>
        <w:jc w:val="both"/>
      </w:pPr>
      <w:r>
        <w:rPr>
          <w:rFonts w:ascii="Times New Roman" w:hAnsi="Times New Roman" w:eastAsia="Times New Roman"/>
          <w:b/>
          <w:i w:val="0"/>
          <w:sz w:val="22"/>
          <w:u w:val="none"/>
        </w:rPr>
        <w:t xml:space="preserve">[8] </w:t>
      </w:r>
      <w:r>
        <w:rPr>
          <w:rFonts w:ascii="Times New Roman" w:hAnsi="Times New Roman" w:eastAsia="Times New Roman"/>
          <w:b w:val="0"/>
          <w:i w:val="0"/>
          <w:sz w:val="22"/>
          <w:u w:val="none"/>
        </w:rPr>
        <w:t xml:space="preserve">Kaggle, “Sales Conversion Optimization (Facebook ad campaign data),” </w:t>
      </w:r>
      <w:r>
        <w:rPr>
          <w:rFonts w:ascii="Times New Roman" w:hAnsi="Times New Roman" w:eastAsia="Times New Roman"/>
          <w:b w:val="0"/>
          <w:i/>
          <w:sz w:val="22"/>
          <w:u w:val="none"/>
        </w:rPr>
        <w:t>Kaggle Datasets</w:t>
      </w:r>
      <w:r>
        <w:rPr>
          <w:rFonts w:ascii="Times New Roman" w:hAnsi="Times New Roman" w:eastAsia="Times New Roman"/>
          <w:b w:val="0"/>
          <w:i w:val="0"/>
          <w:sz w:val="22"/>
          <w:u w:val="none"/>
        </w:rPr>
        <w:t>.</w:t>
      </w:r>
    </w:p>
    <w:p>
      <w:pPr>
        <w:spacing w:after="100" w:before="0" w:line="240" w:lineRule="auto"/>
        <w:jc w:val="both"/>
      </w:pPr>
      <w:r>
        <w:rPr>
          <w:rFonts w:ascii="Times New Roman" w:hAnsi="Times New Roman" w:eastAsia="Times New Roman"/>
          <w:b/>
          <w:i w:val="0"/>
          <w:sz w:val="22"/>
          <w:u w:val="none"/>
        </w:rPr>
        <w:t xml:space="preserve">[9] </w:t>
      </w:r>
      <w:r>
        <w:rPr>
          <w:rFonts w:ascii="Times New Roman" w:hAnsi="Times New Roman" w:eastAsia="Times New Roman"/>
          <w:b w:val="0"/>
          <w:i w:val="0"/>
          <w:sz w:val="22"/>
          <w:u w:val="none"/>
        </w:rPr>
        <w:t xml:space="preserve">J. Brooke, “SUS: A quick and dirty usability scale,” in </w:t>
      </w:r>
      <w:r>
        <w:rPr>
          <w:rFonts w:ascii="Times New Roman" w:hAnsi="Times New Roman" w:eastAsia="Times New Roman"/>
          <w:b w:val="0"/>
          <w:i/>
          <w:sz w:val="22"/>
          <w:u w:val="none"/>
        </w:rPr>
        <w:t>Usability Evaluation in Industry</w:t>
      </w:r>
      <w:r>
        <w:rPr>
          <w:rFonts w:ascii="Times New Roman" w:hAnsi="Times New Roman" w:eastAsia="Times New Roman"/>
          <w:b w:val="0"/>
          <w:i w:val="0"/>
          <w:sz w:val="22"/>
          <w:u w:val="none"/>
        </w:rPr>
        <w:t>, Taylor &amp; Francis, pp. 189–194, 1996.</w:t>
      </w:r>
    </w:p>
    <w:p>
      <w:pPr>
        <w:pageBreakBefore/>
        <w:spacing w:after="200" w:before="0" w:line="240" w:lineRule="auto"/>
      </w:pPr>
      <w:r>
        <w:rPr>
          <w:rFonts w:ascii="Times New Roman" w:hAnsi="Times New Roman" w:eastAsia="Times New Roman"/>
          <w:b/>
          <w:i w:val="0"/>
          <w:sz w:val="22"/>
          <w:u w:val="none"/>
        </w:rPr>
        <w:t>Guide Approval</w:t>
      </w:r>
    </w:p>
    <w:p>
      <w:pPr>
        <w:spacing w:after="200" w:before="0" w:line="240" w:lineRule="auto"/>
      </w:pPr>
      <w:r>
        <w:rPr>
          <w:rFonts w:ascii="Times New Roman" w:hAnsi="Times New Roman" w:eastAsia="Times New Roman"/>
          <w:b/>
          <w:i w:val="0"/>
          <w:sz w:val="22"/>
          <w:u w:val="none"/>
        </w:rPr>
        <w:t xml:space="preserve">Project Guide Name: </w:t>
      </w:r>
      <w:r>
        <w:rPr>
          <w:rFonts w:ascii="Times New Roman" w:hAnsi="Times New Roman" w:eastAsia="Times New Roman"/>
          <w:b w:val="0"/>
          <w:i w:val="0"/>
          <w:sz w:val="22"/>
          <w:u w:val="none"/>
        </w:rPr>
        <w:t>Minal Shahakar</w:t>
      </w:r>
    </w:p>
    <w:p>
      <w:pPr>
        <w:spacing w:after="200" w:before="0" w:line="240" w:lineRule="auto"/>
      </w:pPr>
      <w:r>
        <w:rPr>
          <w:rFonts w:ascii="Times New Roman" w:hAnsi="Times New Roman" w:eastAsia="Times New Roman"/>
          <w:b/>
          <w:i w:val="0"/>
          <w:sz w:val="22"/>
          <w:u w:val="none"/>
        </w:rPr>
        <w:t>Signature:</w:t>
      </w:r>
    </w:p>
    <w:p>
      <w:pPr>
        <w:spacing w:after="200" w:before="0" w:line="240" w:lineRule="auto"/>
      </w:pPr>
      <w:r>
        <w:rPr>
          <w:rFonts w:ascii="Times New Roman" w:hAnsi="Times New Roman" w:eastAsia="Times New Roman"/>
          <w:b/>
          <w:i w:val="0"/>
          <w:sz w:val="22"/>
          <w:u w:val="none"/>
        </w:rPr>
        <w:t>Date: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