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40" w:lineRule="auto"/>
        <w:jc w:val="center"/>
      </w:pPr>
      <w:r>
        <w:rPr>
          <w:rFonts w:ascii="Times New Roman" w:hAnsi="Times New Roman"/>
          <w:b w:val="0"/>
          <w:i w:val="0"/>
          <w:smallCaps w:val="0"/>
          <w:sz w:val="48"/>
        </w:rPr>
        <w:t>Who Gets Credit for the Sale? Recency Bias in Last-Click Attribution and the Case for Comparing Attribution Models</w:t>
      </w:r>
    </w:p>
    <w:tbl>
      <w:tblPr>
        <w:tblW w:type="auto" w:w="0"/>
        <w:jc w:val="center"/>
        <w:tblLook w:firstColumn="1" w:firstRow="1" w:lastColumn="0" w:lastRow="0" w:noHBand="0" w:noVBand="1" w:val="04A0"/>
      </w:tblPr>
      <w:tblGrid>
        <w:gridCol w:w="3480"/>
        <w:gridCol w:w="3480"/>
        <w:gridCol w:w="3480"/>
      </w:tblGrid>
      <w:tr>
        <w:tc>
          <w:tcPr>
            <w:tcW w:type="dxa" w:w="3312"/>
          </w:tcPr>
          <w:p>
            <w:pPr>
              <w:jc w:val="center"/>
            </w:pPr>
            <w:r/>
            <w:r>
              <w:rPr>
                <w:rFonts w:ascii="Times New Roman" w:hAnsi="Times New Roman"/>
                <w:i w:val="0"/>
                <w:sz w:val="22"/>
              </w:rPr>
              <w:t>Nishaad Gangal</w:t>
            </w:r>
          </w:p>
          <w:p>
            <w:pPr>
              <w:jc w:val="center"/>
            </w:pPr>
            <w:r>
              <w:rPr>
                <w:rFonts w:ascii="Times New Roman" w:hAnsi="Times New Roman"/>
                <w:i/>
                <w:sz w:val="18"/>
              </w:rPr>
              <w:t>Dept. of Information Technology</w:t>
            </w:r>
          </w:p>
          <w:p>
            <w:pPr>
              <w:jc w:val="center"/>
            </w:pPr>
            <w:r>
              <w:rPr>
                <w:rFonts w:ascii="Times New Roman" w:hAnsi="Times New Roman"/>
                <w:i/>
                <w:sz w:val="18"/>
              </w:rPr>
              <w:t>Pimpri Chinchwad College of Engineering</w:t>
            </w:r>
          </w:p>
          <w:p>
            <w:pPr>
              <w:jc w:val="center"/>
            </w:pPr>
            <w:r>
              <w:rPr>
                <w:rFonts w:ascii="Times New Roman" w:hAnsi="Times New Roman"/>
                <w:i/>
                <w:sz w:val="18"/>
              </w:rPr>
              <w:t>Pune, India</w:t>
            </w:r>
          </w:p>
          <w:p>
            <w:pPr>
              <w:jc w:val="center"/>
            </w:pPr>
            <w:r>
              <w:rPr>
                <w:rFonts w:ascii="Times New Roman" w:hAnsi="Times New Roman"/>
                <w:i w:val="0"/>
                <w:sz w:val="18"/>
              </w:rPr>
              <w:t>nishaad.gangal23@pccoepune.org</w:t>
            </w:r>
          </w:p>
        </w:tc>
        <w:tc>
          <w:tcPr>
            <w:tcW w:type="dxa" w:w="3312"/>
          </w:tcPr>
          <w:p>
            <w:pPr>
              <w:jc w:val="center"/>
            </w:pPr>
            <w:r/>
            <w:r>
              <w:rPr>
                <w:rFonts w:ascii="Times New Roman" w:hAnsi="Times New Roman"/>
                <w:i w:val="0"/>
                <w:sz w:val="22"/>
              </w:rPr>
              <w:t>Om Katole</w:t>
            </w:r>
          </w:p>
          <w:p>
            <w:pPr>
              <w:jc w:val="center"/>
            </w:pPr>
            <w:r>
              <w:rPr>
                <w:rFonts w:ascii="Times New Roman" w:hAnsi="Times New Roman"/>
                <w:i/>
                <w:sz w:val="18"/>
              </w:rPr>
              <w:t>Dept. of Information Technology</w:t>
            </w:r>
          </w:p>
          <w:p>
            <w:pPr>
              <w:jc w:val="center"/>
            </w:pPr>
            <w:r>
              <w:rPr>
                <w:rFonts w:ascii="Times New Roman" w:hAnsi="Times New Roman"/>
                <w:i/>
                <w:sz w:val="18"/>
              </w:rPr>
              <w:t>Pimpri Chinchwad College of Engineering</w:t>
            </w:r>
          </w:p>
          <w:p>
            <w:pPr>
              <w:jc w:val="center"/>
            </w:pPr>
            <w:r>
              <w:rPr>
                <w:rFonts w:ascii="Times New Roman" w:hAnsi="Times New Roman"/>
                <w:i/>
                <w:sz w:val="18"/>
              </w:rPr>
              <w:t>Pune, India</w:t>
            </w:r>
          </w:p>
          <w:p>
            <w:pPr>
              <w:jc w:val="center"/>
            </w:pPr>
            <w:r>
              <w:rPr>
                <w:rFonts w:ascii="Times New Roman" w:hAnsi="Times New Roman"/>
                <w:i w:val="0"/>
                <w:sz w:val="18"/>
              </w:rPr>
              <w:t>om.katole23@pccoepune.org</w:t>
            </w:r>
          </w:p>
        </w:tc>
        <w:tc>
          <w:tcPr>
            <w:tcW w:type="dxa" w:w="3312"/>
          </w:tcPr>
          <w:p>
            <w:pPr>
              <w:jc w:val="center"/>
            </w:pPr>
            <w:r/>
            <w:r>
              <w:rPr>
                <w:rFonts w:ascii="Times New Roman" w:hAnsi="Times New Roman"/>
                <w:i w:val="0"/>
                <w:sz w:val="22"/>
              </w:rPr>
              <w:t>Satyam Kumar</w:t>
            </w:r>
          </w:p>
          <w:p>
            <w:pPr>
              <w:jc w:val="center"/>
            </w:pPr>
            <w:r>
              <w:rPr>
                <w:rFonts w:ascii="Times New Roman" w:hAnsi="Times New Roman"/>
                <w:i/>
                <w:sz w:val="18"/>
              </w:rPr>
              <w:t>Dept. of Information Technology</w:t>
            </w:r>
          </w:p>
          <w:p>
            <w:pPr>
              <w:jc w:val="center"/>
            </w:pPr>
            <w:r>
              <w:rPr>
                <w:rFonts w:ascii="Times New Roman" w:hAnsi="Times New Roman"/>
                <w:i/>
                <w:sz w:val="18"/>
              </w:rPr>
              <w:t>Pimpri Chinchwad College of Engineering</w:t>
            </w:r>
          </w:p>
          <w:p>
            <w:pPr>
              <w:jc w:val="center"/>
            </w:pPr>
            <w:r>
              <w:rPr>
                <w:rFonts w:ascii="Times New Roman" w:hAnsi="Times New Roman"/>
                <w:i/>
                <w:sz w:val="18"/>
              </w:rPr>
              <w:t>Pune, India</w:t>
            </w:r>
          </w:p>
          <w:p>
            <w:pPr>
              <w:jc w:val="center"/>
            </w:pPr>
            <w:r>
              <w:rPr>
                <w:rFonts w:ascii="Times New Roman" w:hAnsi="Times New Roman"/>
                <w:i w:val="0"/>
                <w:sz w:val="18"/>
              </w:rPr>
              <w:t>satyam.kumar23@pccoepune.org</w:t>
            </w:r>
          </w:p>
        </w:tc>
      </w:tr>
    </w:tbl>
    <w:p>
      <w:pPr>
        <w:spacing w:after="120" w:before="0" w:line="240" w:lineRule="auto"/>
        <w:ind w:firstLine="202"/>
        <w:jc w:val="both"/>
      </w:pPr>
    </w:p>
    <w:tbl>
      <w:tblPr>
        <w:tblW w:type="auto" w:w="0"/>
        <w:jc w:val="center"/>
        <w:tblLook w:firstColumn="1" w:firstRow="1" w:lastColumn="0" w:lastRow="0" w:noHBand="0" w:noVBand="1" w:val="04A0"/>
      </w:tblPr>
      <w:tblGrid>
        <w:gridCol w:w="5220"/>
        <w:gridCol w:w="5220"/>
      </w:tblGrid>
      <w:tr>
        <w:tc>
          <w:tcPr>
            <w:tcW w:type="dxa" w:w="3312"/>
          </w:tcPr>
          <w:p>
            <w:pPr>
              <w:jc w:val="center"/>
            </w:pPr>
            <w:r/>
            <w:r>
              <w:rPr>
                <w:rFonts w:ascii="Times New Roman" w:hAnsi="Times New Roman"/>
                <w:i w:val="0"/>
                <w:sz w:val="22"/>
              </w:rPr>
              <w:t>Akshat Jhanwar</w:t>
            </w:r>
          </w:p>
          <w:p>
            <w:pPr>
              <w:jc w:val="center"/>
            </w:pPr>
            <w:r>
              <w:rPr>
                <w:rFonts w:ascii="Times New Roman" w:hAnsi="Times New Roman"/>
                <w:i/>
                <w:sz w:val="18"/>
              </w:rPr>
              <w:t>Dept. of Information Technology</w:t>
            </w:r>
          </w:p>
          <w:p>
            <w:pPr>
              <w:jc w:val="center"/>
            </w:pPr>
            <w:r>
              <w:rPr>
                <w:rFonts w:ascii="Times New Roman" w:hAnsi="Times New Roman"/>
                <w:i/>
                <w:sz w:val="18"/>
              </w:rPr>
              <w:t>Pimpri Chinchwad College of Engineering</w:t>
            </w:r>
          </w:p>
          <w:p>
            <w:pPr>
              <w:jc w:val="center"/>
            </w:pPr>
            <w:r>
              <w:rPr>
                <w:rFonts w:ascii="Times New Roman" w:hAnsi="Times New Roman"/>
                <w:i/>
                <w:sz w:val="18"/>
              </w:rPr>
              <w:t>Pune, India</w:t>
            </w:r>
          </w:p>
          <w:p>
            <w:pPr>
              <w:jc w:val="center"/>
            </w:pPr>
            <w:r>
              <w:rPr>
                <w:rFonts w:ascii="Times New Roman" w:hAnsi="Times New Roman"/>
                <w:i w:val="0"/>
                <w:sz w:val="18"/>
              </w:rPr>
              <w:t>akshat.jhanwar23@pccoepune.org</w:t>
            </w:r>
          </w:p>
        </w:tc>
        <w:tc>
          <w:tcPr>
            <w:tcW w:type="dxa" w:w="3312"/>
          </w:tcPr>
          <w:p>
            <w:pPr>
              <w:jc w:val="center"/>
            </w:pPr>
            <w:r/>
            <w:r>
              <w:rPr>
                <w:rFonts w:ascii="Times New Roman" w:hAnsi="Times New Roman"/>
                <w:i w:val="0"/>
                <w:sz w:val="22"/>
              </w:rPr>
              <w:t>Minal Shahakar</w:t>
            </w:r>
          </w:p>
          <w:p>
            <w:pPr>
              <w:jc w:val="center"/>
            </w:pPr>
            <w:r>
              <w:rPr>
                <w:rFonts w:ascii="Times New Roman" w:hAnsi="Times New Roman"/>
                <w:i/>
                <w:sz w:val="18"/>
              </w:rPr>
              <w:t>Dept. of Computer Engineering (Regional Language)</w:t>
            </w:r>
          </w:p>
          <w:p>
            <w:pPr>
              <w:jc w:val="center"/>
            </w:pPr>
            <w:r>
              <w:rPr>
                <w:rFonts w:ascii="Times New Roman" w:hAnsi="Times New Roman"/>
                <w:i/>
                <w:sz w:val="18"/>
              </w:rPr>
              <w:t>Pimpri Chinchwad College of Engineering</w:t>
            </w:r>
          </w:p>
          <w:p>
            <w:pPr>
              <w:jc w:val="center"/>
            </w:pPr>
            <w:r>
              <w:rPr>
                <w:rFonts w:ascii="Times New Roman" w:hAnsi="Times New Roman"/>
                <w:i/>
                <w:sz w:val="18"/>
              </w:rPr>
              <w:t>Pune, India</w:t>
            </w:r>
          </w:p>
          <w:p>
            <w:pPr>
              <w:jc w:val="center"/>
            </w:pPr>
            <w:r>
              <w:rPr>
                <w:rFonts w:ascii="Times New Roman" w:hAnsi="Times New Roman"/>
                <w:i w:val="0"/>
                <w:sz w:val="18"/>
              </w:rPr>
              <w:t>minal.shahakar@pccoepune.org</w:t>
            </w:r>
          </w:p>
        </w:tc>
      </w:tr>
    </w:tbl>
    <w:p>
      <w:pPr>
        <w:spacing w:after="120" w:before="0" w:line="240" w:lineRule="auto"/>
        <w:ind w:firstLine="202"/>
        <w:jc w:val="both"/>
      </w:pPr>
    </w:p>
    <w:p>
      <w:pPr>
        <w:spacing w:after="200" w:before="0" w:line="240" w:lineRule="auto"/>
        <w:ind w:firstLine="202"/>
        <w:jc w:val="both"/>
      </w:pPr>
    </w:p>
    <w:p>
      <w:pPr>
        <w:sectPr>
          <w:pgSz w:w="12240" w:h="15840"/>
          <w:pgMar w:top="1080" w:right="900" w:bottom="1440" w:left="900" w:header="720" w:footer="720" w:gutter="0"/>
          <w:cols w:space="720"/>
          <w:docGrid w:linePitch="360"/>
        </w:sectPr>
      </w:pPr>
    </w:p>
    <w:p>
      <w:pPr>
        <w:spacing w:after="120" w:before="0" w:line="240" w:lineRule="auto"/>
        <w:jc w:val="both"/>
      </w:pPr>
      <w:r>
        <w:rPr>
          <w:rFonts w:ascii="Times New Roman" w:hAnsi="Times New Roman"/>
          <w:b/>
          <w:i/>
          <w:smallCaps w:val="0"/>
          <w:sz w:val="18"/>
        </w:rPr>
        <w:t>Abstract</w:t>
      </w:r>
      <w:r>
        <w:rPr>
          <w:rFonts w:ascii="Times New Roman" w:hAnsi="Times New Roman"/>
          <w:b/>
          <w:i w:val="0"/>
          <w:smallCaps w:val="0"/>
          <w:sz w:val="18"/>
        </w:rPr>
        <w:t>—</w:t>
      </w:r>
      <w:r>
        <w:rPr>
          <w:rFonts w:ascii="Times New Roman" w:hAnsi="Times New Roman"/>
          <w:b/>
          <w:i w:val="0"/>
          <w:smallCaps w:val="0"/>
          <w:sz w:val="18"/>
        </w:rPr>
        <w:t>Customers usually interact with several digital channels before buying, yet most businesses judge channels by last-click reports. We study multi-channel attribution and conversion using four public datasets, a known-answer simulation. In 16.5 million Criteo display impressions, only 54.2% of 435,810 conversions that followed a Criteo click were credited to Criteo under the advertiser's last-click rule. Credit was driven by recency: it fell from 87% when the purchase came within an hour of the click to 26% after 7 to 31 days (logistic odds ratio 0.61 per unit of log hours), while additional clicks barely mattered (odds ratio 1.04). In 10,022 real Google Analytics 360 journeys, 52% of buyers returned over several sessions but only 12% used more than one channel; within those, first and last touch disagreed sharply (Direct 42% against 1% of the credit). In 12,205 e-commerce sessions, new visitors converted at 24.9% against 14.1% for returning visitors, and early-session behaviour predicted purchase with ROC-AUC 0.78. A simulation with known channel effects showed that no attribution model is best everywhere: last touch was most accurate when advertising acts immediately (4.2 percentage points mean error) and time decay when it acts with carry-over (5.7 points), while first touch was worst in both. We release ChannelTrace, a free tool that applies seven attribution models to a business's own Google Ads, Meta Ads or journey data and explains the results through a grounded AI assistant.</w:t>
      </w:r>
    </w:p>
    <w:p>
      <w:pPr>
        <w:spacing w:after="160" w:before="0" w:line="240" w:lineRule="auto"/>
        <w:jc w:val="both"/>
      </w:pPr>
      <w:r>
        <w:rPr>
          <w:rFonts w:ascii="Times New Roman" w:hAnsi="Times New Roman"/>
          <w:b/>
          <w:i/>
          <w:smallCaps w:val="0"/>
          <w:sz w:val="18"/>
        </w:rPr>
        <w:t>Index Terms</w:t>
      </w:r>
      <w:r>
        <w:rPr>
          <w:rFonts w:ascii="Times New Roman" w:hAnsi="Times New Roman"/>
          <w:b/>
          <w:i w:val="0"/>
          <w:smallCaps w:val="0"/>
          <w:sz w:val="18"/>
        </w:rPr>
        <w:t>—</w:t>
      </w:r>
      <w:r>
        <w:rPr>
          <w:rFonts w:ascii="Times New Roman" w:hAnsi="Times New Roman"/>
          <w:b/>
          <w:i w:val="0"/>
          <w:smallCaps w:val="0"/>
          <w:sz w:val="18"/>
        </w:rPr>
        <w:t>multi-touch attribution, last-click, customer journey, conversion prediction, Markov chain, Shapley value, retrieval-grounded assistant, digital marketing analytics</w:t>
      </w:r>
    </w:p>
    <w:p>
      <w:pPr>
        <w:keepNext/>
        <w:spacing w:after="60" w:before="160" w:line="240" w:lineRule="auto"/>
        <w:jc w:val="center"/>
      </w:pPr>
      <w:r>
        <w:rPr>
          <w:rFonts w:ascii="Times New Roman" w:hAnsi="Times New Roman"/>
          <w:b w:val="0"/>
          <w:i w:val="0"/>
          <w:smallCaps/>
          <w:sz w:val="20"/>
        </w:rPr>
        <w:t>I. Introduction</w:t>
      </w:r>
    </w:p>
    <w:p>
      <w:pPr>
        <w:spacing w:after="0" w:before="0" w:line="240" w:lineRule="auto"/>
        <w:ind w:firstLine="202"/>
        <w:jc w:val="both"/>
      </w:pPr>
      <w:r>
        <w:rPr>
          <w:rFonts w:ascii="Times New Roman" w:hAnsi="Times New Roman"/>
          <w:b w:val="0"/>
          <w:i w:val="0"/>
          <w:smallCaps w:val="0"/>
          <w:sz w:val="20"/>
        </w:rPr>
        <w:t>A typical online purchase is preceded by several touchpoints: a social media advertisement, a search, an email, a direct return visit. The customer journey has replaced the linear purchase funnel as the way marketers describe this process [1], [2], and digital channels make each step of it measurable [3]. Attribution decides how much credit each channel receives for the resulting sale. Because budgets follow credit, the attribution rule shapes which channels are funded and which are cut.</w:t>
      </w:r>
    </w:p>
    <w:p>
      <w:pPr>
        <w:spacing w:after="0" w:before="0" w:line="240" w:lineRule="auto"/>
        <w:ind w:firstLine="202"/>
        <w:jc w:val="both"/>
      </w:pPr>
      <w:r>
        <w:rPr>
          <w:rFonts w:ascii="Times New Roman" w:hAnsi="Times New Roman"/>
          <w:b w:val="0"/>
          <w:i w:val="0"/>
          <w:smallCaps w:val="0"/>
          <w:sz w:val="20"/>
        </w:rPr>
        <w:t>In practice most reports still use last-click attribution, which gives all credit to the final interaction. The rule is simple but it distorts incentives, rewarding channels that appear late in the journey [4]. Each advertising platform also reports from its own perspective, so several platforms can claim the same sale while channels that start journeys appear to contribute little. Google has retired the first-click, linear, time-decay and position-based models from Google Ads, leaving last click and its own data-driven model [5], whose workings an advertiser cannot inspect. The gold standard, a randomised experiment, is expensive and statistically demanding even for very large advertisers [6], [7], and is out of reach for a small business.</w:t>
      </w:r>
    </w:p>
    <w:p>
      <w:pPr>
        <w:spacing w:after="0" w:before="0" w:line="240" w:lineRule="auto"/>
        <w:ind w:firstLine="202"/>
        <w:jc w:val="both"/>
      </w:pPr>
      <w:r>
        <w:rPr>
          <w:rFonts w:ascii="Times New Roman" w:hAnsi="Times New Roman"/>
          <w:b w:val="0"/>
          <w:i w:val="0"/>
          <w:smallCaps w:val="0"/>
          <w:sz w:val="20"/>
        </w:rPr>
        <w:t>Data-driven alternatives have been proposed for over a decade [8]-[11], but they are usually evaluated on proprietary data without ground truth, and they are rarely available to the small businesses, student teams and local marketers who most need simple, trustworthy guidance. This paper takes a practitioner's view of the problem and asks five research questions:</w:t>
      </w:r>
    </w:p>
    <w:p>
      <w:pPr>
        <w:spacing w:after="0" w:before="0" w:line="240" w:lineRule="auto"/>
        <w:ind w:left="202"/>
        <w:jc w:val="both"/>
      </w:pPr>
      <w:r>
        <w:rPr>
          <w:rFonts w:ascii="Times New Roman" w:hAnsi="Times New Roman"/>
          <w:b w:val="0"/>
          <w:i/>
          <w:smallCaps w:val="0"/>
          <w:sz w:val="20"/>
        </w:rPr>
        <w:t>RQ1:</w:t>
      </w:r>
      <w:r>
        <w:rPr>
          <w:rFonts w:ascii="Times New Roman" w:hAnsi="Times New Roman"/>
          <w:b w:val="0"/>
          <w:i w:val="0"/>
          <w:smallCaps w:val="0"/>
          <w:sz w:val="20"/>
        </w:rPr>
        <w:t xml:space="preserve"> what channel journeys precede a conversion?</w:t>
      </w:r>
    </w:p>
    <w:p>
      <w:pPr>
        <w:spacing w:after="0" w:before="0" w:line="240" w:lineRule="auto"/>
        <w:ind w:left="202"/>
        <w:jc w:val="both"/>
      </w:pPr>
      <w:r>
        <w:rPr>
          <w:rFonts w:ascii="Times New Roman" w:hAnsi="Times New Roman"/>
          <w:b w:val="0"/>
          <w:i/>
          <w:smallCaps w:val="0"/>
          <w:sz w:val="20"/>
        </w:rPr>
        <w:t>RQ2:</w:t>
      </w:r>
      <w:r>
        <w:rPr>
          <w:rFonts w:ascii="Times New Roman" w:hAnsi="Times New Roman"/>
          <w:b w:val="0"/>
          <w:i w:val="0"/>
          <w:smallCaps w:val="0"/>
          <w:sz w:val="20"/>
        </w:rPr>
        <w:t xml:space="preserve"> how do converting and non-converting sessions differ?</w:t>
      </w:r>
    </w:p>
    <w:p>
      <w:pPr>
        <w:spacing w:after="0" w:before="0" w:line="240" w:lineRule="auto"/>
        <w:ind w:left="202"/>
        <w:jc w:val="both"/>
      </w:pPr>
      <w:r>
        <w:rPr>
          <w:rFonts w:ascii="Times New Roman" w:hAnsi="Times New Roman"/>
          <w:b w:val="0"/>
          <w:i/>
          <w:smallCaps w:val="0"/>
          <w:sz w:val="20"/>
        </w:rPr>
        <w:t>RQ3:</w:t>
      </w:r>
      <w:r>
        <w:rPr>
          <w:rFonts w:ascii="Times New Roman" w:hAnsi="Times New Roman"/>
          <w:b w:val="0"/>
          <w:i w:val="0"/>
          <w:smallCaps w:val="0"/>
          <w:sz w:val="20"/>
        </w:rPr>
        <w:t xml:space="preserve"> does a channel's estimated importance change with the attribution model, and which model is most accurate?</w:t>
      </w:r>
    </w:p>
    <w:p>
      <w:pPr>
        <w:spacing w:after="0" w:before="0" w:line="240" w:lineRule="auto"/>
        <w:ind w:left="202"/>
        <w:jc w:val="both"/>
      </w:pPr>
      <w:r>
        <w:rPr>
          <w:rFonts w:ascii="Times New Roman" w:hAnsi="Times New Roman"/>
          <w:b w:val="0"/>
          <w:i/>
          <w:smallCaps w:val="0"/>
          <w:sz w:val="20"/>
        </w:rPr>
        <w:t>RQ4:</w:t>
      </w:r>
      <w:r>
        <w:rPr>
          <w:rFonts w:ascii="Times New Roman" w:hAnsi="Times New Roman"/>
          <w:b w:val="0"/>
          <w:i w:val="0"/>
          <w:smallCaps w:val="0"/>
          <w:sz w:val="20"/>
        </w:rPr>
        <w:t xml:space="preserve"> which visitor and session characteristics are associated with conversion?</w:t>
      </w:r>
    </w:p>
    <w:p>
      <w:pPr>
        <w:spacing w:after="0" w:before="0" w:line="240" w:lineRule="auto"/>
        <w:ind w:left="202"/>
        <w:jc w:val="both"/>
      </w:pPr>
      <w:r>
        <w:rPr>
          <w:rFonts w:ascii="Times New Roman" w:hAnsi="Times New Roman"/>
          <w:b w:val="0"/>
          <w:i/>
          <w:smallCaps w:val="0"/>
          <w:sz w:val="20"/>
        </w:rPr>
        <w:t>RQ5:</w:t>
      </w:r>
      <w:r>
        <w:rPr>
          <w:rFonts w:ascii="Times New Roman" w:hAnsi="Times New Roman"/>
          <w:b w:val="0"/>
          <w:i w:val="0"/>
          <w:smallCaps w:val="0"/>
          <w:sz w:val="20"/>
        </w:rPr>
        <w:t xml:space="preserve"> can these methods be packaged so that a small business obtains correct, usable insight from its own data?</w:t>
      </w:r>
    </w:p>
    <w:p>
      <w:pPr>
        <w:spacing w:after="0" w:before="40" w:line="240" w:lineRule="auto"/>
        <w:ind w:firstLine="202"/>
        <w:jc w:val="both"/>
      </w:pPr>
      <w:r>
        <w:rPr>
          <w:rFonts w:ascii="Times New Roman" w:hAnsi="Times New Roman"/>
          <w:b w:val="0"/>
          <w:i w:val="0"/>
          <w:smallCaps w:val="0"/>
          <w:sz w:val="20"/>
        </w:rPr>
        <w:t>Our contributions are: (i) evidence from 16.5 million real display impressions that last-click credit is governed mainly by recency; (ii) a cross-session analysis of real multi-channel journeys showing where attribution models disagree; (iii) a known-answer simulation showing that the most accurate attribution model depends on how advertising works, which argues for comparing models rather than choosing one; (iv) an analysis of session behaviour associated with purchase; and (v) ChannelTrace, an open, zero-cost tool that implements the methods for any business's data, with a grounded assistant that explains the results in plain language.</w:t>
      </w:r>
    </w:p>
    <w:p>
      <w:pPr>
        <w:spacing w:after="0" w:before="0" w:line="240" w:lineRule="auto"/>
        <w:ind w:firstLine="202"/>
        <w:jc w:val="both"/>
      </w:pPr>
      <w:r>
        <w:rPr>
          <w:rFonts w:ascii="Times New Roman" w:hAnsi="Times New Roman"/>
          <w:b w:val="0"/>
          <w:i w:val="0"/>
          <w:smallCaps w:val="0"/>
          <w:sz w:val="20"/>
        </w:rPr>
        <w:t>Section II reviews related work. Section III describes the data and Section IV the methods. Section V presents the ChannelTrace system and Section VI the results. Section VII discusses implications and threats to validity, Section VIII limitations and future work, and Section IX concludes.</w:t>
      </w:r>
    </w:p>
    <w:p>
      <w:pPr>
        <w:keepNext/>
        <w:spacing w:after="60" w:before="160" w:line="240" w:lineRule="auto"/>
        <w:jc w:val="center"/>
      </w:pPr>
      <w:r>
        <w:rPr>
          <w:rFonts w:ascii="Times New Roman" w:hAnsi="Times New Roman"/>
          <w:b w:val="0"/>
          <w:i w:val="0"/>
          <w:smallCaps/>
          <w:sz w:val="20"/>
        </w:rPr>
        <w:t>II. Related Work</w:t>
      </w:r>
    </w:p>
    <w:p>
      <w:pPr>
        <w:keepNext/>
        <w:spacing w:after="40" w:before="80" w:line="240" w:lineRule="auto"/>
        <w:jc w:val="left"/>
      </w:pPr>
      <w:r>
        <w:rPr>
          <w:rFonts w:ascii="Times New Roman" w:hAnsi="Times New Roman"/>
          <w:b w:val="0"/>
          <w:i/>
          <w:smallCaps w:val="0"/>
          <w:sz w:val="20"/>
        </w:rPr>
        <w:t>A. Customer Journeys and Multichannel Marketing</w:t>
      </w:r>
    </w:p>
    <w:p>
      <w:pPr>
        <w:spacing w:after="0" w:before="0" w:line="240" w:lineRule="auto"/>
        <w:ind w:firstLine="202"/>
        <w:jc w:val="both"/>
      </w:pPr>
      <w:r>
        <w:rPr>
          <w:rFonts w:ascii="Times New Roman" w:hAnsi="Times New Roman"/>
          <w:b w:val="0"/>
          <w:i w:val="0"/>
          <w:smallCaps w:val="0"/>
          <w:sz w:val="20"/>
        </w:rPr>
        <w:t>Lemon and Verhoef [2] reviewed the customer journey as a sequence of pre-purchase, purchase and post-purchase touchpoints, many of which the firm does not control. Kannan and Li [3] placed attribution within a broader research agenda for digital marketing and identified it as one of the field's open measurement problems. Wiesel et al. [12] linked online and offline marketing actions to funnel progression and profit, and Kireyev et al. [13] showed that display advertising raises later search activity, so a channel can create value that is credited to another. De Haan et al. [14] compared online advertising forms in a multiple-channel framework and found that last-click attribution undervalues content-integrated advertising.</w:t>
      </w:r>
    </w:p>
    <w:p>
      <w:pPr>
        <w:keepNext/>
        <w:spacing w:after="40" w:before="80" w:line="240" w:lineRule="auto"/>
        <w:jc w:val="left"/>
      </w:pPr>
      <w:r>
        <w:rPr>
          <w:rFonts w:ascii="Times New Roman" w:hAnsi="Times New Roman"/>
          <w:b w:val="0"/>
          <w:i/>
          <w:smallCaps w:val="0"/>
          <w:sz w:val="20"/>
        </w:rPr>
        <w:t>B. Probabilistic and Data-Driven Attribution</w:t>
      </w:r>
    </w:p>
    <w:p>
      <w:pPr>
        <w:spacing w:after="0" w:before="0" w:line="240" w:lineRule="auto"/>
        <w:ind w:firstLine="202"/>
        <w:jc w:val="both"/>
      </w:pPr>
      <w:r>
        <w:rPr>
          <w:rFonts w:ascii="Times New Roman" w:hAnsi="Times New Roman"/>
          <w:b w:val="0"/>
          <w:i w:val="0"/>
          <w:smallCaps w:val="0"/>
          <w:sz w:val="20"/>
        </w:rPr>
        <w:t>Shao and Li [9] proposed learning channel contributions from converting and non-converting histories and argued that a model should be judged on both accuracy and stability. Li and Kannan [8] modelled how customers consider and visit a firm's channels before converting, using individual-level data and a field experiment, and showed that channel contributions differ substantially from what last-click metrics suggest. Anderl et al. [10] represented journeys as Markov chains and measured each channel by its removal effect, finding that heuristic models misallocate credit. Xu et al. [15] modelled ad exposures and conversions as mutually exciting point processes, and Ji and Wang [16] used survival analysis with additive hazards so that the influence of an exposure decays over time. Berman [4] analysed last-touch attribution theoretically and showed how it can distort advertisers' incentives and spending.</w:t>
      </w:r>
    </w:p>
    <w:p>
      <w:pPr>
        <w:keepNext/>
        <w:spacing w:after="40" w:before="80" w:line="240" w:lineRule="auto"/>
        <w:jc w:val="left"/>
      </w:pPr>
      <w:r>
        <w:rPr>
          <w:rFonts w:ascii="Times New Roman" w:hAnsi="Times New Roman"/>
          <w:b w:val="0"/>
          <w:i/>
          <w:smallCaps w:val="0"/>
          <w:sz w:val="20"/>
        </w:rPr>
        <w:t>C. Game-Theoretic Attribution</w:t>
      </w:r>
    </w:p>
    <w:p>
      <w:pPr>
        <w:spacing w:after="0" w:before="0" w:line="240" w:lineRule="auto"/>
        <w:ind w:firstLine="202"/>
        <w:jc w:val="both"/>
      </w:pPr>
      <w:r>
        <w:rPr>
          <w:rFonts w:ascii="Times New Roman" w:hAnsi="Times New Roman"/>
          <w:b w:val="0"/>
          <w:i w:val="0"/>
          <w:smallCaps w:val="0"/>
          <w:sz w:val="20"/>
        </w:rPr>
        <w:t>The Shapley value [17] divides a joint payoff among players by averaging each player's marginal contribution over all coalitions. Dalessandro et al. [18] framed attribution causally and connected it to the Shapley value, and Zhao et al. [19] developed simplified Shapley methods for online advertising. Singal et al. [20] built an axiomatic framework for attribution, showed how common heuristics fail its axioms, and proposed a counterfactual adjusted Shapley value. The same idea underlies SHAP explanations of machine learning models [21].</w:t>
      </w:r>
    </w:p>
    <w:p>
      <w:pPr>
        <w:keepNext/>
        <w:spacing w:after="40" w:before="80" w:line="240" w:lineRule="auto"/>
        <w:jc w:val="left"/>
      </w:pPr>
      <w:r>
        <w:rPr>
          <w:rFonts w:ascii="Times New Roman" w:hAnsi="Times New Roman"/>
          <w:b w:val="0"/>
          <w:i/>
          <w:smallCaps w:val="0"/>
          <w:sz w:val="20"/>
        </w:rPr>
        <w:t>D. Deep Learning Attribution</w:t>
      </w:r>
    </w:p>
    <w:p>
      <w:pPr>
        <w:spacing w:after="0" w:before="0" w:line="240" w:lineRule="auto"/>
        <w:ind w:firstLine="202"/>
        <w:jc w:val="both"/>
      </w:pPr>
      <w:r>
        <w:rPr>
          <w:rFonts w:ascii="Times New Roman" w:hAnsi="Times New Roman"/>
          <w:b w:val="0"/>
          <w:i w:val="0"/>
          <w:smallCaps w:val="0"/>
          <w:sz w:val="20"/>
        </w:rPr>
        <w:t>Recent work learns attribution from sequences with neural networks. Li et al. [22] used attention over touchpoints with user controls; Ren et al. [23] proposed a dual-attention recurrent network that combines post-view and post-click effects; Du et al. [24] used a recurrent network with counterfactual reasoning to estimate incremental contributions; and Kumar et al. [25] added a causal correction for selection bias in channel exposure. Several of these models are evaluated on the Criteo attribution dataset [11], which we also use. Their accuracy is measured by conversion prediction, which does not directly test whether the credit is correct.</w:t>
      </w:r>
    </w:p>
    <w:p>
      <w:pPr>
        <w:keepNext/>
        <w:spacing w:after="40" w:before="80" w:line="240" w:lineRule="auto"/>
        <w:jc w:val="left"/>
      </w:pPr>
      <w:r>
        <w:rPr>
          <w:rFonts w:ascii="Times New Roman" w:hAnsi="Times New Roman"/>
          <w:b w:val="0"/>
          <w:i/>
          <w:smallCaps w:val="0"/>
          <w:sz w:val="20"/>
        </w:rPr>
        <w:t>E. Experiments and Incrementality</w:t>
      </w:r>
    </w:p>
    <w:p>
      <w:pPr>
        <w:spacing w:after="0" w:before="0" w:line="240" w:lineRule="auto"/>
        <w:ind w:firstLine="202"/>
        <w:jc w:val="both"/>
      </w:pPr>
      <w:r>
        <w:rPr>
          <w:rFonts w:ascii="Times New Roman" w:hAnsi="Times New Roman"/>
          <w:b w:val="0"/>
          <w:i w:val="0"/>
          <w:smallCaps w:val="0"/>
          <w:sz w:val="20"/>
        </w:rPr>
        <w:t>Field experiments measure what attribution can only approximate. Blake et al. [26] found that eBay's brand-keyword search advertising produced little incremental revenue, Johnson et al. [27] introduced "ghost ads" to make experiments cheaper, and Gordon et al. [7] showed in large Facebook experiments that observational methods often fail to recover experimental lift. Lewis and Rao [6] explained why even large experiments struggle to measure returns precisely. These results motivate a known-answer test of attribution models when experiments are not available.</w:t>
      </w:r>
    </w:p>
    <w:p>
      <w:pPr>
        <w:keepNext/>
        <w:spacing w:after="40" w:before="80" w:line="240" w:lineRule="auto"/>
        <w:jc w:val="left"/>
      </w:pPr>
      <w:r>
        <w:rPr>
          <w:rFonts w:ascii="Times New Roman" w:hAnsi="Times New Roman"/>
          <w:b w:val="0"/>
          <w:i/>
          <w:smallCaps w:val="0"/>
          <w:sz w:val="20"/>
        </w:rPr>
        <w:t>F. Clickstream Conversion Prediction</w:t>
      </w:r>
    </w:p>
    <w:p>
      <w:pPr>
        <w:spacing w:after="0" w:before="0" w:line="240" w:lineRule="auto"/>
        <w:ind w:firstLine="202"/>
        <w:jc w:val="both"/>
      </w:pPr>
      <w:r>
        <w:rPr>
          <w:rFonts w:ascii="Times New Roman" w:hAnsi="Times New Roman"/>
          <w:b w:val="0"/>
          <w:i w:val="0"/>
          <w:smallCaps w:val="0"/>
          <w:sz w:val="20"/>
        </w:rPr>
        <w:t>Moe and Fader [28] modelled how conversion probability evolves over repeated store visits, Montgomery et al. [29] predicted purchase from page-to-page browsing paths, and Bucklin and Sismeiro [30] reviewed clickstream analysis in marketing. Sakar et al. [31] predicted purchasing intention from session data and released the UCI Online Shoppers dataset used here.</w:t>
      </w:r>
    </w:p>
    <w:p>
      <w:pPr>
        <w:keepNext/>
        <w:spacing w:after="40" w:before="80" w:line="240" w:lineRule="auto"/>
        <w:jc w:val="left"/>
      </w:pPr>
      <w:r>
        <w:rPr>
          <w:rFonts w:ascii="Times New Roman" w:hAnsi="Times New Roman"/>
          <w:b w:val="0"/>
          <w:i/>
          <w:smallCaps w:val="0"/>
          <w:sz w:val="20"/>
        </w:rPr>
        <w:t>G. Research Gap</w:t>
      </w:r>
    </w:p>
    <w:p>
      <w:pPr>
        <w:keepNext/>
        <w:spacing w:after="0" w:before="120" w:line="240" w:lineRule="auto"/>
        <w:jc w:val="center"/>
      </w:pPr>
      <w:r>
        <w:rPr>
          <w:rFonts w:ascii="Times New Roman" w:hAnsi="Times New Roman"/>
          <w:b w:val="0"/>
          <w:i w:val="0"/>
          <w:smallCaps/>
          <w:sz w:val="16"/>
        </w:rPr>
        <w:t>Table I</w:t>
      </w:r>
    </w:p>
    <w:p>
      <w:pPr>
        <w:keepNext/>
        <w:spacing w:after="60" w:before="0" w:line="240" w:lineRule="auto"/>
        <w:jc w:val="center"/>
      </w:pPr>
      <w:r>
        <w:rPr>
          <w:rFonts w:ascii="Times New Roman" w:hAnsi="Times New Roman"/>
          <w:b w:val="0"/>
          <w:i w:val="0"/>
          <w:smallCaps/>
          <w:sz w:val="16"/>
        </w:rPr>
        <w:t>Representative Attribution Studies Compared With This Work</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2610"/>
        <w:gridCol w:w="2610"/>
        <w:gridCol w:w="2610"/>
        <w:gridCol w:w="2610"/>
      </w:tblGrid>
      <w:tr>
        <w:trPr>
          <w:cantSplit/>
          <w:tblHeader/>
        </w:trPr>
        <w:tc>
          <w:tcPr>
            <w:tcW w:type="dxa" w:w="1224"/>
          </w:tcPr>
          <w:p>
            <w:pPr>
              <w:keepNext/>
              <w:jc w:val="left"/>
            </w:pPr>
            <w:r/>
            <w:r>
              <w:rPr>
                <w:rFonts w:ascii="Times New Roman" w:hAnsi="Times New Roman"/>
                <w:b/>
                <w:sz w:val="16"/>
              </w:rPr>
              <w:t>Study</w:t>
            </w:r>
          </w:p>
        </w:tc>
        <w:tc>
          <w:tcPr>
            <w:tcW w:type="dxa" w:w="1368"/>
          </w:tcPr>
          <w:p>
            <w:pPr>
              <w:keepNext/>
              <w:jc w:val="left"/>
            </w:pPr>
            <w:r/>
            <w:r>
              <w:rPr>
                <w:rFonts w:ascii="Times New Roman" w:hAnsi="Times New Roman"/>
                <w:b/>
                <w:sz w:val="16"/>
              </w:rPr>
              <w:t>Data</w:t>
            </w:r>
          </w:p>
        </w:tc>
        <w:tc>
          <w:tcPr>
            <w:tcW w:type="dxa" w:w="1368"/>
          </w:tcPr>
          <w:p>
            <w:pPr>
              <w:keepNext/>
              <w:jc w:val="left"/>
            </w:pPr>
            <w:r/>
            <w:r>
              <w:rPr>
                <w:rFonts w:ascii="Times New Roman" w:hAnsi="Times New Roman"/>
                <w:b/>
                <w:sz w:val="16"/>
              </w:rPr>
              <w:t>Method</w:t>
            </w:r>
          </w:p>
        </w:tc>
        <w:tc>
          <w:tcPr>
            <w:tcW w:type="dxa" w:w="1080"/>
          </w:tcPr>
          <w:p>
            <w:pPr>
              <w:keepNext/>
              <w:jc w:val="left"/>
            </w:pPr>
            <w:r/>
            <w:r>
              <w:rPr>
                <w:rFonts w:ascii="Times New Roman" w:hAnsi="Times New Roman"/>
                <w:b/>
                <w:sz w:val="16"/>
              </w:rPr>
              <w:t>Known truth</w:t>
            </w:r>
          </w:p>
        </w:tc>
      </w:tr>
      <w:tr>
        <w:trPr>
          <w:cantSplit/>
        </w:trPr>
        <w:tc>
          <w:tcPr>
            <w:tcW w:type="dxa" w:w="1224"/>
          </w:tcPr>
          <w:p>
            <w:pPr>
              <w:keepNext/>
              <w:jc w:val="left"/>
            </w:pPr>
            <w:r/>
            <w:r>
              <w:rPr>
                <w:rFonts w:ascii="Times New Roman" w:hAnsi="Times New Roman"/>
                <w:b w:val="0"/>
                <w:sz w:val="16"/>
              </w:rPr>
              <w:t>Shao and Li [9]</w:t>
            </w:r>
          </w:p>
        </w:tc>
        <w:tc>
          <w:tcPr>
            <w:tcW w:type="dxa" w:w="1368"/>
          </w:tcPr>
          <w:p>
            <w:pPr>
              <w:keepNext/>
              <w:jc w:val="left"/>
            </w:pPr>
            <w:r/>
            <w:r>
              <w:rPr>
                <w:rFonts w:ascii="Times New Roman" w:hAnsi="Times New Roman"/>
                <w:b w:val="0"/>
                <w:sz w:val="16"/>
              </w:rPr>
              <w:t>Advertiser campaign logs</w:t>
            </w:r>
          </w:p>
        </w:tc>
        <w:tc>
          <w:tcPr>
            <w:tcW w:type="dxa" w:w="1368"/>
          </w:tcPr>
          <w:p>
            <w:pPr>
              <w:keepNext/>
              <w:jc w:val="left"/>
            </w:pPr>
            <w:r/>
            <w:r>
              <w:rPr>
                <w:rFonts w:ascii="Times New Roman" w:hAnsi="Times New Roman"/>
                <w:b w:val="0"/>
                <w:sz w:val="16"/>
              </w:rPr>
              <w:t>Bagged logistic, probabilistic</w:t>
            </w:r>
          </w:p>
        </w:tc>
        <w:tc>
          <w:tcPr>
            <w:tcW w:type="dxa" w:w="1080"/>
          </w:tcPr>
          <w:p>
            <w:pPr>
              <w:keepNext/>
              <w:jc w:val="left"/>
            </w:pPr>
            <w:r/>
            <w:r>
              <w:rPr>
                <w:rFonts w:ascii="Times New Roman" w:hAnsi="Times New Roman"/>
                <w:b w:val="0"/>
                <w:sz w:val="16"/>
              </w:rPr>
              <w:t>No</w:t>
            </w:r>
          </w:p>
        </w:tc>
      </w:tr>
      <w:tr>
        <w:trPr>
          <w:cantSplit/>
        </w:trPr>
        <w:tc>
          <w:tcPr>
            <w:tcW w:type="dxa" w:w="1224"/>
          </w:tcPr>
          <w:p>
            <w:pPr>
              <w:keepNext/>
              <w:jc w:val="left"/>
            </w:pPr>
            <w:r/>
            <w:r>
              <w:rPr>
                <w:rFonts w:ascii="Times New Roman" w:hAnsi="Times New Roman"/>
                <w:b w:val="0"/>
                <w:sz w:val="16"/>
              </w:rPr>
              <w:t>Li and Kannan [8]</w:t>
            </w:r>
          </w:p>
        </w:tc>
        <w:tc>
          <w:tcPr>
            <w:tcW w:type="dxa" w:w="1368"/>
          </w:tcPr>
          <w:p>
            <w:pPr>
              <w:keepNext/>
              <w:jc w:val="left"/>
            </w:pPr>
            <w:r/>
            <w:r>
              <w:rPr>
                <w:rFonts w:ascii="Times New Roman" w:hAnsi="Times New Roman"/>
                <w:b w:val="0"/>
                <w:sz w:val="16"/>
              </w:rPr>
              <w:t>Hospitality firm journeys</w:t>
            </w:r>
          </w:p>
        </w:tc>
        <w:tc>
          <w:tcPr>
            <w:tcW w:type="dxa" w:w="1368"/>
          </w:tcPr>
          <w:p>
            <w:pPr>
              <w:keepNext/>
              <w:jc w:val="left"/>
            </w:pPr>
            <w:r/>
            <w:r>
              <w:rPr>
                <w:rFonts w:ascii="Times New Roman" w:hAnsi="Times New Roman"/>
                <w:b w:val="0"/>
                <w:sz w:val="16"/>
              </w:rPr>
              <w:t>Bayesian channel model</w:t>
            </w:r>
          </w:p>
        </w:tc>
        <w:tc>
          <w:tcPr>
            <w:tcW w:type="dxa" w:w="1080"/>
          </w:tcPr>
          <w:p>
            <w:pPr>
              <w:keepNext/>
              <w:jc w:val="left"/>
            </w:pPr>
            <w:r/>
            <w:r>
              <w:rPr>
                <w:rFonts w:ascii="Times New Roman" w:hAnsi="Times New Roman"/>
                <w:b w:val="0"/>
                <w:sz w:val="16"/>
              </w:rPr>
              <w:t>Field experiment</w:t>
            </w:r>
          </w:p>
        </w:tc>
      </w:tr>
      <w:tr>
        <w:trPr>
          <w:cantSplit/>
        </w:trPr>
        <w:tc>
          <w:tcPr>
            <w:tcW w:type="dxa" w:w="1224"/>
          </w:tcPr>
          <w:p>
            <w:pPr>
              <w:keepNext/>
              <w:jc w:val="left"/>
            </w:pPr>
            <w:r/>
            <w:r>
              <w:rPr>
                <w:rFonts w:ascii="Times New Roman" w:hAnsi="Times New Roman"/>
                <w:b w:val="0"/>
                <w:sz w:val="16"/>
              </w:rPr>
              <w:t>Anderl et al. [10]</w:t>
            </w:r>
          </w:p>
        </w:tc>
        <w:tc>
          <w:tcPr>
            <w:tcW w:type="dxa" w:w="1368"/>
          </w:tcPr>
          <w:p>
            <w:pPr>
              <w:keepNext/>
              <w:jc w:val="left"/>
            </w:pPr>
            <w:r/>
            <w:r>
              <w:rPr>
                <w:rFonts w:ascii="Times New Roman" w:hAnsi="Times New Roman"/>
                <w:b w:val="0"/>
                <w:sz w:val="16"/>
              </w:rPr>
              <w:t>Four online businesses</w:t>
            </w:r>
          </w:p>
        </w:tc>
        <w:tc>
          <w:tcPr>
            <w:tcW w:type="dxa" w:w="1368"/>
          </w:tcPr>
          <w:p>
            <w:pPr>
              <w:keepNext/>
              <w:jc w:val="left"/>
            </w:pPr>
            <w:r/>
            <w:r>
              <w:rPr>
                <w:rFonts w:ascii="Times New Roman" w:hAnsi="Times New Roman"/>
                <w:b w:val="0"/>
                <w:sz w:val="16"/>
              </w:rPr>
              <w:t>Markov chain</w:t>
            </w:r>
          </w:p>
        </w:tc>
        <w:tc>
          <w:tcPr>
            <w:tcW w:type="dxa" w:w="1080"/>
          </w:tcPr>
          <w:p>
            <w:pPr>
              <w:keepNext/>
              <w:jc w:val="left"/>
            </w:pPr>
            <w:r/>
            <w:r>
              <w:rPr>
                <w:rFonts w:ascii="Times New Roman" w:hAnsi="Times New Roman"/>
                <w:b w:val="0"/>
                <w:sz w:val="16"/>
              </w:rPr>
              <w:t>No</w:t>
            </w:r>
          </w:p>
        </w:tc>
      </w:tr>
      <w:tr>
        <w:trPr>
          <w:cantSplit/>
        </w:trPr>
        <w:tc>
          <w:tcPr>
            <w:tcW w:type="dxa" w:w="1224"/>
          </w:tcPr>
          <w:p>
            <w:pPr>
              <w:keepNext/>
              <w:jc w:val="left"/>
            </w:pPr>
            <w:r/>
            <w:r>
              <w:rPr>
                <w:rFonts w:ascii="Times New Roman" w:hAnsi="Times New Roman"/>
                <w:b w:val="0"/>
                <w:sz w:val="16"/>
              </w:rPr>
              <w:t>Ren et al. [23]</w:t>
            </w:r>
          </w:p>
        </w:tc>
        <w:tc>
          <w:tcPr>
            <w:tcW w:type="dxa" w:w="1368"/>
          </w:tcPr>
          <w:p>
            <w:pPr>
              <w:keepNext/>
              <w:jc w:val="left"/>
            </w:pPr>
            <w:r/>
            <w:r>
              <w:rPr>
                <w:rFonts w:ascii="Times New Roman" w:hAnsi="Times New Roman"/>
                <w:b w:val="0"/>
                <w:sz w:val="16"/>
              </w:rPr>
              <w:t>Criteo and a second ad dataset</w:t>
            </w:r>
          </w:p>
        </w:tc>
        <w:tc>
          <w:tcPr>
            <w:tcW w:type="dxa" w:w="1368"/>
          </w:tcPr>
          <w:p>
            <w:pPr>
              <w:keepNext/>
              <w:jc w:val="left"/>
            </w:pPr>
            <w:r/>
            <w:r>
              <w:rPr>
                <w:rFonts w:ascii="Times New Roman" w:hAnsi="Times New Roman"/>
                <w:b w:val="0"/>
                <w:sz w:val="16"/>
              </w:rPr>
              <w:t>Dual-attention RNN</w:t>
            </w:r>
          </w:p>
        </w:tc>
        <w:tc>
          <w:tcPr>
            <w:tcW w:type="dxa" w:w="1080"/>
          </w:tcPr>
          <w:p>
            <w:pPr>
              <w:keepNext/>
              <w:jc w:val="left"/>
            </w:pPr>
            <w:r/>
            <w:r>
              <w:rPr>
                <w:rFonts w:ascii="Times New Roman" w:hAnsi="Times New Roman"/>
                <w:b w:val="0"/>
                <w:sz w:val="16"/>
              </w:rPr>
              <w:t>No</w:t>
            </w:r>
          </w:p>
        </w:tc>
      </w:tr>
      <w:tr>
        <w:trPr>
          <w:cantSplit/>
        </w:trPr>
        <w:tc>
          <w:tcPr>
            <w:tcW w:type="dxa" w:w="1224"/>
          </w:tcPr>
          <w:p>
            <w:pPr>
              <w:keepNext/>
              <w:jc w:val="left"/>
            </w:pPr>
            <w:r/>
            <w:r>
              <w:rPr>
                <w:rFonts w:ascii="Times New Roman" w:hAnsi="Times New Roman"/>
                <w:b w:val="0"/>
                <w:sz w:val="16"/>
              </w:rPr>
              <w:t>Kumar et al. [25]</w:t>
            </w:r>
          </w:p>
        </w:tc>
        <w:tc>
          <w:tcPr>
            <w:tcW w:type="dxa" w:w="1368"/>
          </w:tcPr>
          <w:p>
            <w:pPr>
              <w:keepNext/>
              <w:jc w:val="left"/>
            </w:pPr>
            <w:r/>
            <w:r>
              <w:rPr>
                <w:rFonts w:ascii="Times New Roman" w:hAnsi="Times New Roman"/>
                <w:b w:val="0"/>
                <w:sz w:val="16"/>
              </w:rPr>
              <w:t>Criteo</w:t>
            </w:r>
          </w:p>
        </w:tc>
        <w:tc>
          <w:tcPr>
            <w:tcW w:type="dxa" w:w="1368"/>
          </w:tcPr>
          <w:p>
            <w:pPr>
              <w:keepNext/>
              <w:jc w:val="left"/>
            </w:pPr>
            <w:r/>
            <w:r>
              <w:rPr>
                <w:rFonts w:ascii="Times New Roman" w:hAnsi="Times New Roman"/>
                <w:b w:val="0"/>
                <w:sz w:val="16"/>
              </w:rPr>
              <w:t>Causal attention RNN</w:t>
            </w:r>
          </w:p>
        </w:tc>
        <w:tc>
          <w:tcPr>
            <w:tcW w:type="dxa" w:w="1080"/>
          </w:tcPr>
          <w:p>
            <w:pPr>
              <w:keepNext/>
              <w:jc w:val="left"/>
            </w:pPr>
            <w:r/>
            <w:r>
              <w:rPr>
                <w:rFonts w:ascii="Times New Roman" w:hAnsi="Times New Roman"/>
                <w:b w:val="0"/>
                <w:sz w:val="16"/>
              </w:rPr>
              <w:t>No</w:t>
            </w:r>
          </w:p>
        </w:tc>
      </w:tr>
      <w:tr>
        <w:trPr>
          <w:cantSplit/>
        </w:trPr>
        <w:tc>
          <w:tcPr>
            <w:tcW w:type="dxa" w:w="1224"/>
          </w:tcPr>
          <w:p>
            <w:pPr>
              <w:keepNext/>
              <w:jc w:val="left"/>
            </w:pPr>
            <w:r/>
            <w:r>
              <w:rPr>
                <w:rFonts w:ascii="Times New Roman" w:hAnsi="Times New Roman"/>
                <w:b w:val="0"/>
                <w:sz w:val="16"/>
              </w:rPr>
              <w:t>Gordon et al. [7]</w:t>
            </w:r>
          </w:p>
        </w:tc>
        <w:tc>
          <w:tcPr>
            <w:tcW w:type="dxa" w:w="1368"/>
          </w:tcPr>
          <w:p>
            <w:pPr>
              <w:keepNext/>
              <w:jc w:val="left"/>
            </w:pPr>
            <w:r/>
            <w:r>
              <w:rPr>
                <w:rFonts w:ascii="Times New Roman" w:hAnsi="Times New Roman"/>
                <w:b w:val="0"/>
                <w:sz w:val="16"/>
              </w:rPr>
              <w:t>15 Facebook experiments</w:t>
            </w:r>
          </w:p>
        </w:tc>
        <w:tc>
          <w:tcPr>
            <w:tcW w:type="dxa" w:w="1368"/>
          </w:tcPr>
          <w:p>
            <w:pPr>
              <w:keepNext/>
              <w:jc w:val="left"/>
            </w:pPr>
            <w:r/>
            <w:r>
              <w:rPr>
                <w:rFonts w:ascii="Times New Roman" w:hAnsi="Times New Roman"/>
                <w:b w:val="0"/>
                <w:sz w:val="16"/>
              </w:rPr>
              <w:t>Experiment vs. observational</w:t>
            </w:r>
          </w:p>
        </w:tc>
        <w:tc>
          <w:tcPr>
            <w:tcW w:type="dxa" w:w="1080"/>
          </w:tcPr>
          <w:p>
            <w:pPr>
              <w:keepNext/>
              <w:jc w:val="left"/>
            </w:pPr>
            <w:r/>
            <w:r>
              <w:rPr>
                <w:rFonts w:ascii="Times New Roman" w:hAnsi="Times New Roman"/>
                <w:b w:val="0"/>
                <w:sz w:val="16"/>
              </w:rPr>
              <w:t>Experiment</w:t>
            </w:r>
          </w:p>
        </w:tc>
      </w:tr>
      <w:tr>
        <w:trPr>
          <w:cantSplit/>
        </w:trPr>
        <w:tc>
          <w:tcPr>
            <w:tcW w:type="dxa" w:w="1224"/>
          </w:tcPr>
          <w:p>
            <w:pPr>
              <w:keepNext w:val="0"/>
              <w:jc w:val="left"/>
            </w:pPr>
            <w:r/>
            <w:r>
              <w:rPr>
                <w:rFonts w:ascii="Times New Roman" w:hAnsi="Times New Roman"/>
                <w:b w:val="0"/>
                <w:sz w:val="16"/>
              </w:rPr>
              <w:t>This work</w:t>
            </w:r>
          </w:p>
        </w:tc>
        <w:tc>
          <w:tcPr>
            <w:tcW w:type="dxa" w:w="1368"/>
          </w:tcPr>
          <w:p>
            <w:pPr>
              <w:keepNext w:val="0"/>
              <w:jc w:val="left"/>
            </w:pPr>
            <w:r/>
            <w:r>
              <w:rPr>
                <w:rFonts w:ascii="Times New Roman" w:hAnsi="Times New Roman"/>
                <w:b w:val="0"/>
                <w:sz w:val="16"/>
              </w:rPr>
              <w:t>Four public datasets</w:t>
            </w:r>
          </w:p>
        </w:tc>
        <w:tc>
          <w:tcPr>
            <w:tcW w:type="dxa" w:w="1368"/>
          </w:tcPr>
          <w:p>
            <w:pPr>
              <w:keepNext w:val="0"/>
              <w:jc w:val="left"/>
            </w:pPr>
            <w:r/>
            <w:r>
              <w:rPr>
                <w:rFonts w:ascii="Times New Roman" w:hAnsi="Times New Roman"/>
                <w:b w:val="0"/>
                <w:sz w:val="16"/>
              </w:rPr>
              <w:t>Seven models compared, open tool</w:t>
            </w:r>
          </w:p>
        </w:tc>
        <w:tc>
          <w:tcPr>
            <w:tcW w:type="dxa" w:w="1080"/>
          </w:tcPr>
          <w:p>
            <w:pPr>
              <w:keepNext w:val="0"/>
              <w:jc w:val="left"/>
            </w:pPr>
            <w:r/>
            <w:r>
              <w:rPr>
                <w:rFonts w:ascii="Times New Roman" w:hAnsi="Times New Roman"/>
                <w:b w:val="0"/>
                <w:sz w:val="16"/>
              </w:rPr>
              <w:t>Simulation</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Table I shows the gap this work addresses. Most studies rely on proprietary data, evaluate a single proposed model and offer nothing a practitioner can run. We combine public data with a simulation in which the true contribution of each channel is known, compare models rather than champion one, and package the methods in a free tool whose assistant explains the results.</w:t>
      </w:r>
    </w:p>
    <w:p>
      <w:pPr>
        <w:keepNext/>
        <w:spacing w:after="60" w:before="160" w:line="240" w:lineRule="auto"/>
        <w:jc w:val="center"/>
      </w:pPr>
      <w:r>
        <w:rPr>
          <w:rFonts w:ascii="Times New Roman" w:hAnsi="Times New Roman"/>
          <w:b w:val="0"/>
          <w:i w:val="0"/>
          <w:smallCaps/>
          <w:sz w:val="20"/>
        </w:rPr>
        <w:t>III. Data</w:t>
      </w:r>
    </w:p>
    <w:p>
      <w:pPr>
        <w:spacing w:after="0" w:before="0" w:line="240" w:lineRule="auto"/>
        <w:ind w:firstLine="202"/>
        <w:jc w:val="both"/>
      </w:pPr>
      <w:r>
        <w:rPr>
          <w:rFonts w:ascii="Times New Roman" w:hAnsi="Times New Roman"/>
          <w:b w:val="0"/>
          <w:i w:val="0"/>
          <w:smallCaps w:val="0"/>
          <w:sz w:val="20"/>
        </w:rPr>
        <w:t>Each dataset is used only for the questions it can support; the datasets come from different populations and are never pooled (Table II).</w:t>
      </w:r>
    </w:p>
    <w:p>
      <w:pPr>
        <w:keepNext/>
        <w:spacing w:after="0" w:before="120" w:line="240" w:lineRule="auto"/>
        <w:jc w:val="center"/>
      </w:pPr>
      <w:r>
        <w:rPr>
          <w:rFonts w:ascii="Times New Roman" w:hAnsi="Times New Roman"/>
          <w:b w:val="0"/>
          <w:i w:val="0"/>
          <w:smallCaps/>
          <w:sz w:val="16"/>
        </w:rPr>
        <w:t>Table II</w:t>
      </w:r>
    </w:p>
    <w:p>
      <w:pPr>
        <w:keepNext/>
        <w:spacing w:after="60" w:before="0" w:line="240" w:lineRule="auto"/>
        <w:jc w:val="center"/>
      </w:pPr>
      <w:r>
        <w:rPr>
          <w:rFonts w:ascii="Times New Roman" w:hAnsi="Times New Roman"/>
          <w:b w:val="0"/>
          <w:i w:val="0"/>
          <w:smallCaps/>
          <w:sz w:val="16"/>
        </w:rPr>
        <w:t>Datasets and Their Role</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3480"/>
        <w:gridCol w:w="3480"/>
        <w:gridCol w:w="3480"/>
      </w:tblGrid>
      <w:tr>
        <w:trPr>
          <w:cantSplit/>
          <w:tblHeader/>
        </w:trPr>
        <w:tc>
          <w:tcPr>
            <w:tcW w:type="dxa" w:w="1440"/>
          </w:tcPr>
          <w:p>
            <w:pPr>
              <w:keepNext/>
              <w:jc w:val="left"/>
            </w:pPr>
            <w:r/>
            <w:r>
              <w:rPr>
                <w:rFonts w:ascii="Times New Roman" w:hAnsi="Times New Roman"/>
                <w:b/>
                <w:sz w:val="16"/>
              </w:rPr>
              <w:t>Dataset</w:t>
            </w:r>
          </w:p>
        </w:tc>
        <w:tc>
          <w:tcPr>
            <w:tcW w:type="dxa" w:w="2376"/>
          </w:tcPr>
          <w:p>
            <w:pPr>
              <w:keepNext/>
              <w:jc w:val="left"/>
            </w:pPr>
            <w:r/>
            <w:r>
              <w:rPr>
                <w:rFonts w:ascii="Times New Roman" w:hAnsi="Times New Roman"/>
                <w:b/>
                <w:sz w:val="16"/>
              </w:rPr>
              <w:t>Content</w:t>
            </w:r>
          </w:p>
        </w:tc>
        <w:tc>
          <w:tcPr>
            <w:tcW w:type="dxa" w:w="1224"/>
          </w:tcPr>
          <w:p>
            <w:pPr>
              <w:keepNext/>
              <w:jc w:val="left"/>
            </w:pPr>
            <w:r/>
            <w:r>
              <w:rPr>
                <w:rFonts w:ascii="Times New Roman" w:hAnsi="Times New Roman"/>
                <w:b/>
                <w:sz w:val="16"/>
              </w:rPr>
              <w:t>Used for</w:t>
            </w:r>
          </w:p>
        </w:tc>
      </w:tr>
      <w:tr>
        <w:trPr>
          <w:cantSplit/>
        </w:trPr>
        <w:tc>
          <w:tcPr>
            <w:tcW w:type="dxa" w:w="1440"/>
          </w:tcPr>
          <w:p>
            <w:pPr>
              <w:keepNext/>
              <w:jc w:val="left"/>
            </w:pPr>
            <w:r/>
            <w:r>
              <w:rPr>
                <w:rFonts w:ascii="Times New Roman" w:hAnsi="Times New Roman"/>
                <w:b w:val="0"/>
                <w:sz w:val="16"/>
              </w:rPr>
              <w:t>UCI Online Shoppers [31]</w:t>
            </w:r>
          </w:p>
        </w:tc>
        <w:tc>
          <w:tcPr>
            <w:tcW w:type="dxa" w:w="2376"/>
          </w:tcPr>
          <w:p>
            <w:pPr>
              <w:keepNext/>
              <w:jc w:val="left"/>
            </w:pPr>
            <w:r/>
            <w:r>
              <w:rPr>
                <w:rFonts w:ascii="Times New Roman" w:hAnsi="Times New Roman"/>
                <w:b w:val="0"/>
                <w:sz w:val="16"/>
              </w:rPr>
              <w:t>12,205 sessions (after removing 125 duplicates), 17 features, purchase outcome</w:t>
            </w:r>
          </w:p>
        </w:tc>
        <w:tc>
          <w:tcPr>
            <w:tcW w:type="dxa" w:w="1224"/>
          </w:tcPr>
          <w:p>
            <w:pPr>
              <w:keepNext/>
              <w:jc w:val="left"/>
            </w:pPr>
            <w:r/>
            <w:r>
              <w:rPr>
                <w:rFonts w:ascii="Times New Roman" w:hAnsi="Times New Roman"/>
                <w:b w:val="0"/>
                <w:sz w:val="16"/>
              </w:rPr>
              <w:t>RQ2, RQ4</w:t>
            </w:r>
          </w:p>
        </w:tc>
      </w:tr>
      <w:tr>
        <w:trPr>
          <w:cantSplit/>
        </w:trPr>
        <w:tc>
          <w:tcPr>
            <w:tcW w:type="dxa" w:w="1440"/>
          </w:tcPr>
          <w:p>
            <w:pPr>
              <w:keepNext/>
              <w:jc w:val="left"/>
            </w:pPr>
            <w:r/>
            <w:r>
              <w:rPr>
                <w:rFonts w:ascii="Times New Roman" w:hAnsi="Times New Roman"/>
                <w:b w:val="0"/>
                <w:sz w:val="16"/>
              </w:rPr>
              <w:t>Criteo Attribution [11]</w:t>
            </w:r>
          </w:p>
        </w:tc>
        <w:tc>
          <w:tcPr>
            <w:tcW w:type="dxa" w:w="2376"/>
          </w:tcPr>
          <w:p>
            <w:pPr>
              <w:keepNext/>
              <w:jc w:val="left"/>
            </w:pPr>
            <w:r/>
            <w:r>
              <w:rPr>
                <w:rFonts w:ascii="Times New Roman" w:hAnsi="Times New Roman"/>
                <w:b w:val="0"/>
                <w:sz w:val="16"/>
              </w:rPr>
              <w:t>16,468,027 impressions, 6,142,256 users, 675 campaigns, 30 days</w:t>
            </w:r>
          </w:p>
        </w:tc>
        <w:tc>
          <w:tcPr>
            <w:tcW w:type="dxa" w:w="1224"/>
          </w:tcPr>
          <w:p>
            <w:pPr>
              <w:keepNext/>
              <w:jc w:val="left"/>
            </w:pPr>
            <w:r/>
            <w:r>
              <w:rPr>
                <w:rFonts w:ascii="Times New Roman" w:hAnsi="Times New Roman"/>
                <w:b w:val="0"/>
                <w:sz w:val="16"/>
              </w:rPr>
              <w:t>RQ3 (last-click gap, recency)</w:t>
            </w:r>
          </w:p>
        </w:tc>
      </w:tr>
      <w:tr>
        <w:trPr>
          <w:cantSplit/>
        </w:trPr>
        <w:tc>
          <w:tcPr>
            <w:tcW w:type="dxa" w:w="1440"/>
          </w:tcPr>
          <w:p>
            <w:pPr>
              <w:keepNext/>
              <w:jc w:val="left"/>
            </w:pPr>
            <w:r/>
            <w:r>
              <w:rPr>
                <w:rFonts w:ascii="Times New Roman" w:hAnsi="Times New Roman"/>
                <w:b w:val="0"/>
                <w:sz w:val="16"/>
              </w:rPr>
              <w:t>Google Analytics 360 sample [32]</w:t>
            </w:r>
          </w:p>
        </w:tc>
        <w:tc>
          <w:tcPr>
            <w:tcW w:type="dxa" w:w="2376"/>
          </w:tcPr>
          <w:p>
            <w:pPr>
              <w:keepNext/>
              <w:jc w:val="left"/>
            </w:pPr>
            <w:r/>
            <w:r>
              <w:rPr>
                <w:rFonts w:ascii="Times New Roman" w:hAnsi="Times New Roman"/>
                <w:b w:val="0"/>
                <w:sz w:val="16"/>
              </w:rPr>
              <w:t>903,653 sessions, 714,167 visitors, named channels, 12 months</w:t>
            </w:r>
          </w:p>
        </w:tc>
        <w:tc>
          <w:tcPr>
            <w:tcW w:type="dxa" w:w="1224"/>
          </w:tcPr>
          <w:p>
            <w:pPr>
              <w:keepNext/>
              <w:jc w:val="left"/>
            </w:pPr>
            <w:r/>
            <w:r>
              <w:rPr>
                <w:rFonts w:ascii="Times New Roman" w:hAnsi="Times New Roman"/>
                <w:b w:val="0"/>
                <w:sz w:val="16"/>
              </w:rPr>
              <w:t>RQ1, RQ3</w:t>
            </w:r>
          </w:p>
        </w:tc>
      </w:tr>
      <w:tr>
        <w:trPr>
          <w:cantSplit/>
        </w:trPr>
        <w:tc>
          <w:tcPr>
            <w:tcW w:type="dxa" w:w="1440"/>
          </w:tcPr>
          <w:p>
            <w:pPr>
              <w:keepNext/>
              <w:jc w:val="left"/>
            </w:pPr>
            <w:r/>
            <w:r>
              <w:rPr>
                <w:rFonts w:ascii="Times New Roman" w:hAnsi="Times New Roman"/>
                <w:b w:val="0"/>
                <w:sz w:val="16"/>
              </w:rPr>
              <w:t>Facebook Ad Campaign [33]</w:t>
            </w:r>
          </w:p>
        </w:tc>
        <w:tc>
          <w:tcPr>
            <w:tcW w:type="dxa" w:w="2376"/>
          </w:tcPr>
          <w:p>
            <w:pPr>
              <w:keepNext/>
              <w:jc w:val="left"/>
            </w:pPr>
            <w:r/>
            <w:r>
              <w:rPr>
                <w:rFonts w:ascii="Times New Roman" w:hAnsi="Times New Roman"/>
                <w:b w:val="0"/>
                <w:sz w:val="16"/>
              </w:rPr>
              <w:t>1,143 real ads, spend, clicks, conversions, age, gender</w:t>
            </w:r>
          </w:p>
        </w:tc>
        <w:tc>
          <w:tcPr>
            <w:tcW w:type="dxa" w:w="1224"/>
          </w:tcPr>
          <w:p>
            <w:pPr>
              <w:keepNext/>
              <w:jc w:val="left"/>
            </w:pPr>
            <w:r/>
            <w:r>
              <w:rPr>
                <w:rFonts w:ascii="Times New Roman" w:hAnsi="Times New Roman"/>
                <w:b w:val="0"/>
                <w:sz w:val="16"/>
              </w:rPr>
              <w:t>RQ5 (tool validation)</w:t>
            </w:r>
          </w:p>
        </w:tc>
      </w:tr>
      <w:tr>
        <w:trPr>
          <w:cantSplit/>
        </w:trPr>
        <w:tc>
          <w:tcPr>
            <w:tcW w:type="dxa" w:w="1440"/>
          </w:tcPr>
          <w:p>
            <w:pPr>
              <w:keepNext w:val="0"/>
              <w:jc w:val="left"/>
            </w:pPr>
            <w:r/>
            <w:r>
              <w:rPr>
                <w:rFonts w:ascii="Times New Roman" w:hAnsi="Times New Roman"/>
                <w:b w:val="0"/>
                <w:sz w:val="16"/>
              </w:rPr>
              <w:t>Simulated journeys</w:t>
            </w:r>
          </w:p>
        </w:tc>
        <w:tc>
          <w:tcPr>
            <w:tcW w:type="dxa" w:w="2376"/>
          </w:tcPr>
          <w:p>
            <w:pPr>
              <w:keepNext w:val="0"/>
              <w:jc w:val="left"/>
            </w:pPr>
            <w:r/>
            <w:r>
              <w:rPr>
                <w:rFonts w:ascii="Times New Roman" w:hAnsi="Times New Roman"/>
                <w:b w:val="0"/>
                <w:sz w:val="16"/>
              </w:rPr>
              <w:t>6 random worlds x 2 scenarios x 3,000 users with known channel effects</w:t>
            </w:r>
          </w:p>
        </w:tc>
        <w:tc>
          <w:tcPr>
            <w:tcW w:type="dxa" w:w="1224"/>
          </w:tcPr>
          <w:p>
            <w:pPr>
              <w:keepNext w:val="0"/>
              <w:jc w:val="left"/>
            </w:pPr>
            <w:r/>
            <w:r>
              <w:rPr>
                <w:rFonts w:ascii="Times New Roman" w:hAnsi="Times New Roman"/>
                <w:b w:val="0"/>
                <w:sz w:val="16"/>
              </w:rPr>
              <w:t>RQ3 (model accuracy)</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smallCaps w:val="0"/>
          <w:sz w:val="20"/>
        </w:rPr>
        <w:t>UCI Online Shoppers.</w:t>
      </w:r>
      <w:r>
        <w:rPr>
          <w:rFonts w:ascii="Times New Roman" w:hAnsi="Times New Roman"/>
          <w:b w:val="0"/>
          <w:i w:val="0"/>
          <w:smallCaps w:val="0"/>
          <w:sz w:val="20"/>
        </w:rPr>
        <w:t xml:space="preserve"> Each row is one session on an online store over a year, with counts of and time on administrative, informational and product pages, bounce and exit rates, Google Analytics page value, the month, visitor type, weekend flag, anonymised traffic source and whether the session ended in a purchase. We removed 125 exact duplicate rows.</w:t>
      </w:r>
    </w:p>
    <w:p>
      <w:pPr>
        <w:spacing w:after="0" w:before="0" w:line="240" w:lineRule="auto"/>
        <w:ind w:firstLine="202"/>
        <w:jc w:val="both"/>
      </w:pPr>
      <w:r>
        <w:rPr>
          <w:rFonts w:ascii="Times New Roman" w:hAnsi="Times New Roman"/>
          <w:b w:val="0"/>
          <w:i/>
          <w:smallCaps w:val="0"/>
          <w:sz w:val="20"/>
        </w:rPr>
        <w:t>Criteo Attribution.</w:t>
      </w:r>
      <w:r>
        <w:rPr>
          <w:rFonts w:ascii="Times New Roman" w:hAnsi="Times New Roman"/>
          <w:b w:val="0"/>
          <w:i w:val="0"/>
          <w:smallCaps w:val="0"/>
          <w:sz w:val="20"/>
        </w:rPr>
        <w:t xml:space="preserve"> Each row is a display impression with a user, campaign, timestamp, click flag and, for converting users, the conversion time and a flag for whether the advertiser's last-click rule credited the conversion to Criteo. We grouped impressions into journeys ending at each conversion. A validity check shaped the design: 99.3% of conversions involve a single campaign, and all impressions in converting journeys are clicks because the public sample retains clicked impressions for converting users. Criteo therefore cannot compare channels or campaigns within a journey, nor clicked against viewed impressions; we use it for the last-click gap and its recency effect.</w:t>
      </w:r>
    </w:p>
    <w:p>
      <w:pPr>
        <w:spacing w:after="0" w:before="0" w:line="240" w:lineRule="auto"/>
        <w:ind w:firstLine="202"/>
        <w:jc w:val="both"/>
      </w:pPr>
      <w:r>
        <w:rPr>
          <w:rFonts w:ascii="Times New Roman" w:hAnsi="Times New Roman"/>
          <w:b w:val="0"/>
          <w:i/>
          <w:smallCaps w:val="0"/>
          <w:sz w:val="20"/>
        </w:rPr>
        <w:t>Google Analytics 360.</w:t>
      </w:r>
      <w:r>
        <w:rPr>
          <w:rFonts w:ascii="Times New Roman" w:hAnsi="Times New Roman"/>
          <w:b w:val="0"/>
          <w:i w:val="0"/>
          <w:smallCaps w:val="0"/>
          <w:sz w:val="20"/>
        </w:rPr>
        <w:t xml:space="preserve"> The public BigQuery sample covers the Google Merchandise Store from August 2016 to August 2017. Each row is a session with a persistent visitor identifier, start time, Google's default channel grouping and the number of transactions. A journey is a visitor's sessions in time order up to and including the first session with a transaction; journeys without a purchase run to the visitor's last session. Converting journeys were downloaded individually; non-converting journeys were aggregated by channel path inside BigQuery, which is all the Markov model needs and keeps memory low.</w:t>
      </w:r>
    </w:p>
    <w:p>
      <w:pPr>
        <w:spacing w:after="0" w:before="0" w:line="240" w:lineRule="auto"/>
        <w:ind w:firstLine="202"/>
        <w:jc w:val="both"/>
      </w:pPr>
      <w:r>
        <w:rPr>
          <w:rFonts w:ascii="Times New Roman" w:hAnsi="Times New Roman"/>
          <w:b w:val="0"/>
          <w:i/>
          <w:smallCaps w:val="0"/>
          <w:sz w:val="20"/>
        </w:rPr>
        <w:t>Facebook Ad Campaign.</w:t>
      </w:r>
      <w:r>
        <w:rPr>
          <w:rFonts w:ascii="Times New Roman" w:hAnsi="Times New Roman"/>
          <w:b w:val="0"/>
          <w:i w:val="0"/>
          <w:smallCaps w:val="0"/>
          <w:sz w:val="20"/>
        </w:rPr>
        <w:t xml:space="preserve"> A public export of 1,143 ads with spend, impressions, clicks, total and approved conversions and the targeted age and gender. It serves as a realistic file for testing the tool. </w:t>
      </w:r>
      <w:r>
        <w:rPr>
          <w:rFonts w:ascii="Times New Roman" w:hAnsi="Times New Roman"/>
          <w:b w:val="0"/>
          <w:i/>
          <w:smallCaps w:val="0"/>
          <w:sz w:val="20"/>
        </w:rPr>
        <w:t>Simulated journeys</w:t>
      </w:r>
      <w:r>
        <w:rPr>
          <w:rFonts w:ascii="Times New Roman" w:hAnsi="Times New Roman"/>
          <w:b w:val="0"/>
          <w:i w:val="0"/>
          <w:smallCaps w:val="0"/>
          <w:sz w:val="20"/>
        </w:rPr>
        <w:t xml:space="preserve"> and the </w:t>
      </w:r>
      <w:r>
        <w:rPr>
          <w:rFonts w:ascii="Times New Roman" w:hAnsi="Times New Roman"/>
          <w:b w:val="0"/>
          <w:i/>
          <w:smallCaps w:val="0"/>
          <w:sz w:val="20"/>
        </w:rPr>
        <w:t>assistant test set</w:t>
      </w:r>
      <w:r>
        <w:rPr>
          <w:rFonts w:ascii="Times New Roman" w:hAnsi="Times New Roman"/>
          <w:b w:val="0"/>
          <w:i w:val="0"/>
          <w:smallCaps w:val="0"/>
          <w:sz w:val="20"/>
        </w:rPr>
        <w:t xml:space="preserve"> are described in Section IV.</w:t>
      </w:r>
    </w:p>
    <w:p>
      <w:pPr>
        <w:keepNext/>
        <w:spacing w:after="60" w:before="160" w:line="240" w:lineRule="auto"/>
        <w:jc w:val="center"/>
      </w:pPr>
      <w:r>
        <w:rPr>
          <w:rFonts w:ascii="Times New Roman" w:hAnsi="Times New Roman"/>
          <w:b w:val="0"/>
          <w:i w:val="0"/>
          <w:smallCaps/>
          <w:sz w:val="20"/>
        </w:rPr>
        <w:t>IV. Methods</w:t>
      </w:r>
    </w:p>
    <w:p>
      <w:pPr>
        <w:keepNext/>
        <w:spacing w:after="40" w:before="80" w:line="240" w:lineRule="auto"/>
        <w:jc w:val="left"/>
      </w:pPr>
      <w:r>
        <w:rPr>
          <w:rFonts w:ascii="Times New Roman" w:hAnsi="Times New Roman"/>
          <w:b w:val="0"/>
          <w:i/>
          <w:smallCaps w:val="0"/>
          <w:sz w:val="20"/>
        </w:rPr>
        <w:t>A. Notation and Rule-Based Models</w:t>
      </w:r>
    </w:p>
    <w:p>
      <w:pPr>
        <w:spacing w:after="0" w:before="0" w:line="240" w:lineRule="auto"/>
        <w:ind w:firstLine="202"/>
        <w:jc w:val="both"/>
      </w:pPr>
      <w:r>
        <w:rPr>
          <w:rFonts w:ascii="Times New Roman" w:hAnsi="Times New Roman"/>
          <w:b w:val="0"/>
          <w:i w:val="0"/>
          <w:smallCaps w:val="0"/>
          <w:sz w:val="20"/>
        </w:rPr>
        <w:t xml:space="preserve">A converting journey is a sequence of touchpoints </w:t>
      </w:r>
      <m:oMath xmlns:mml="http://www.w3.org/1998/Math/MathML">
        <m:r>
          <m:t>(</m:t>
        </m:r>
        <m:sSub>
          <m:e>
            <m:r>
              <m:t>c</m:t>
            </m:r>
          </m:e>
          <m:sub>
            <m:r>
              <m:t>1</m:t>
            </m:r>
          </m:sub>
        </m:sSub>
        <m:r>
          <m:t>,</m:t>
        </m:r>
        <m:sSub>
          <m:e>
            <m:r>
              <m:t>t</m:t>
            </m:r>
          </m:e>
          <m:sub>
            <m:r>
              <m:t>1</m:t>
            </m:r>
          </m:sub>
        </m:sSub>
        <m:r>
          <m:t>),…,(</m:t>
        </m:r>
        <m:sSub>
          <m:e>
            <m:r>
              <m:t>c</m:t>
            </m:r>
          </m:e>
          <m:sub>
            <m:r>
              <m:t>n</m:t>
            </m:r>
          </m:sub>
        </m:sSub>
        <m:r>
          <m:t>,</m:t>
        </m:r>
        <m:sSub>
          <m:e>
            <m:r>
              <m:t>t</m:t>
            </m:r>
          </m:e>
          <m:sub>
            <m:r>
              <m:t>n</m:t>
            </m:r>
          </m:sub>
        </m:sSub>
        <m:r>
          <m:t>)</m:t>
        </m:r>
      </m:oMath>
      <w:r>
        <w:rPr>
          <w:rFonts w:ascii="Times New Roman" w:hAnsi="Times New Roman"/>
          <w:b w:val="0"/>
          <w:i w:val="0"/>
          <w:smallCaps w:val="0"/>
          <w:sz w:val="20"/>
        </w:rPr>
        <w:t xml:space="preserve">, where </w:t>
      </w:r>
      <m:oMath xmlns:mml="http://www.w3.org/1998/Math/MathML">
        <m:sSub>
          <m:e>
            <m:r>
              <m:t>c</m:t>
            </m:r>
          </m:e>
          <m:sub>
            <m:r>
              <m:t>i</m:t>
            </m:r>
          </m:sub>
        </m:sSub>
      </m:oMath>
      <w:r>
        <w:rPr>
          <w:rFonts w:ascii="Times New Roman" w:hAnsi="Times New Roman"/>
          <w:b w:val="0"/>
          <w:i w:val="0"/>
          <w:smallCaps w:val="0"/>
          <w:sz w:val="20"/>
        </w:rPr>
        <w:t xml:space="preserve"> is a channel, </w:t>
      </w:r>
      <m:oMath xmlns:mml="http://www.w3.org/1998/Math/MathML">
        <m:sSub>
          <m:e>
            <m:r>
              <m:t>t</m:t>
            </m:r>
          </m:e>
          <m:sub>
            <m:r>
              <m:t>i</m:t>
            </m:r>
          </m:sub>
        </m:sSub>
      </m:oMath>
      <w:r>
        <w:rPr>
          <w:rFonts w:ascii="Times New Roman" w:hAnsi="Times New Roman"/>
          <w:b w:val="0"/>
          <w:i w:val="0"/>
          <w:smallCaps w:val="0"/>
          <w:sz w:val="20"/>
        </w:rPr>
        <w:t xml:space="preserve"> a time and the purchase happens at time </w:t>
      </w:r>
      <m:oMath xmlns:mml="http://www.w3.org/1998/Math/MathML">
        <m:r>
          <m:t>T</m:t>
        </m:r>
      </m:oMath>
      <w:r>
        <w:rPr>
          <w:rFonts w:ascii="Times New Roman" w:hAnsi="Times New Roman"/>
          <w:b w:val="0"/>
          <w:i w:val="0"/>
          <w:smallCaps w:val="0"/>
          <w:sz w:val="20"/>
        </w:rPr>
        <w:t xml:space="preserve"> after the last touch. An attribution model assigns each touch a weight </w:t>
      </w:r>
      <m:oMath xmlns:mml="http://www.w3.org/1998/Math/MathML">
        <m:sSub>
          <m:e>
            <m:r>
              <m:t>w</m:t>
            </m:r>
          </m:e>
          <m:sub>
            <m:r>
              <m:t>i</m:t>
            </m:r>
          </m:sub>
        </m:sSub>
      </m:oMath>
      <w:r>
        <w:rPr>
          <w:rFonts w:ascii="Times New Roman" w:hAnsi="Times New Roman"/>
          <w:b w:val="0"/>
          <w:i w:val="0"/>
          <w:smallCaps w:val="0"/>
          <w:sz w:val="20"/>
        </w:rPr>
        <w:t xml:space="preserve"> with </w:t>
      </w:r>
      <m:oMath xmlns:mml="http://www.w3.org/1998/Math/MathML">
        <m:nary>
          <m:naryPr>
            <m:chr m:val="∑"/>
            <m:limLoc m:val="subSup"/>
            <m:grow m:val="1"/>
            <m:subHide m:val="off"/>
            <m:supHide m:val="on"/>
          </m:naryPr>
          <m:sub>
            <m:r>
              <m:t>i</m:t>
            </m:r>
          </m:sub>
          <m:sup/>
          <m:e>
            <m:sSub>
              <m:e>
                <m:r>
                  <m:t>w</m:t>
                </m:r>
              </m:e>
              <m:sub>
                <m:r>
                  <m:t>i</m:t>
                </m:r>
              </m:sub>
            </m:sSub>
            <m:r>
              <m:t>=1</m:t>
            </m:r>
          </m:e>
        </m:nary>
      </m:oMath>
      <w:r>
        <w:rPr>
          <w:rFonts w:ascii="Times New Roman" w:hAnsi="Times New Roman"/>
          <w:b w:val="0"/>
          <w:i w:val="0"/>
          <w:smallCaps w:val="0"/>
          <w:sz w:val="20"/>
        </w:rPr>
        <w:t xml:space="preserve">, and the credit of channel </w:t>
      </w:r>
      <m:oMath xmlns:mml="http://www.w3.org/1998/Math/MathML">
        <m:r>
          <m:t>k</m:t>
        </m:r>
      </m:oMath>
      <w:r>
        <w:rPr>
          <w:rFonts w:ascii="Times New Roman" w:hAnsi="Times New Roman"/>
          <w:b w:val="0"/>
          <w:i w:val="0"/>
          <w:smallCaps w:val="0"/>
          <w:sz w:val="20"/>
        </w:rPr>
        <w:t xml:space="preserve"> is the sum of the weights of its touches over all converting journeys:</w:t>
      </w:r>
    </w:p>
    <w:p>
      <w:pPr>
        <w:tabs>
          <w:tab w:pos="2520" w:val="center"/>
          <w:tab w:pos="5040" w:val="right"/>
        </w:tabs>
        <w:spacing w:before="60" w:after="60"/>
      </w:pPr>
      <w:r>
        <w:rPr>
          <w:rFonts w:ascii="Times New Roman" w:hAnsi="Times New Roman"/>
          <w:b w:val="0"/>
          <w:i w:val="0"/>
          <w:smallCaps w:val="0"/>
          <w:sz w:val="20"/>
        </w:rPr>
        <w:tab/>
      </w:r>
      <m:oMath xmlns:mml="http://www.w3.org/1998/Math/MathML">
        <m:r>
          <m:t>A(k)=</m:t>
        </m:r>
        <m:nary>
          <m:naryPr>
            <m:chr m:val="∑"/>
            <m:limLoc m:val="subSup"/>
            <m:grow m:val="1"/>
            <m:subHide m:val="off"/>
            <m:supHide m:val="on"/>
          </m:naryPr>
          <m:sub>
            <m:r>
              <m:rPr>
                <m:nor/>
              </m:rPr>
              <m:t>journeys</m:t>
            </m:r>
          </m:sub>
          <m:sup/>
          <m:e>
            <m:nary>
              <m:naryPr>
                <m:chr m:val="∑"/>
                <m:limLoc m:val="subSup"/>
                <m:grow m:val="1"/>
                <m:subHide m:val="off"/>
                <m:supHide m:val="on"/>
              </m:naryPr>
              <m:sub>
                <m:r>
                  <m:t>i:</m:t>
                </m:r>
                <m:sSub>
                  <m:e>
                    <m:r>
                      <m:t>c</m:t>
                    </m:r>
                  </m:e>
                  <m:sub>
                    <m:r>
                      <m:t>i</m:t>
                    </m:r>
                  </m:sub>
                </m:sSub>
                <m:r>
                  <m:t>=k</m:t>
                </m:r>
              </m:sub>
              <m:sup/>
              <m:e>
                <m:sSub>
                  <m:e>
                    <m:r>
                      <m:t>w</m:t>
                    </m:r>
                  </m:e>
                  <m:sub>
                    <m:r>
                      <m:t>i</m:t>
                    </m:r>
                  </m:sub>
                </m:sSub>
              </m:e>
            </m:nary>
          </m:e>
        </m:nary>
      </m:oMath>
      <w:r>
        <w:rPr>
          <w:rFonts w:ascii="Times New Roman" w:hAnsi="Times New Roman"/>
          <w:b w:val="0"/>
          <w:i w:val="0"/>
          <w:smallCaps w:val="0"/>
          <w:sz w:val="20"/>
        </w:rPr>
        <w:tab/>
        <w:t>(1)</w:t>
      </w:r>
    </w:p>
    <w:p>
      <w:pPr>
        <w:spacing w:after="0" w:before="0" w:line="240" w:lineRule="auto"/>
        <w:ind w:firstLine="202"/>
        <w:jc w:val="both"/>
      </w:pPr>
      <w:r>
        <w:rPr>
          <w:rFonts w:ascii="Times New Roman" w:hAnsi="Times New Roman"/>
          <w:b w:val="0"/>
          <w:i w:val="0"/>
          <w:smallCaps w:val="0"/>
          <w:sz w:val="20"/>
        </w:rPr>
        <w:t xml:space="preserve">First touch sets </w:t>
      </w:r>
      <m:oMath xmlns:mml="http://www.w3.org/1998/Math/MathML">
        <m:sSub>
          <m:e>
            <m:r>
              <m:t>w</m:t>
            </m:r>
          </m:e>
          <m:sub>
            <m:r>
              <m:t>1</m:t>
            </m:r>
          </m:sub>
        </m:sSub>
        <m:r>
          <m:t>=1</m:t>
        </m:r>
      </m:oMath>
      <w:r>
        <w:rPr>
          <w:rFonts w:ascii="Times New Roman" w:hAnsi="Times New Roman"/>
          <w:b w:val="0"/>
          <w:i w:val="0"/>
          <w:smallCaps w:val="0"/>
          <w:sz w:val="20"/>
        </w:rPr>
        <w:t xml:space="preserve">, last touch sets </w:t>
      </w:r>
      <m:oMath xmlns:mml="http://www.w3.org/1998/Math/MathML">
        <m:sSub>
          <m:e>
            <m:r>
              <m:t>w</m:t>
            </m:r>
          </m:e>
          <m:sub>
            <m:r>
              <m:t>n</m:t>
            </m:r>
          </m:sub>
        </m:sSub>
        <m:r>
          <m:t>=1</m:t>
        </m:r>
      </m:oMath>
      <w:r>
        <w:rPr>
          <w:rFonts w:ascii="Times New Roman" w:hAnsi="Times New Roman"/>
          <w:b w:val="0"/>
          <w:i w:val="0"/>
          <w:smallCaps w:val="0"/>
          <w:sz w:val="20"/>
        </w:rPr>
        <w:t xml:space="preserve"> and linear sets </w:t>
      </w:r>
      <m:oMath xmlns:mml="http://www.w3.org/1998/Math/MathML">
        <m:sSub>
          <m:e>
            <m:r>
              <m:t>w</m:t>
            </m:r>
          </m:e>
          <m:sub>
            <m:r>
              <m:t>i</m:t>
            </m:r>
          </m:sub>
        </m:sSub>
        <m:r>
          <m:t>=1/n</m:t>
        </m:r>
      </m:oMath>
      <w:r>
        <w:rPr>
          <w:rFonts w:ascii="Times New Roman" w:hAnsi="Times New Roman"/>
          <w:b w:val="0"/>
          <w:i w:val="0"/>
          <w:smallCaps w:val="0"/>
          <w:sz w:val="20"/>
        </w:rPr>
        <w:t xml:space="preserve">. Time decay halves a touch's weight for every </w:t>
      </w:r>
      <m:oMath xmlns:mml="http://www.w3.org/1998/Math/MathML">
        <m:r>
          <m:t>h=7</m:t>
        </m:r>
      </m:oMath>
      <w:r>
        <w:rPr>
          <w:rFonts w:ascii="Times New Roman" w:hAnsi="Times New Roman"/>
          <w:b w:val="0"/>
          <w:i w:val="0"/>
          <w:smallCaps w:val="0"/>
          <w:sz w:val="20"/>
        </w:rPr>
        <w:t xml:space="preserve"> days between it and the purchase:</w:t>
      </w:r>
    </w:p>
    <w:p>
      <w:pPr>
        <w:tabs>
          <w:tab w:pos="2520" w:val="center"/>
          <w:tab w:pos="5040" w:val="right"/>
        </w:tabs>
        <w:spacing w:before="60" w:after="60"/>
      </w:pPr>
      <w:r>
        <w:rPr>
          <w:rFonts w:ascii="Times New Roman" w:hAnsi="Times New Roman"/>
          <w:b w:val="0"/>
          <w:i w:val="0"/>
          <w:smallCaps w:val="0"/>
          <w:sz w:val="20"/>
        </w:rPr>
        <w:tab/>
      </w:r>
      <m:oMath xmlns:mml="http://www.w3.org/1998/Math/MathML">
        <m:sSub>
          <m:e>
            <m:r>
              <m:t>w</m:t>
            </m:r>
          </m:e>
          <m:sub>
            <m:r>
              <m:t>i</m:t>
            </m:r>
          </m:sub>
        </m:sSub>
        <m:r>
          <m:t>=</m:t>
        </m:r>
        <m:f>
          <m:fPr>
            <m:type m:val="bar"/>
          </m:fPr>
          <m:num>
            <m:sSup>
              <m:e>
                <m:r>
                  <m:t>2</m:t>
                </m:r>
              </m:e>
              <m:sup>
                <m:r>
                  <m:t>−(T−</m:t>
                </m:r>
                <m:sSub>
                  <m:e>
                    <m:r>
                      <m:t>t</m:t>
                    </m:r>
                  </m:e>
                  <m:sub>
                    <m:r>
                      <m:t>i</m:t>
                    </m:r>
                  </m:sub>
                </m:sSub>
                <m:r>
                  <m:t>)/h</m:t>
                </m:r>
              </m:sup>
            </m:sSup>
          </m:num>
          <m:den>
            <m:nary>
              <m:naryPr>
                <m:chr m:val="∑"/>
                <m:limLoc m:val="subSup"/>
                <m:grow m:val="1"/>
                <m:subHide m:val="off"/>
                <m:supHide m:val="on"/>
              </m:naryPr>
              <m:sub>
                <m:r>
                  <m:t>j</m:t>
                </m:r>
              </m:sub>
              <m:sup/>
              <m:e>
                <m:sSup>
                  <m:e>
                    <m:r>
                      <m:t>2</m:t>
                    </m:r>
                  </m:e>
                  <m:sup>
                    <m:r>
                      <m:t>−(T−</m:t>
                    </m:r>
                    <m:sSub>
                      <m:e>
                        <m:r>
                          <m:t>t</m:t>
                        </m:r>
                      </m:e>
                      <m:sub>
                        <m:r>
                          <m:t>j</m:t>
                        </m:r>
                      </m:sub>
                    </m:sSub>
                    <m:r>
                      <m:t>)/h</m:t>
                    </m:r>
                  </m:sup>
                </m:sSup>
              </m:e>
            </m:nary>
          </m:den>
        </m:f>
      </m:oMath>
      <w:r>
        <w:rPr>
          <w:rFonts w:ascii="Times New Roman" w:hAnsi="Times New Roman"/>
          <w:b w:val="0"/>
          <w:i w:val="0"/>
          <w:smallCaps w:val="0"/>
          <w:sz w:val="20"/>
        </w:rPr>
        <w:tab/>
        <w:t>(2)</w:t>
      </w:r>
    </w:p>
    <w:p>
      <w:pPr>
        <w:spacing w:after="0" w:before="0" w:line="240" w:lineRule="auto"/>
        <w:ind w:firstLine="202"/>
        <w:jc w:val="both"/>
      </w:pPr>
      <w:r>
        <w:rPr>
          <w:rFonts w:ascii="Times New Roman" w:hAnsi="Times New Roman"/>
          <w:b w:val="0"/>
          <w:i w:val="0"/>
          <w:smallCaps w:val="0"/>
          <w:sz w:val="20"/>
        </w:rPr>
        <w:t xml:space="preserve">Position based gives 40% each to the first and last touch and shares the remaining 20% equally among the touches in between (half each when </w:t>
      </w:r>
      <m:oMath xmlns:mml="http://www.w3.org/1998/Math/MathML">
        <m:r>
          <m:t>n=2</m:t>
        </m:r>
      </m:oMath>
      <w:r>
        <w:rPr>
          <w:rFonts w:ascii="Times New Roman" w:hAnsi="Times New Roman"/>
          <w:b w:val="0"/>
          <w:i w:val="0"/>
          <w:smallCaps w:val="0"/>
          <w:sz w:val="20"/>
        </w:rPr>
        <w:t xml:space="preserve">, all of it when </w:t>
      </w:r>
      <m:oMath xmlns:mml="http://www.w3.org/1998/Math/MathML">
        <m:r>
          <m:t>n=1</m:t>
        </m:r>
      </m:oMath>
      <w:r>
        <w:rPr>
          <w:rFonts w:ascii="Times New Roman" w:hAnsi="Times New Roman"/>
          <w:b w:val="0"/>
          <w:i w:val="0"/>
          <w:smallCaps w:val="0"/>
          <w:sz w:val="20"/>
        </w:rPr>
        <w:t>).</w:t>
      </w:r>
    </w:p>
    <w:p>
      <w:pPr>
        <w:keepNext/>
        <w:spacing w:after="40" w:before="80" w:line="240" w:lineRule="auto"/>
        <w:jc w:val="left"/>
      </w:pPr>
      <w:r>
        <w:rPr>
          <w:rFonts w:ascii="Times New Roman" w:hAnsi="Times New Roman"/>
          <w:b w:val="0"/>
          <w:i/>
          <w:smallCaps w:val="0"/>
          <w:sz w:val="20"/>
        </w:rPr>
        <w:t>B. Markov Chain Removal Effect</w:t>
      </w:r>
    </w:p>
    <w:p>
      <w:pPr>
        <w:spacing w:after="0" w:before="0" w:line="240" w:lineRule="auto"/>
        <w:ind w:firstLine="202"/>
        <w:jc w:val="both"/>
      </w:pPr>
      <w:r>
        <w:rPr>
          <w:rFonts w:ascii="Times New Roman" w:hAnsi="Times New Roman"/>
          <w:b w:val="0"/>
          <w:i w:val="0"/>
          <w:smallCaps w:val="0"/>
          <w:sz w:val="20"/>
        </w:rPr>
        <w:t xml:space="preserve">Following Anderl et al. [10], all journeys, converting and not, are treated as paths through the states start, the channels, conversion and null. The transition probability from state </w:t>
      </w:r>
      <m:oMath xmlns:mml="http://www.w3.org/1998/Math/MathML">
        <m:r>
          <m:t>a</m:t>
        </m:r>
      </m:oMath>
      <w:r>
        <w:rPr>
          <w:rFonts w:ascii="Times New Roman" w:hAnsi="Times New Roman"/>
          <w:b w:val="0"/>
          <w:i w:val="0"/>
          <w:smallCaps w:val="0"/>
          <w:sz w:val="20"/>
        </w:rPr>
        <w:t xml:space="preserve"> to state </w:t>
      </w:r>
      <m:oMath xmlns:mml="http://www.w3.org/1998/Math/MathML">
        <m:r>
          <m:t>b</m:t>
        </m:r>
      </m:oMath>
      <w:r>
        <w:rPr>
          <w:rFonts w:ascii="Times New Roman" w:hAnsi="Times New Roman"/>
          <w:b w:val="0"/>
          <w:i w:val="0"/>
          <w:smallCaps w:val="0"/>
          <w:sz w:val="20"/>
        </w:rPr>
        <w:t xml:space="preserve"> is estimated from the transition counts </w:t>
      </w:r>
      <m:oMath xmlns:mml="http://www.w3.org/1998/Math/MathML">
        <m:r>
          <m:t>N</m:t>
        </m:r>
      </m:oMath>
      <w:r>
        <w:rPr>
          <w:rFonts w:ascii="Times New Roman" w:hAnsi="Times New Roman"/>
          <w:b w:val="0"/>
          <w:i w:val="0"/>
          <w:smallCaps w:val="0"/>
          <w:sz w:val="20"/>
        </w:rPr>
        <w:t>:</w:t>
      </w:r>
    </w:p>
    <w:p>
      <w:pPr>
        <w:tabs>
          <w:tab w:pos="2520" w:val="center"/>
          <w:tab w:pos="5040" w:val="right"/>
        </w:tabs>
        <w:spacing w:before="60" w:after="60"/>
      </w:pPr>
      <w:r>
        <w:rPr>
          <w:rFonts w:ascii="Times New Roman" w:hAnsi="Times New Roman"/>
          <w:b w:val="0"/>
          <w:i w:val="0"/>
          <w:smallCaps w:val="0"/>
          <w:sz w:val="20"/>
        </w:rPr>
        <w:tab/>
      </w:r>
      <m:oMath xmlns:mml="http://www.w3.org/1998/Math/MathML">
        <m:r>
          <m:t>p(a,b)=</m:t>
        </m:r>
        <m:f>
          <m:fPr>
            <m:type m:val="bar"/>
          </m:fPr>
          <m:num>
            <m:r>
              <m:t>N(a,b)</m:t>
            </m:r>
          </m:num>
          <m:den>
            <m:nary>
              <m:naryPr>
                <m:chr m:val="∑"/>
                <m:limLoc m:val="subSup"/>
                <m:grow m:val="1"/>
                <m:subHide m:val="off"/>
                <m:supHide m:val="on"/>
              </m:naryPr>
              <m:sub>
                <m:sSup>
                  <m:e>
                    <m:r>
                      <m:t>b</m:t>
                    </m:r>
                  </m:e>
                  <m:sup>
                    <m:r>
                      <m:t>′</m:t>
                    </m:r>
                  </m:sup>
                </m:sSup>
              </m:sub>
              <m:sup/>
              <m:e>
                <m:r>
                  <m:t>N(a,</m:t>
                </m:r>
                <m:sSup>
                  <m:e>
                    <m:r>
                      <m:t>b</m:t>
                    </m:r>
                  </m:e>
                  <m:sup>
                    <m:r>
                      <m:t>′</m:t>
                    </m:r>
                  </m:sup>
                </m:sSup>
                <m:r>
                  <m:t>)</m:t>
                </m:r>
              </m:e>
            </m:nary>
          </m:den>
        </m:f>
      </m:oMath>
      <w:r>
        <w:rPr>
          <w:rFonts w:ascii="Times New Roman" w:hAnsi="Times New Roman"/>
          <w:b w:val="0"/>
          <w:i w:val="0"/>
          <w:smallCaps w:val="0"/>
          <w:sz w:val="20"/>
        </w:rPr>
        <w:tab/>
        <w:t>(3)</w:t>
      </w:r>
    </w:p>
    <w:p>
      <w:pPr>
        <w:spacing w:after="0" w:before="0" w:line="240" w:lineRule="auto"/>
        <w:ind w:firstLine="202"/>
        <w:jc w:val="both"/>
      </w:pPr>
      <w:r>
        <w:rPr>
          <w:rFonts w:ascii="Times New Roman" w:hAnsi="Times New Roman"/>
          <w:b w:val="0"/>
          <w:i w:val="0"/>
          <w:smallCaps w:val="0"/>
          <w:sz w:val="20"/>
        </w:rPr>
        <w:t xml:space="preserve">Conversion and null are absorbing states. Splitting the transition matrix into its transient part </w:t>
      </w:r>
      <m:oMath xmlns:mml="http://www.w3.org/1998/Math/MathML">
        <m:r>
          <m:t>Q</m:t>
        </m:r>
      </m:oMath>
      <w:r>
        <w:rPr>
          <w:rFonts w:ascii="Times New Roman" w:hAnsi="Times New Roman"/>
          <w:b w:val="0"/>
          <w:i w:val="0"/>
          <w:smallCaps w:val="0"/>
          <w:sz w:val="20"/>
        </w:rPr>
        <w:t xml:space="preserve"> and absorbing part </w:t>
      </w:r>
      <m:oMath xmlns:mml="http://www.w3.org/1998/Math/MathML">
        <m:r>
          <m:t>R</m:t>
        </m:r>
      </m:oMath>
      <w:r>
        <w:rPr>
          <w:rFonts w:ascii="Times New Roman" w:hAnsi="Times New Roman"/>
          <w:b w:val="0"/>
          <w:i w:val="0"/>
          <w:smallCaps w:val="0"/>
          <w:sz w:val="20"/>
        </w:rPr>
        <w:t xml:space="preserve">, the absorption probabilities are </w:t>
      </w:r>
      <m:oMath xmlns:mml="http://www.w3.org/1998/Math/MathML">
        <m:r>
          <m:t>B=(I−Q</m:t>
        </m:r>
        <m:sSup>
          <m:e>
            <m:r>
              <m:t>)</m:t>
            </m:r>
          </m:e>
          <m:sup>
            <m:r>
              <m:t>−1</m:t>
            </m:r>
          </m:sup>
        </m:sSup>
        <m:r>
          <m:t>R</m:t>
        </m:r>
      </m:oMath>
      <w:r>
        <w:rPr>
          <w:rFonts w:ascii="Times New Roman" w:hAnsi="Times New Roman"/>
          <w:b w:val="0"/>
          <w:i w:val="0"/>
          <w:smallCaps w:val="0"/>
          <w:sz w:val="20"/>
        </w:rPr>
        <w:t xml:space="preserve"> [34], and </w:t>
      </w:r>
      <m:oMath xmlns:mml="http://www.w3.org/1998/Math/MathML">
        <m:r>
          <m:t>P(</m:t>
        </m:r>
        <m:r>
          <m:rPr>
            <m:nor/>
          </m:rPr>
          <m:t>conv</m:t>
        </m:r>
        <m:r>
          <m:t>)</m:t>
        </m:r>
      </m:oMath>
      <w:r>
        <w:rPr>
          <w:rFonts w:ascii="Times New Roman" w:hAnsi="Times New Roman"/>
          <w:b w:val="0"/>
          <w:i w:val="0"/>
          <w:smallCaps w:val="0"/>
          <w:sz w:val="20"/>
        </w:rPr>
        <w:t xml:space="preserve"> is the entry of </w:t>
      </w:r>
      <m:oMath xmlns:mml="http://www.w3.org/1998/Math/MathML">
        <m:r>
          <m:t>B</m:t>
        </m:r>
      </m:oMath>
      <w:r>
        <w:rPr>
          <w:rFonts w:ascii="Times New Roman" w:hAnsi="Times New Roman"/>
          <w:b w:val="0"/>
          <w:i w:val="0"/>
          <w:smallCaps w:val="0"/>
          <w:sz w:val="20"/>
        </w:rPr>
        <w:t xml:space="preserve"> for start and conversion. Removing channel </w:t>
      </w:r>
      <m:oMath xmlns:mml="http://www.w3.org/1998/Math/MathML">
        <m:r>
          <m:t>k</m:t>
        </m:r>
      </m:oMath>
      <w:r>
        <w:rPr>
          <w:rFonts w:ascii="Times New Roman" w:hAnsi="Times New Roman"/>
          <w:b w:val="0"/>
          <w:i w:val="0"/>
          <w:smallCaps w:val="0"/>
          <w:sz w:val="20"/>
        </w:rPr>
        <w:t xml:space="preserve"> redirects every transition into </w:t>
      </w:r>
      <m:oMath xmlns:mml="http://www.w3.org/1998/Math/MathML">
        <m:r>
          <m:t>k</m:t>
        </m:r>
      </m:oMath>
      <w:r>
        <w:rPr>
          <w:rFonts w:ascii="Times New Roman" w:hAnsi="Times New Roman"/>
          <w:b w:val="0"/>
          <w:i w:val="0"/>
          <w:smallCaps w:val="0"/>
          <w:sz w:val="20"/>
        </w:rPr>
        <w:t xml:space="preserve"> to the null state. Its removal effect and credit are</w:t>
      </w:r>
    </w:p>
    <w:p>
      <w:pPr>
        <w:tabs>
          <w:tab w:pos="2520" w:val="center"/>
          <w:tab w:pos="5040" w:val="right"/>
        </w:tabs>
        <w:spacing w:before="60" w:after="60"/>
      </w:pPr>
      <w:r>
        <w:rPr>
          <w:rFonts w:ascii="Times New Roman" w:hAnsi="Times New Roman"/>
          <w:b w:val="0"/>
          <w:i w:val="0"/>
          <w:smallCaps w:val="0"/>
          <w:sz w:val="20"/>
        </w:rPr>
        <w:tab/>
      </w:r>
      <m:oMath xmlns:mml="http://www.w3.org/1998/Math/MathML">
        <m:r>
          <m:t>RE(k)=1−</m:t>
        </m:r>
        <m:f>
          <m:fPr>
            <m:type m:val="bar"/>
          </m:fPr>
          <m:num>
            <m:sSub>
              <m:e>
                <m:r>
                  <m:t>P</m:t>
                </m:r>
              </m:e>
              <m:sub>
                <m:r>
                  <m:t>−k</m:t>
                </m:r>
              </m:sub>
            </m:sSub>
            <m:r>
              <m:t>(</m:t>
            </m:r>
            <m:r>
              <m:rPr>
                <m:nor/>
              </m:rPr>
              <m:t>conv</m:t>
            </m:r>
            <m:r>
              <m:t>)</m:t>
            </m:r>
          </m:num>
          <m:den>
            <m:r>
              <m:t>P(</m:t>
            </m:r>
            <m:r>
              <m:rPr>
                <m:nor/>
              </m:rPr>
              <m:t>conv</m:t>
            </m:r>
            <m:r>
              <m:t>)</m:t>
            </m:r>
          </m:den>
        </m:f>
      </m:oMath>
      <w:r>
        <w:rPr>
          <w:rFonts w:ascii="Times New Roman" w:hAnsi="Times New Roman"/>
          <w:b w:val="0"/>
          <w:i w:val="0"/>
          <w:smallCaps w:val="0"/>
          <w:sz w:val="20"/>
        </w:rPr>
        <w:tab/>
        <w:t>(4)</w:t>
      </w:r>
    </w:p>
    <w:p>
      <w:pPr>
        <w:tabs>
          <w:tab w:pos="2520" w:val="center"/>
          <w:tab w:pos="5040" w:val="right"/>
        </w:tabs>
        <w:spacing w:before="60" w:after="60"/>
      </w:pPr>
      <w:r>
        <w:rPr>
          <w:rFonts w:ascii="Times New Roman" w:hAnsi="Times New Roman"/>
          <w:b w:val="0"/>
          <w:i w:val="0"/>
          <w:smallCaps w:val="0"/>
          <w:sz w:val="20"/>
        </w:rPr>
        <w:tab/>
      </w:r>
      <m:oMath xmlns:mml="http://www.w3.org/1998/Math/MathML">
        <m:r>
          <m:t>A(k)=C·</m:t>
        </m:r>
        <m:f>
          <m:fPr>
            <m:type m:val="bar"/>
          </m:fPr>
          <m:num>
            <m:r>
              <m:t>RE(k)</m:t>
            </m:r>
          </m:num>
          <m:den>
            <m:nary>
              <m:naryPr>
                <m:chr m:val="∑"/>
                <m:limLoc m:val="subSup"/>
                <m:grow m:val="1"/>
                <m:subHide m:val="off"/>
                <m:supHide m:val="on"/>
              </m:naryPr>
              <m:sub>
                <m:r>
                  <m:t>j</m:t>
                </m:r>
              </m:sub>
              <m:sup/>
              <m:e>
                <m:r>
                  <m:t>RE(j)</m:t>
                </m:r>
              </m:e>
            </m:nary>
          </m:den>
        </m:f>
      </m:oMath>
      <w:r>
        <w:rPr>
          <w:rFonts w:ascii="Times New Roman" w:hAnsi="Times New Roman"/>
          <w:b w:val="0"/>
          <w:i w:val="0"/>
          <w:smallCaps w:val="0"/>
          <w:sz w:val="20"/>
        </w:rPr>
        <w:tab/>
        <w:t>(5)</w:t>
      </w:r>
    </w:p>
    <w:p>
      <w:pPr>
        <w:spacing w:after="0" w:before="0" w:line="240" w:lineRule="auto"/>
        <w:ind w:firstLine="202"/>
        <w:jc w:val="both"/>
      </w:pPr>
      <w:r>
        <w:rPr>
          <w:rFonts w:ascii="Times New Roman" w:hAnsi="Times New Roman"/>
          <w:b w:val="0"/>
          <w:i w:val="0"/>
          <w:smallCaps w:val="0"/>
          <w:sz w:val="20"/>
        </w:rPr>
        <w:t xml:space="preserve">where </w:t>
      </w:r>
      <m:oMath xmlns:mml="http://www.w3.org/1998/Math/MathML">
        <m:r>
          <m:t>C</m:t>
        </m:r>
      </m:oMath>
      <w:r>
        <w:rPr>
          <w:rFonts w:ascii="Times New Roman" w:hAnsi="Times New Roman"/>
          <w:b w:val="0"/>
          <w:i w:val="0"/>
          <w:smallCaps w:val="0"/>
          <w:sz w:val="20"/>
        </w:rPr>
        <w:t xml:space="preserve"> is the number of conversions. For GA360, aggregated non-converting paths enter the count matrix with a weight equal to the number of journeys they represent; we verified that this gives results identical to the unweighted computation.</w:t>
      </w:r>
    </w:p>
    <w:p>
      <w:pPr>
        <w:keepNext/>
        <w:spacing w:after="40" w:before="80" w:line="240" w:lineRule="auto"/>
        <w:jc w:val="left"/>
      </w:pPr>
      <w:r>
        <w:rPr>
          <w:rFonts w:ascii="Times New Roman" w:hAnsi="Times New Roman"/>
          <w:b w:val="0"/>
          <w:i/>
          <w:smallCaps w:val="0"/>
          <w:sz w:val="20"/>
        </w:rPr>
        <w:t>C. Shapley Value</w:t>
      </w:r>
    </w:p>
    <w:p>
      <w:pPr>
        <w:spacing w:after="0" w:before="0" w:line="240" w:lineRule="auto"/>
        <w:ind w:firstLine="202"/>
        <w:jc w:val="both"/>
      </w:pPr>
      <w:r>
        <w:rPr>
          <w:rFonts w:ascii="Times New Roman" w:hAnsi="Times New Roman"/>
          <w:b w:val="0"/>
          <w:i w:val="0"/>
          <w:smallCaps w:val="0"/>
          <w:sz w:val="20"/>
        </w:rPr>
        <w:t xml:space="preserve">Let </w:t>
      </w:r>
      <m:oMath xmlns:mml="http://www.w3.org/1998/Math/MathML">
        <m:r>
          <m:t>K</m:t>
        </m:r>
      </m:oMath>
      <w:r>
        <w:rPr>
          <w:rFonts w:ascii="Times New Roman" w:hAnsi="Times New Roman"/>
          <w:b w:val="0"/>
          <w:i w:val="0"/>
          <w:smallCaps w:val="0"/>
          <w:sz w:val="20"/>
        </w:rPr>
        <w:t xml:space="preserve"> be the set of channels and </w:t>
      </w:r>
      <m:oMath xmlns:mml="http://www.w3.org/1998/Math/MathML">
        <m:r>
          <m:t>v(S)</m:t>
        </m:r>
      </m:oMath>
      <w:r>
        <w:rPr>
          <w:rFonts w:ascii="Times New Roman" w:hAnsi="Times New Roman"/>
          <w:b w:val="0"/>
          <w:i w:val="0"/>
          <w:smallCaps w:val="0"/>
          <w:sz w:val="20"/>
        </w:rPr>
        <w:t xml:space="preserve"> the number of converting journeys whose channels all lie in the coalition </w:t>
      </w:r>
      <m:oMath xmlns:mml="http://www.w3.org/1998/Math/MathML">
        <m:r>
          <m:t>S⊆K</m:t>
        </m:r>
      </m:oMath>
      <w:r>
        <w:rPr>
          <w:rFonts w:ascii="Times New Roman" w:hAnsi="Times New Roman"/>
          <w:b w:val="0"/>
          <w:i w:val="0"/>
          <w:smallCaps w:val="0"/>
          <w:sz w:val="20"/>
        </w:rPr>
        <w:t xml:space="preserve">. The Shapley value [17] of channel </w:t>
      </w:r>
      <m:oMath xmlns:mml="http://www.w3.org/1998/Math/MathML">
        <m:r>
          <m:t>k</m:t>
        </m:r>
      </m:oMath>
      <w:r>
        <w:rPr>
          <w:rFonts w:ascii="Times New Roman" w:hAnsi="Times New Roman"/>
          <w:b w:val="0"/>
          <w:i w:val="0"/>
          <w:smallCaps w:val="0"/>
          <w:sz w:val="20"/>
        </w:rPr>
        <w:t xml:space="preserve"> is</w:t>
      </w:r>
    </w:p>
    <w:p>
      <w:pPr>
        <w:tabs>
          <w:tab w:pos="2520" w:val="center"/>
          <w:tab w:pos="5040" w:val="right"/>
        </w:tabs>
        <w:spacing w:before="60" w:after="60"/>
      </w:pPr>
      <w:r>
        <w:rPr>
          <w:rFonts w:ascii="Times New Roman" w:hAnsi="Times New Roman"/>
          <w:b w:val="0"/>
          <w:i w:val="0"/>
          <w:smallCaps w:val="0"/>
          <w:sz w:val="20"/>
        </w:rPr>
        <w:tab/>
      </w:r>
      <m:oMath xmlns:mml="http://www.w3.org/1998/Math/MathML">
        <m:r>
          <m:t>ϕ(k)=</m:t>
        </m:r>
        <m:nary>
          <m:naryPr>
            <m:chr m:val="∑"/>
            <m:limLoc m:val="subSup"/>
            <m:grow m:val="1"/>
            <m:subHide m:val="off"/>
            <m:supHide m:val="on"/>
          </m:naryPr>
          <m:sub>
            <m:r>
              <m:t>S⊆K⧵{k}</m:t>
            </m:r>
          </m:sub>
          <m:sup/>
          <m:e>
            <m:f>
              <m:fPr>
                <m:type m:val="bar"/>
              </m:fPr>
              <m:num>
                <m:r>
                  <m:t>|S|!</m:t>
                </m:r>
                <m:r>
                  <m:t>(|K|−|S|−1)!</m:t>
                </m:r>
              </m:num>
              <m:den>
                <m:r>
                  <m:t>|K|!</m:t>
                </m:r>
              </m:den>
            </m:f>
            <m:r>
              <m:t>[v(S∪{k})−v(S)]</m:t>
            </m:r>
          </m:e>
        </m:nary>
      </m:oMath>
      <w:r>
        <w:rPr>
          <w:rFonts w:ascii="Times New Roman" w:hAnsi="Times New Roman"/>
          <w:b w:val="0"/>
          <w:i w:val="0"/>
          <w:smallCaps w:val="0"/>
          <w:sz w:val="20"/>
        </w:rPr>
        <w:tab/>
        <w:t>(6)</w:t>
      </w:r>
    </w:p>
    <w:p>
      <w:pPr>
        <w:spacing w:after="0" w:before="0" w:line="240" w:lineRule="auto"/>
        <w:ind w:firstLine="202"/>
        <w:jc w:val="both"/>
      </w:pPr>
      <w:r>
        <w:rPr>
          <w:rFonts w:ascii="Times New Roman" w:hAnsi="Times New Roman"/>
          <w:b w:val="0"/>
          <w:i w:val="0"/>
          <w:smallCaps w:val="0"/>
          <w:sz w:val="20"/>
        </w:rPr>
        <w:t xml:space="preserve">By the efficiency property </w:t>
      </w:r>
      <m:oMath xmlns:mml="http://www.w3.org/1998/Math/MathML">
        <m:nary>
          <m:naryPr>
            <m:chr m:val="∑"/>
            <m:limLoc m:val="subSup"/>
            <m:grow m:val="1"/>
            <m:subHide m:val="off"/>
            <m:supHide m:val="on"/>
          </m:naryPr>
          <m:sub>
            <m:r>
              <m:t>k</m:t>
            </m:r>
          </m:sub>
          <m:sup/>
          <m:e>
            <m:r>
              <m:t>ϕ(k)=v(K)=C</m:t>
            </m:r>
          </m:e>
        </m:nary>
      </m:oMath>
      <w:r>
        <w:rPr>
          <w:rFonts w:ascii="Times New Roman" w:hAnsi="Times New Roman"/>
          <w:b w:val="0"/>
          <w:i w:val="0"/>
          <w:smallCaps w:val="0"/>
          <w:sz w:val="20"/>
        </w:rPr>
        <w:t xml:space="preserve">, so, like the other models, it distributes exactly the observed conversions. Exact computation is exponential in </w:t>
      </w:r>
      <m:oMath xmlns:mml="http://www.w3.org/1998/Math/MathML">
        <m:r>
          <m:t>|K|</m:t>
        </m:r>
      </m:oMath>
      <w:r>
        <w:rPr>
          <w:rFonts w:ascii="Times New Roman" w:hAnsi="Times New Roman"/>
          <w:b w:val="0"/>
          <w:i w:val="0"/>
          <w:smallCaps w:val="0"/>
          <w:sz w:val="20"/>
        </w:rPr>
        <w:t xml:space="preserve"> and the implementation is limited to 12 channels, which covers every dataset here. Table III summarises the seven models.</w:t>
      </w:r>
    </w:p>
    <w:p>
      <w:pPr>
        <w:keepNext/>
        <w:spacing w:after="0" w:before="120" w:line="240" w:lineRule="auto"/>
        <w:jc w:val="center"/>
      </w:pPr>
      <w:r>
        <w:rPr>
          <w:rFonts w:ascii="Times New Roman" w:hAnsi="Times New Roman"/>
          <w:b w:val="0"/>
          <w:i w:val="0"/>
          <w:smallCaps/>
          <w:sz w:val="16"/>
        </w:rPr>
        <w:t>Table III</w:t>
      </w:r>
    </w:p>
    <w:p>
      <w:pPr>
        <w:keepNext/>
        <w:spacing w:after="60" w:before="0" w:line="240" w:lineRule="auto"/>
        <w:jc w:val="center"/>
      </w:pPr>
      <w:r>
        <w:rPr>
          <w:rFonts w:ascii="Times New Roman" w:hAnsi="Times New Roman"/>
          <w:b w:val="0"/>
          <w:i w:val="0"/>
          <w:smallCaps/>
          <w:sz w:val="16"/>
        </w:rPr>
        <w:t>Attribution Models Compared</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2610"/>
        <w:gridCol w:w="2610"/>
        <w:gridCol w:w="2610"/>
        <w:gridCol w:w="2610"/>
      </w:tblGrid>
      <w:tr>
        <w:trPr>
          <w:cantSplit/>
          <w:tblHeader/>
        </w:trPr>
        <w:tc>
          <w:tcPr>
            <w:tcW w:type="dxa" w:w="1080"/>
          </w:tcPr>
          <w:p>
            <w:pPr>
              <w:keepNext/>
              <w:jc w:val="left"/>
            </w:pPr>
            <w:r/>
            <w:r>
              <w:rPr>
                <w:rFonts w:ascii="Times New Roman" w:hAnsi="Times New Roman"/>
                <w:b/>
                <w:sz w:val="16"/>
              </w:rPr>
              <w:t>Model</w:t>
            </w:r>
          </w:p>
        </w:tc>
        <w:tc>
          <w:tcPr>
            <w:tcW w:type="dxa" w:w="1368"/>
          </w:tcPr>
          <w:p>
            <w:pPr>
              <w:keepNext/>
              <w:jc w:val="left"/>
            </w:pPr>
            <w:r/>
            <w:r>
              <w:rPr>
                <w:rFonts w:ascii="Times New Roman" w:hAnsi="Times New Roman"/>
                <w:b/>
                <w:sz w:val="16"/>
              </w:rPr>
              <w:t>Credit rule</w:t>
            </w:r>
          </w:p>
        </w:tc>
        <w:tc>
          <w:tcPr>
            <w:tcW w:type="dxa" w:w="792"/>
          </w:tcPr>
          <w:p>
            <w:pPr>
              <w:keepNext/>
              <w:jc w:val="left"/>
            </w:pPr>
            <w:r/>
            <w:r>
              <w:rPr>
                <w:rFonts w:ascii="Times New Roman" w:hAnsi="Times New Roman"/>
                <w:b/>
                <w:sz w:val="16"/>
              </w:rPr>
              <w:t>Uses non-buyers</w:t>
            </w:r>
          </w:p>
        </w:tc>
        <w:tc>
          <w:tcPr>
            <w:tcW w:type="dxa" w:w="1800"/>
          </w:tcPr>
          <w:p>
            <w:pPr>
              <w:keepNext/>
              <w:jc w:val="left"/>
            </w:pPr>
            <w:r/>
            <w:r>
              <w:rPr>
                <w:rFonts w:ascii="Times New Roman" w:hAnsi="Times New Roman"/>
                <w:b/>
                <w:sz w:val="16"/>
              </w:rPr>
              <w:t>Implicit assumption</w:t>
            </w:r>
          </w:p>
        </w:tc>
      </w:tr>
      <w:tr>
        <w:trPr>
          <w:cantSplit/>
        </w:trPr>
        <w:tc>
          <w:tcPr>
            <w:tcW w:type="dxa" w:w="1080"/>
          </w:tcPr>
          <w:p>
            <w:pPr>
              <w:keepNext/>
              <w:jc w:val="left"/>
            </w:pPr>
            <w:r/>
            <w:r>
              <w:rPr>
                <w:rFonts w:ascii="Times New Roman" w:hAnsi="Times New Roman"/>
                <w:b w:val="0"/>
                <w:sz w:val="16"/>
              </w:rPr>
              <w:t>First touch</w:t>
            </w:r>
          </w:p>
        </w:tc>
        <w:tc>
          <w:tcPr>
            <w:tcW w:type="dxa" w:w="1368"/>
          </w:tcPr>
          <w:p>
            <w:pPr>
              <w:keepNext/>
              <w:jc w:val="left"/>
            </w:pPr>
            <w:r/>
            <w:r>
              <w:rPr>
                <w:rFonts w:ascii="Times New Roman" w:hAnsi="Times New Roman"/>
                <w:b w:val="0"/>
                <w:sz w:val="16"/>
              </w:rPr>
              <w:t>All to first touch</w:t>
            </w:r>
          </w:p>
        </w:tc>
        <w:tc>
          <w:tcPr>
            <w:tcW w:type="dxa" w:w="792"/>
          </w:tcPr>
          <w:p>
            <w:pPr>
              <w:keepNext/>
              <w:jc w:val="left"/>
            </w:pPr>
            <w:r/>
            <w:r>
              <w:rPr>
                <w:rFonts w:ascii="Times New Roman" w:hAnsi="Times New Roman"/>
                <w:b w:val="0"/>
                <w:sz w:val="16"/>
              </w:rPr>
              <w:t>No</w:t>
            </w:r>
          </w:p>
        </w:tc>
        <w:tc>
          <w:tcPr>
            <w:tcW w:type="dxa" w:w="1800"/>
          </w:tcPr>
          <w:p>
            <w:pPr>
              <w:keepNext/>
              <w:jc w:val="left"/>
            </w:pPr>
            <w:r/>
            <w:r>
              <w:rPr>
                <w:rFonts w:ascii="Times New Roman" w:hAnsi="Times New Roman"/>
                <w:b w:val="0"/>
                <w:sz w:val="16"/>
              </w:rPr>
              <w:t>Discovery drives sales</w:t>
            </w:r>
          </w:p>
        </w:tc>
      </w:tr>
      <w:tr>
        <w:trPr>
          <w:cantSplit/>
        </w:trPr>
        <w:tc>
          <w:tcPr>
            <w:tcW w:type="dxa" w:w="1080"/>
          </w:tcPr>
          <w:p>
            <w:pPr>
              <w:keepNext/>
              <w:jc w:val="left"/>
            </w:pPr>
            <w:r/>
            <w:r>
              <w:rPr>
                <w:rFonts w:ascii="Times New Roman" w:hAnsi="Times New Roman"/>
                <w:b w:val="0"/>
                <w:sz w:val="16"/>
              </w:rPr>
              <w:t>Last touch</w:t>
            </w:r>
          </w:p>
        </w:tc>
        <w:tc>
          <w:tcPr>
            <w:tcW w:type="dxa" w:w="1368"/>
          </w:tcPr>
          <w:p>
            <w:pPr>
              <w:keepNext/>
              <w:jc w:val="left"/>
            </w:pPr>
            <w:r/>
            <w:r>
              <w:rPr>
                <w:rFonts w:ascii="Times New Roman" w:hAnsi="Times New Roman"/>
                <w:b w:val="0"/>
                <w:sz w:val="16"/>
              </w:rPr>
              <w:t>All to last touch</w:t>
            </w:r>
          </w:p>
        </w:tc>
        <w:tc>
          <w:tcPr>
            <w:tcW w:type="dxa" w:w="792"/>
          </w:tcPr>
          <w:p>
            <w:pPr>
              <w:keepNext/>
              <w:jc w:val="left"/>
            </w:pPr>
            <w:r/>
            <w:r>
              <w:rPr>
                <w:rFonts w:ascii="Times New Roman" w:hAnsi="Times New Roman"/>
                <w:b w:val="0"/>
                <w:sz w:val="16"/>
              </w:rPr>
              <w:t>No</w:t>
            </w:r>
          </w:p>
        </w:tc>
        <w:tc>
          <w:tcPr>
            <w:tcW w:type="dxa" w:w="1800"/>
          </w:tcPr>
          <w:p>
            <w:pPr>
              <w:keepNext/>
              <w:jc w:val="left"/>
            </w:pPr>
            <w:r/>
            <w:r>
              <w:rPr>
                <w:rFonts w:ascii="Times New Roman" w:hAnsi="Times New Roman"/>
                <w:b w:val="0"/>
                <w:sz w:val="16"/>
              </w:rPr>
              <w:t>Closing drives sales</w:t>
            </w:r>
          </w:p>
        </w:tc>
      </w:tr>
      <w:tr>
        <w:trPr>
          <w:cantSplit/>
        </w:trPr>
        <w:tc>
          <w:tcPr>
            <w:tcW w:type="dxa" w:w="1080"/>
          </w:tcPr>
          <w:p>
            <w:pPr>
              <w:keepNext/>
              <w:jc w:val="left"/>
            </w:pPr>
            <w:r/>
            <w:r>
              <w:rPr>
                <w:rFonts w:ascii="Times New Roman" w:hAnsi="Times New Roman"/>
                <w:b w:val="0"/>
                <w:sz w:val="16"/>
              </w:rPr>
              <w:t>Linear</w:t>
            </w:r>
          </w:p>
        </w:tc>
        <w:tc>
          <w:tcPr>
            <w:tcW w:type="dxa" w:w="1368"/>
          </w:tcPr>
          <w:p>
            <w:pPr>
              <w:keepNext/>
              <w:jc w:val="left"/>
            </w:pPr>
            <w:r/>
            <w:r>
              <w:rPr>
                <w:rFonts w:ascii="Times New Roman" w:hAnsi="Times New Roman"/>
                <w:b w:val="0"/>
                <w:sz w:val="16"/>
              </w:rPr>
              <w:t>1/n to each touch</w:t>
            </w:r>
          </w:p>
        </w:tc>
        <w:tc>
          <w:tcPr>
            <w:tcW w:type="dxa" w:w="792"/>
          </w:tcPr>
          <w:p>
            <w:pPr>
              <w:keepNext/>
              <w:jc w:val="left"/>
            </w:pPr>
            <w:r/>
            <w:r>
              <w:rPr>
                <w:rFonts w:ascii="Times New Roman" w:hAnsi="Times New Roman"/>
                <w:b w:val="0"/>
                <w:sz w:val="16"/>
              </w:rPr>
              <w:t>No</w:t>
            </w:r>
          </w:p>
        </w:tc>
        <w:tc>
          <w:tcPr>
            <w:tcW w:type="dxa" w:w="1800"/>
          </w:tcPr>
          <w:p>
            <w:pPr>
              <w:keepNext/>
              <w:jc w:val="left"/>
            </w:pPr>
            <w:r/>
            <w:r>
              <w:rPr>
                <w:rFonts w:ascii="Times New Roman" w:hAnsi="Times New Roman"/>
                <w:b w:val="0"/>
                <w:sz w:val="16"/>
              </w:rPr>
              <w:t>All touches equal</w:t>
            </w:r>
          </w:p>
        </w:tc>
      </w:tr>
      <w:tr>
        <w:trPr>
          <w:cantSplit/>
        </w:trPr>
        <w:tc>
          <w:tcPr>
            <w:tcW w:type="dxa" w:w="1080"/>
          </w:tcPr>
          <w:p>
            <w:pPr>
              <w:keepNext/>
              <w:jc w:val="left"/>
            </w:pPr>
            <w:r/>
            <w:r>
              <w:rPr>
                <w:rFonts w:ascii="Times New Roman" w:hAnsi="Times New Roman"/>
                <w:b w:val="0"/>
                <w:sz w:val="16"/>
              </w:rPr>
              <w:t>Time decay</w:t>
            </w:r>
          </w:p>
        </w:tc>
        <w:tc>
          <w:tcPr>
            <w:tcW w:type="dxa" w:w="1368"/>
          </w:tcPr>
          <w:p>
            <w:pPr>
              <w:keepNext/>
              <w:jc w:val="left"/>
            </w:pPr>
            <w:r/>
            <w:r>
              <w:rPr>
                <w:rFonts w:ascii="Times New Roman" w:hAnsi="Times New Roman"/>
                <w:b w:val="0"/>
                <w:sz w:val="16"/>
              </w:rPr>
              <w:t>Halves every 7 days</w:t>
            </w:r>
          </w:p>
        </w:tc>
        <w:tc>
          <w:tcPr>
            <w:tcW w:type="dxa" w:w="792"/>
          </w:tcPr>
          <w:p>
            <w:pPr>
              <w:keepNext/>
              <w:jc w:val="left"/>
            </w:pPr>
            <w:r/>
            <w:r>
              <w:rPr>
                <w:rFonts w:ascii="Times New Roman" w:hAnsi="Times New Roman"/>
                <w:b w:val="0"/>
                <w:sz w:val="16"/>
              </w:rPr>
              <w:t>No</w:t>
            </w:r>
          </w:p>
        </w:tc>
        <w:tc>
          <w:tcPr>
            <w:tcW w:type="dxa" w:w="1800"/>
          </w:tcPr>
          <w:p>
            <w:pPr>
              <w:keepNext/>
              <w:jc w:val="left"/>
            </w:pPr>
            <w:r/>
            <w:r>
              <w:rPr>
                <w:rFonts w:ascii="Times New Roman" w:hAnsi="Times New Roman"/>
                <w:b w:val="0"/>
                <w:sz w:val="16"/>
              </w:rPr>
              <w:t>Recent touches matter more</w:t>
            </w:r>
          </w:p>
        </w:tc>
      </w:tr>
      <w:tr>
        <w:trPr>
          <w:cantSplit/>
        </w:trPr>
        <w:tc>
          <w:tcPr>
            <w:tcW w:type="dxa" w:w="1080"/>
          </w:tcPr>
          <w:p>
            <w:pPr>
              <w:keepNext/>
              <w:jc w:val="left"/>
            </w:pPr>
            <w:r/>
            <w:r>
              <w:rPr>
                <w:rFonts w:ascii="Times New Roman" w:hAnsi="Times New Roman"/>
                <w:b w:val="0"/>
                <w:sz w:val="16"/>
              </w:rPr>
              <w:t>Position based</w:t>
            </w:r>
          </w:p>
        </w:tc>
        <w:tc>
          <w:tcPr>
            <w:tcW w:type="dxa" w:w="1368"/>
          </w:tcPr>
          <w:p>
            <w:pPr>
              <w:keepNext/>
              <w:jc w:val="left"/>
            </w:pPr>
            <w:r/>
            <w:r>
              <w:rPr>
                <w:rFonts w:ascii="Times New Roman" w:hAnsi="Times New Roman"/>
                <w:b w:val="0"/>
                <w:sz w:val="16"/>
              </w:rPr>
              <w:t>40/20/40</w:t>
            </w:r>
          </w:p>
        </w:tc>
        <w:tc>
          <w:tcPr>
            <w:tcW w:type="dxa" w:w="792"/>
          </w:tcPr>
          <w:p>
            <w:pPr>
              <w:keepNext/>
              <w:jc w:val="left"/>
            </w:pPr>
            <w:r/>
            <w:r>
              <w:rPr>
                <w:rFonts w:ascii="Times New Roman" w:hAnsi="Times New Roman"/>
                <w:b w:val="0"/>
                <w:sz w:val="16"/>
              </w:rPr>
              <w:t>No</w:t>
            </w:r>
          </w:p>
        </w:tc>
        <w:tc>
          <w:tcPr>
            <w:tcW w:type="dxa" w:w="1800"/>
          </w:tcPr>
          <w:p>
            <w:pPr>
              <w:keepNext/>
              <w:jc w:val="left"/>
            </w:pPr>
            <w:r/>
            <w:r>
              <w:rPr>
                <w:rFonts w:ascii="Times New Roman" w:hAnsi="Times New Roman"/>
                <w:b w:val="0"/>
                <w:sz w:val="16"/>
              </w:rPr>
              <w:t>Opening and closing matter</w:t>
            </w:r>
          </w:p>
        </w:tc>
      </w:tr>
      <w:tr>
        <w:trPr>
          <w:cantSplit/>
        </w:trPr>
        <w:tc>
          <w:tcPr>
            <w:tcW w:type="dxa" w:w="1080"/>
          </w:tcPr>
          <w:p>
            <w:pPr>
              <w:keepNext/>
              <w:jc w:val="left"/>
            </w:pPr>
            <w:r/>
            <w:r>
              <w:rPr>
                <w:rFonts w:ascii="Times New Roman" w:hAnsi="Times New Roman"/>
                <w:b w:val="0"/>
                <w:sz w:val="16"/>
              </w:rPr>
              <w:t>Markov chain</w:t>
            </w:r>
          </w:p>
        </w:tc>
        <w:tc>
          <w:tcPr>
            <w:tcW w:type="dxa" w:w="1368"/>
          </w:tcPr>
          <w:p>
            <w:pPr>
              <w:keepNext/>
              <w:jc w:val="left"/>
            </w:pPr>
            <w:r/>
            <w:r>
              <w:rPr>
                <w:rFonts w:ascii="Times New Roman" w:hAnsi="Times New Roman"/>
                <w:b w:val="0"/>
                <w:sz w:val="16"/>
              </w:rPr>
              <w:t>Removal effect (4)-(5)</w:t>
            </w:r>
          </w:p>
        </w:tc>
        <w:tc>
          <w:tcPr>
            <w:tcW w:type="dxa" w:w="792"/>
          </w:tcPr>
          <w:p>
            <w:pPr>
              <w:keepNext/>
              <w:jc w:val="left"/>
            </w:pPr>
            <w:r/>
            <w:r>
              <w:rPr>
                <w:rFonts w:ascii="Times New Roman" w:hAnsi="Times New Roman"/>
                <w:b w:val="0"/>
                <w:sz w:val="16"/>
              </w:rPr>
              <w:t>Yes</w:t>
            </w:r>
          </w:p>
        </w:tc>
        <w:tc>
          <w:tcPr>
            <w:tcW w:type="dxa" w:w="1800"/>
          </w:tcPr>
          <w:p>
            <w:pPr>
              <w:keepNext/>
              <w:jc w:val="left"/>
            </w:pPr>
            <w:r/>
            <w:r>
              <w:rPr>
                <w:rFonts w:ascii="Times New Roman" w:hAnsi="Times New Roman"/>
                <w:b w:val="0"/>
                <w:sz w:val="16"/>
              </w:rPr>
              <w:t>Next step depends on current channel</w:t>
            </w:r>
          </w:p>
        </w:tc>
      </w:tr>
      <w:tr>
        <w:trPr>
          <w:cantSplit/>
        </w:trPr>
        <w:tc>
          <w:tcPr>
            <w:tcW w:type="dxa" w:w="1080"/>
          </w:tcPr>
          <w:p>
            <w:pPr>
              <w:keepNext w:val="0"/>
              <w:jc w:val="left"/>
            </w:pPr>
            <w:r/>
            <w:r>
              <w:rPr>
                <w:rFonts w:ascii="Times New Roman" w:hAnsi="Times New Roman"/>
                <w:b w:val="0"/>
                <w:sz w:val="16"/>
              </w:rPr>
              <w:t>Shapley value</w:t>
            </w:r>
          </w:p>
        </w:tc>
        <w:tc>
          <w:tcPr>
            <w:tcW w:type="dxa" w:w="1368"/>
          </w:tcPr>
          <w:p>
            <w:pPr>
              <w:keepNext w:val="0"/>
              <w:jc w:val="left"/>
            </w:pPr>
            <w:r/>
            <w:r>
              <w:rPr>
                <w:rFonts w:ascii="Times New Roman" w:hAnsi="Times New Roman"/>
                <w:b w:val="0"/>
                <w:sz w:val="16"/>
              </w:rPr>
              <w:t>Marginal contribution (6)</w:t>
            </w:r>
          </w:p>
        </w:tc>
        <w:tc>
          <w:tcPr>
            <w:tcW w:type="dxa" w:w="792"/>
          </w:tcPr>
          <w:p>
            <w:pPr>
              <w:keepNext w:val="0"/>
              <w:jc w:val="left"/>
            </w:pPr>
            <w:r/>
            <w:r>
              <w:rPr>
                <w:rFonts w:ascii="Times New Roman" w:hAnsi="Times New Roman"/>
                <w:b w:val="0"/>
                <w:sz w:val="16"/>
              </w:rPr>
              <w:t>No</w:t>
            </w:r>
          </w:p>
        </w:tc>
        <w:tc>
          <w:tcPr>
            <w:tcW w:type="dxa" w:w="1800"/>
          </w:tcPr>
          <w:p>
            <w:pPr>
              <w:keepNext w:val="0"/>
              <w:jc w:val="left"/>
            </w:pPr>
            <w:r/>
            <w:r>
              <w:rPr>
                <w:rFonts w:ascii="Times New Roman" w:hAnsi="Times New Roman"/>
                <w:b w:val="0"/>
                <w:sz w:val="16"/>
              </w:rPr>
              <w:t>Channels cooperate as a coalition</w:t>
            </w:r>
          </w:p>
        </w:tc>
      </w:tr>
    </w:tbl>
    <w:p>
      <w:pPr>
        <w:spacing w:after="80" w:before="0" w:line="240" w:lineRule="auto"/>
        <w:ind w:firstLine="202"/>
        <w:jc w:val="both"/>
      </w:pPr>
    </w:p>
    <w:p>
      <w:pPr>
        <w:keepNext/>
        <w:spacing w:after="40" w:before="80" w:line="240" w:lineRule="auto"/>
        <w:jc w:val="left"/>
      </w:pPr>
      <w:r>
        <w:rPr>
          <w:rFonts w:ascii="Times New Roman" w:hAnsi="Times New Roman"/>
          <w:b w:val="0"/>
          <w:i/>
          <w:smallCaps w:val="0"/>
          <w:sz w:val="20"/>
        </w:rPr>
        <w:t>D. Known-Answer Validation</w:t>
      </w:r>
    </w:p>
    <w:p>
      <w:pPr>
        <w:spacing w:after="0" w:before="0" w:line="240" w:lineRule="auto"/>
        <w:ind w:firstLine="202"/>
        <w:jc w:val="both"/>
      </w:pPr>
      <w:r>
        <w:rPr>
          <w:rFonts w:ascii="Times New Roman" w:hAnsi="Times New Roman"/>
          <w:b w:val="0"/>
          <w:i w:val="0"/>
          <w:smallCaps w:val="0"/>
          <w:sz w:val="20"/>
        </w:rPr>
        <w:t xml:space="preserve">Observational data offers no ground truth for attribution, so we simulated journeys in which channel effects are set by design. In each random world, seven channels receive a lift </w:t>
      </w:r>
      <m:oMath xmlns:mml="http://www.w3.org/1998/Math/MathML">
        <m:sSub>
          <m:e>
            <m:r>
              <m:t>λ</m:t>
            </m:r>
          </m:e>
          <m:sub>
            <m:r>
              <m:t>k</m:t>
            </m:r>
          </m:sub>
        </m:sSub>
      </m:oMath>
      <w:r>
        <w:rPr>
          <w:rFonts w:ascii="Times New Roman" w:hAnsi="Times New Roman"/>
          <w:b w:val="0"/>
          <w:i w:val="0"/>
          <w:smallCaps w:val="0"/>
          <w:sz w:val="20"/>
        </w:rPr>
        <w:t xml:space="preserve"> drawn uniformly from </w:t>
      </w:r>
      <m:oMath xmlns:mml="http://www.w3.org/1998/Math/MathML">
        <m:r>
          <m:t>[0.01,0.25]</m:t>
        </m:r>
      </m:oMath>
      <w:r>
        <w:rPr>
          <w:rFonts w:ascii="Times New Roman" w:hAnsi="Times New Roman"/>
          <w:b w:val="0"/>
          <w:i w:val="0"/>
          <w:smallCaps w:val="0"/>
          <w:sz w:val="20"/>
        </w:rPr>
        <w:t xml:space="preserve">, and the first channel and each subsequent channel are drawn from Dirichlet(2) distributions. A user makes up to eight visits; after visit </w:t>
      </w:r>
      <m:oMath xmlns:mml="http://www.w3.org/1998/Math/MathML">
        <m:r>
          <m:t>m</m:t>
        </m:r>
      </m:oMath>
      <w:r>
        <w:rPr>
          <w:rFonts w:ascii="Times New Roman" w:hAnsi="Times New Roman"/>
          <w:b w:val="0"/>
          <w:i w:val="0"/>
          <w:smallCaps w:val="0"/>
          <w:sz w:val="20"/>
        </w:rPr>
        <w:t xml:space="preserve"> without a purchase the user leaves with probability 0.35, otherwise returns after an exponential gap with a mean of 60 hours. The purchase probability at visit </w:t>
      </w:r>
      <m:oMath xmlns:mml="http://www.w3.org/1998/Math/MathML">
        <m:r>
          <m:t>m</m:t>
        </m:r>
      </m:oMath>
      <w:r>
        <w:rPr>
          <w:rFonts w:ascii="Times New Roman" w:hAnsi="Times New Roman"/>
          <w:b w:val="0"/>
          <w:i w:val="0"/>
          <w:smallCaps w:val="0"/>
          <w:sz w:val="20"/>
        </w:rPr>
        <w:t xml:space="preserve"> is</w:t>
      </w:r>
    </w:p>
    <w:p>
      <w:pPr>
        <w:tabs>
          <w:tab w:pos="2520" w:val="center"/>
          <w:tab w:pos="5040" w:val="right"/>
        </w:tabs>
        <w:spacing w:before="60" w:after="60"/>
      </w:pPr>
      <w:r>
        <w:rPr>
          <w:rFonts w:ascii="Times New Roman" w:hAnsi="Times New Roman"/>
          <w:b w:val="0"/>
          <w:i w:val="0"/>
          <w:smallCaps w:val="0"/>
          <w:sz w:val="20"/>
        </w:rPr>
        <w:tab/>
      </w:r>
      <m:oMath xmlns:mml="http://www.w3.org/1998/Math/MathML">
        <m:r>
          <m:t>P(</m:t>
        </m:r>
        <m:r>
          <m:rPr>
            <m:nor/>
          </m:rPr>
          <m:t>buy at </m:t>
        </m:r>
        <m:r>
          <m:t>m)=</m:t>
        </m:r>
        <m:sSub>
          <m:e>
            <m:r>
              <m:t>κ</m:t>
            </m:r>
          </m:e>
          <m:sub>
            <m:r>
              <m:t>m</m:t>
            </m:r>
          </m:sub>
        </m:sSub>
        <m:r>
          <m:t>σ</m:t>
        </m:r>
        <m:r>
          <m:t>(−3+6</m:t>
        </m:r>
        <m:nary>
          <m:naryPr>
            <m:chr m:val="∑"/>
            <m:limLoc m:val="subSup"/>
            <m:grow m:val="1"/>
            <m:subHide m:val="off"/>
            <m:supHide m:val="on"/>
          </m:naryPr>
          <m:sub>
            <m:r>
              <m:t>j∈J(m)</m:t>
            </m:r>
          </m:sub>
          <m:sup/>
          <m:e>
            <m:sSub>
              <m:e>
                <m:r>
                  <m:t>λ</m:t>
                </m:r>
              </m:e>
              <m:sub>
                <m:sSub>
                  <m:e>
                    <m:r>
                      <m:t>c</m:t>
                    </m:r>
                  </m:e>
                  <m:sub>
                    <m:r>
                      <m:t>j</m:t>
                    </m:r>
                  </m:sub>
                </m:sSub>
              </m:sub>
            </m:sSub>
            <m:r>
              <m:t>)</m:t>
            </m:r>
          </m:e>
        </m:nary>
      </m:oMath>
      <w:r>
        <w:rPr>
          <w:rFonts w:ascii="Times New Roman" w:hAnsi="Times New Roman"/>
          <w:b w:val="0"/>
          <w:i w:val="0"/>
          <w:smallCaps w:val="0"/>
          <w:sz w:val="20"/>
        </w:rPr>
        <w:tab/>
        <w:t>(7)</w:t>
      </w:r>
    </w:p>
    <w:p>
      <w:pPr>
        <w:spacing w:after="0" w:before="0" w:line="240" w:lineRule="auto"/>
        <w:ind w:firstLine="202"/>
        <w:jc w:val="both"/>
      </w:pPr>
      <w:r>
        <w:rPr>
          <w:rFonts w:ascii="Times New Roman" w:hAnsi="Times New Roman"/>
          <w:b w:val="0"/>
          <w:i w:val="0"/>
          <w:smallCaps w:val="0"/>
          <w:sz w:val="20"/>
        </w:rPr>
        <w:t xml:space="preserve">where </w:t>
      </w:r>
      <m:oMath xmlns:mml="http://www.w3.org/1998/Math/MathML">
        <m:r>
          <m:t>σ</m:t>
        </m:r>
      </m:oMath>
      <w:r>
        <w:rPr>
          <w:rFonts w:ascii="Times New Roman" w:hAnsi="Times New Roman"/>
          <w:b w:val="0"/>
          <w:i w:val="0"/>
          <w:smallCaps w:val="0"/>
          <w:sz w:val="20"/>
        </w:rPr>
        <w:t xml:space="preserve"> is the logistic function, </w:t>
      </w:r>
      <m:oMath xmlns:mml="http://www.w3.org/1998/Math/MathML">
        <m:sSub>
          <m:e>
            <m:r>
              <m:t>κ</m:t>
            </m:r>
          </m:e>
          <m:sub>
            <m:r>
              <m:t>1</m:t>
            </m:r>
          </m:sub>
        </m:sSub>
        <m:r>
          <m:t>=0.25</m:t>
        </m:r>
      </m:oMath>
      <w:r>
        <w:rPr>
          <w:rFonts w:ascii="Times New Roman" w:hAnsi="Times New Roman"/>
          <w:b w:val="0"/>
          <w:i w:val="0"/>
          <w:smallCaps w:val="0"/>
          <w:sz w:val="20"/>
        </w:rPr>
        <w:t xml:space="preserve"> and </w:t>
      </w:r>
      <m:oMath xmlns:mml="http://www.w3.org/1998/Math/MathML">
        <m:sSub>
          <m:e>
            <m:r>
              <m:t>κ</m:t>
            </m:r>
          </m:e>
          <m:sub>
            <m:r>
              <m:t>m</m:t>
            </m:r>
          </m:sub>
        </m:sSub>
        <m:r>
          <m:t>=0.45</m:t>
        </m:r>
      </m:oMath>
      <w:r>
        <w:rPr>
          <w:rFonts w:ascii="Times New Roman" w:hAnsi="Times New Roman"/>
          <w:b w:val="0"/>
          <w:i w:val="0"/>
          <w:smallCaps w:val="0"/>
          <w:sz w:val="20"/>
        </w:rPr>
        <w:t xml:space="preserve"> for later visits. In the </w:t>
      </w:r>
      <w:r>
        <w:rPr>
          <w:rFonts w:ascii="Times New Roman" w:hAnsi="Times New Roman"/>
          <w:b w:val="0"/>
          <w:i/>
          <w:smallCaps w:val="0"/>
          <w:sz w:val="20"/>
        </w:rPr>
        <w:t>immediate</w:t>
      </w:r>
      <w:r>
        <w:rPr>
          <w:rFonts w:ascii="Times New Roman" w:hAnsi="Times New Roman"/>
          <w:b w:val="0"/>
          <w:i w:val="0"/>
          <w:smallCaps w:val="0"/>
          <w:sz w:val="20"/>
        </w:rPr>
        <w:t xml:space="preserve"> scenario </w:t>
      </w:r>
      <m:oMath xmlns:mml="http://www.w3.org/1998/Math/MathML">
        <m:r>
          <m:t>J(m)</m:t>
        </m:r>
      </m:oMath>
      <w:r>
        <w:rPr>
          <w:rFonts w:ascii="Times New Roman" w:hAnsi="Times New Roman"/>
          <w:b w:val="0"/>
          <w:i w:val="0"/>
          <w:smallCaps w:val="0"/>
          <w:sz w:val="20"/>
        </w:rPr>
        <w:t xml:space="preserve"> includes visit </w:t>
      </w:r>
      <m:oMath xmlns:mml="http://www.w3.org/1998/Math/MathML">
        <m:r>
          <m:t>m</m:t>
        </m:r>
      </m:oMath>
      <w:r>
        <w:rPr>
          <w:rFonts w:ascii="Times New Roman" w:hAnsi="Times New Roman"/>
          <w:b w:val="0"/>
          <w:i w:val="0"/>
          <w:smallCaps w:val="0"/>
          <w:sz w:val="20"/>
        </w:rPr>
        <w:t xml:space="preserve">, so a touch can trigger a purchase in the same visit; in the </w:t>
      </w:r>
      <w:r>
        <w:rPr>
          <w:rFonts w:ascii="Times New Roman" w:hAnsi="Times New Roman"/>
          <w:b w:val="0"/>
          <w:i/>
          <w:smallCaps w:val="0"/>
          <w:sz w:val="20"/>
        </w:rPr>
        <w:t>carry-over</w:t>
      </w:r>
      <w:r>
        <w:rPr>
          <w:rFonts w:ascii="Times New Roman" w:hAnsi="Times New Roman"/>
          <w:b w:val="0"/>
          <w:i w:val="0"/>
          <w:smallCaps w:val="0"/>
          <w:sz w:val="20"/>
        </w:rPr>
        <w:t xml:space="preserve"> scenario </w:t>
      </w:r>
      <m:oMath xmlns:mml="http://www.w3.org/1998/Math/MathML">
        <m:r>
          <m:t>J(m)</m:t>
        </m:r>
      </m:oMath>
      <w:r>
        <w:rPr>
          <w:rFonts w:ascii="Times New Roman" w:hAnsi="Times New Roman"/>
          <w:b w:val="0"/>
          <w:i w:val="0"/>
          <w:smallCaps w:val="0"/>
          <w:sz w:val="20"/>
        </w:rPr>
        <w:t xml:space="preserve"> includes only earlier visits, as with awareness advertising. A channel's true contribution is the number of conversions lost when its lift is switched off, computed with the same random numbers so that only that channel's effect changes. Its true share </w:t>
      </w:r>
      <m:oMath xmlns:mml="http://www.w3.org/1998/Math/MathML">
        <m:sSub>
          <m:e>
            <m:r>
              <m:t>s</m:t>
            </m:r>
          </m:e>
          <m:sub>
            <m:r>
              <m:t>k</m:t>
            </m:r>
          </m:sub>
        </m:sSub>
      </m:oMath>
      <w:r>
        <w:rPr>
          <w:rFonts w:ascii="Times New Roman" w:hAnsi="Times New Roman"/>
          <w:b w:val="0"/>
          <w:i w:val="0"/>
          <w:smallCaps w:val="0"/>
          <w:sz w:val="20"/>
        </w:rPr>
        <w:t xml:space="preserve"> is that loss divided by the sum of losses over all channels. Each model's credit shares </w:t>
      </w:r>
      <m:oMath xmlns:mml="http://www.w3.org/1998/Math/MathML">
        <m:sSub>
          <m:e>
            <m:acc>
              <m:accPr>
                <m:chr m:val="̂"/>
              </m:accPr>
              <m:e>
                <m:r>
                  <m:t>a</m:t>
                </m:r>
              </m:e>
            </m:acc>
          </m:e>
          <m:sub>
            <m:r>
              <m:t>k</m:t>
            </m:r>
          </m:sub>
        </m:sSub>
      </m:oMath>
      <w:r>
        <w:rPr>
          <w:rFonts w:ascii="Times New Roman" w:hAnsi="Times New Roman"/>
          <w:b w:val="0"/>
          <w:i w:val="0"/>
          <w:smallCaps w:val="0"/>
          <w:sz w:val="20"/>
        </w:rPr>
        <w:t xml:space="preserve"> are scored by</w:t>
      </w:r>
    </w:p>
    <w:p>
      <w:pPr>
        <w:tabs>
          <w:tab w:pos="2520" w:val="center"/>
          <w:tab w:pos="5040" w:val="right"/>
        </w:tabs>
        <w:spacing w:before="60" w:after="60"/>
      </w:pPr>
      <w:r>
        <w:rPr>
          <w:rFonts w:ascii="Times New Roman" w:hAnsi="Times New Roman"/>
          <w:b w:val="0"/>
          <w:i w:val="0"/>
          <w:smallCaps w:val="0"/>
          <w:sz w:val="20"/>
        </w:rPr>
        <w:tab/>
      </w:r>
      <m:oMath xmlns:mml="http://www.w3.org/1998/Math/MathML">
        <m:r>
          <m:rPr>
            <m:nor/>
          </m:rPr>
          <m:t>MAE</m:t>
        </m:r>
        <m:r>
          <m:t>=</m:t>
        </m:r>
        <m:f>
          <m:fPr>
            <m:type m:val="bar"/>
          </m:fPr>
          <m:num>
            <m:r>
              <m:t>1</m:t>
            </m:r>
          </m:num>
          <m:den>
            <m:r>
              <m:t>|K|</m:t>
            </m:r>
          </m:den>
        </m:f>
        <m:nary>
          <m:naryPr>
            <m:chr m:val="∑"/>
            <m:limLoc m:val="subSup"/>
            <m:grow m:val="1"/>
            <m:subHide m:val="off"/>
            <m:supHide m:val="on"/>
          </m:naryPr>
          <m:sub>
            <m:r>
              <m:t>k</m:t>
            </m:r>
          </m:sub>
          <m:sup/>
          <m:e>
            <m:r>
              <m:t>|</m:t>
            </m:r>
            <m:sSub>
              <m:e>
                <m:acc>
                  <m:accPr>
                    <m:chr m:val="̂"/>
                  </m:accPr>
                  <m:e>
                    <m:r>
                      <m:t>a</m:t>
                    </m:r>
                  </m:e>
                </m:acc>
              </m:e>
              <m:sub>
                <m:r>
                  <m:t>k</m:t>
                </m:r>
              </m:sub>
            </m:sSub>
            <m:r>
              <m:t>−</m:t>
            </m:r>
            <m:sSub>
              <m:e>
                <m:r>
                  <m:t>s</m:t>
                </m:r>
              </m:e>
              <m:sub>
                <m:r>
                  <m:t>k</m:t>
                </m:r>
              </m:sub>
            </m:sSub>
            <m:r>
              <m:t>|</m:t>
            </m:r>
          </m:e>
        </m:nary>
      </m:oMath>
      <w:r>
        <w:rPr>
          <w:rFonts w:ascii="Times New Roman" w:hAnsi="Times New Roman"/>
          <w:b w:val="0"/>
          <w:i w:val="0"/>
          <w:smallCaps w:val="0"/>
          <w:sz w:val="20"/>
        </w:rPr>
        <w:tab/>
        <w:t>(8)</w:t>
      </w:r>
    </w:p>
    <w:p>
      <w:pPr>
        <w:spacing w:after="0" w:before="0" w:line="240" w:lineRule="auto"/>
        <w:ind w:firstLine="202"/>
        <w:jc w:val="both"/>
      </w:pPr>
      <w:r>
        <w:rPr>
          <w:rFonts w:ascii="Times New Roman" w:hAnsi="Times New Roman"/>
          <w:b w:val="0"/>
          <w:i w:val="0"/>
          <w:smallCaps w:val="0"/>
          <w:sz w:val="20"/>
        </w:rPr>
        <w:t>in percentage points, and by Spearman rank correlation [35] with the true shares. Six worlds of 3,000 users were generated per scenario. Stability was assessed with 200 bootstrap resamples of journeys [36] on a separate synthetic dataset in which Social and Display were designed to start journeys and Email and Paid Search to close them.</w:t>
      </w:r>
    </w:p>
    <w:p>
      <w:pPr>
        <w:keepNext/>
        <w:spacing w:after="40" w:before="80" w:line="240" w:lineRule="auto"/>
        <w:jc w:val="left"/>
      </w:pPr>
      <w:r>
        <w:rPr>
          <w:rFonts w:ascii="Times New Roman" w:hAnsi="Times New Roman"/>
          <w:b w:val="0"/>
          <w:i/>
          <w:smallCaps w:val="0"/>
          <w:sz w:val="20"/>
        </w:rPr>
        <w:t>E. Recency of Last-Click Credit</w:t>
      </w:r>
    </w:p>
    <w:p>
      <w:pPr>
        <w:spacing w:after="0" w:before="0" w:line="240" w:lineRule="auto"/>
        <w:ind w:firstLine="202"/>
        <w:jc w:val="both"/>
      </w:pPr>
      <w:r>
        <w:rPr>
          <w:rFonts w:ascii="Times New Roman" w:hAnsi="Times New Roman"/>
          <w:b w:val="0"/>
          <w:i w:val="0"/>
          <w:smallCaps w:val="0"/>
          <w:sz w:val="20"/>
        </w:rPr>
        <w:t xml:space="preserve">For each Criteo conversion </w:t>
      </w:r>
      <m:oMath xmlns:mml="http://www.w3.org/1998/Math/MathML">
        <m:r>
          <m:t>i</m:t>
        </m:r>
      </m:oMath>
      <w:r>
        <w:rPr>
          <w:rFonts w:ascii="Times New Roman" w:hAnsi="Times New Roman"/>
          <w:b w:val="0"/>
          <w:i w:val="0"/>
          <w:smallCaps w:val="0"/>
          <w:sz w:val="20"/>
        </w:rPr>
        <w:t xml:space="preserve"> we record whether Criteo received last-click credit (</w:t>
      </w:r>
      <m:oMath xmlns:mml="http://www.w3.org/1998/Math/MathML">
        <m:sSub>
          <m:e>
            <m:r>
              <m:t>y</m:t>
            </m:r>
          </m:e>
          <m:sub>
            <m:r>
              <m:t>i</m:t>
            </m:r>
          </m:sub>
        </m:sSub>
        <m:r>
          <m:t>=1</m:t>
        </m:r>
      </m:oMath>
      <w:r>
        <w:rPr>
          <w:rFonts w:ascii="Times New Roman" w:hAnsi="Times New Roman"/>
          <w:b w:val="0"/>
          <w:i w:val="0"/>
          <w:smallCaps w:val="0"/>
          <w:sz w:val="20"/>
        </w:rPr>
        <w:t xml:space="preserve">), the number of Criteo clicks </w:t>
      </w:r>
      <m:oMath xmlns:mml="http://www.w3.org/1998/Math/MathML">
        <m:sSub>
          <m:e>
            <m:r>
              <m:t>n</m:t>
            </m:r>
          </m:e>
          <m:sub>
            <m:r>
              <m:t>i</m:t>
            </m:r>
          </m:sub>
        </m:sSub>
      </m:oMath>
      <w:r>
        <w:rPr>
          <w:rFonts w:ascii="Times New Roman" w:hAnsi="Times New Roman"/>
          <w:b w:val="0"/>
          <w:i w:val="0"/>
          <w:smallCaps w:val="0"/>
          <w:sz w:val="20"/>
        </w:rPr>
        <w:t xml:space="preserve"> (capped at 10) and the hours </w:t>
      </w:r>
      <m:oMath xmlns:mml="http://www.w3.org/1998/Math/MathML">
        <m:sSub>
          <m:e>
            <m:r>
              <m:t>h</m:t>
            </m:r>
          </m:e>
          <m:sub>
            <m:r>
              <m:t>i</m:t>
            </m:r>
          </m:sub>
        </m:sSub>
      </m:oMath>
      <w:r>
        <w:rPr>
          <w:rFonts w:ascii="Times New Roman" w:hAnsi="Times New Roman"/>
          <w:b w:val="0"/>
          <w:i w:val="0"/>
          <w:smallCaps w:val="0"/>
          <w:sz w:val="20"/>
        </w:rPr>
        <w:t xml:space="preserve"> from the last click to the conversion. We test association with Pearson's chi-square test [37] over six time bands and with the logistic regression</w:t>
      </w:r>
    </w:p>
    <w:p>
      <w:pPr>
        <w:tabs>
          <w:tab w:pos="2520" w:val="center"/>
          <w:tab w:pos="5040" w:val="right"/>
        </w:tabs>
        <w:spacing w:before="60" w:after="60"/>
      </w:pPr>
      <w:r>
        <w:rPr>
          <w:rFonts w:ascii="Times New Roman" w:hAnsi="Times New Roman"/>
          <w:b w:val="0"/>
          <w:i w:val="0"/>
          <w:smallCaps w:val="0"/>
          <w:sz w:val="20"/>
        </w:rPr>
        <w:tab/>
      </w:r>
      <m:oMath xmlns:mml="http://www.w3.org/1998/Math/MathML">
        <m:r>
          <m:rPr>
            <m:sty m:val="p"/>
          </m:rPr>
          <m:t>logit</m:t>
        </m:r>
        <m:r>
          <m:t>P(</m:t>
        </m:r>
        <m:sSub>
          <m:e>
            <m:r>
              <m:t>y</m:t>
            </m:r>
          </m:e>
          <m:sub>
            <m:r>
              <m:t>i</m:t>
            </m:r>
          </m:sub>
        </m:sSub>
        <m:r>
          <m:t>=1)=</m:t>
        </m:r>
        <m:sSub>
          <m:e>
            <m:r>
              <m:t>β</m:t>
            </m:r>
          </m:e>
          <m:sub>
            <m:r>
              <m:t>0</m:t>
            </m:r>
          </m:sub>
        </m:sSub>
        <m:r>
          <m:t>+</m:t>
        </m:r>
        <m:sSub>
          <m:e>
            <m:r>
              <m:t>β</m:t>
            </m:r>
          </m:e>
          <m:sub>
            <m:r>
              <m:t>1</m:t>
            </m:r>
          </m:sub>
        </m:sSub>
        <m:r>
          <m:rPr>
            <m:sty m:val="p"/>
          </m:rPr>
          <m:t>log</m:t>
        </m:r>
        <m:r>
          <m:t>(1+</m:t>
        </m:r>
        <m:sSub>
          <m:e>
            <m:r>
              <m:t>h</m:t>
            </m:r>
          </m:e>
          <m:sub>
            <m:r>
              <m:t>i</m:t>
            </m:r>
          </m:sub>
        </m:sSub>
        <m:r>
          <m:t>)+</m:t>
        </m:r>
        <m:sSub>
          <m:e>
            <m:r>
              <m:t>β</m:t>
            </m:r>
          </m:e>
          <m:sub>
            <m:r>
              <m:t>2</m:t>
            </m:r>
          </m:sub>
        </m:sSub>
        <m:sSub>
          <m:e>
            <m:r>
              <m:t>n</m:t>
            </m:r>
          </m:e>
          <m:sub>
            <m:r>
              <m:t>i</m:t>
            </m:r>
          </m:sub>
        </m:sSub>
      </m:oMath>
      <w:r>
        <w:rPr>
          <w:rFonts w:ascii="Times New Roman" w:hAnsi="Times New Roman"/>
          <w:b w:val="0"/>
          <w:i w:val="0"/>
          <w:smallCaps w:val="0"/>
          <w:sz w:val="20"/>
        </w:rPr>
        <w:tab/>
        <w:t>(9)</w:t>
      </w:r>
    </w:p>
    <w:p>
      <w:pPr>
        <w:keepNext/>
        <w:spacing w:after="40" w:before="80" w:line="240" w:lineRule="auto"/>
        <w:jc w:val="left"/>
      </w:pPr>
      <w:r>
        <w:rPr>
          <w:rFonts w:ascii="Times New Roman" w:hAnsi="Times New Roman"/>
          <w:b w:val="0"/>
          <w:i/>
          <w:smallCaps w:val="0"/>
          <w:sz w:val="20"/>
        </w:rPr>
        <w:t>F. Session Behaviour and Conversion</w:t>
      </w:r>
    </w:p>
    <w:p>
      <w:pPr>
        <w:spacing w:after="0" w:before="0" w:line="240" w:lineRule="auto"/>
        <w:ind w:firstLine="202"/>
        <w:jc w:val="both"/>
      </w:pPr>
      <w:r>
        <w:rPr>
          <w:rFonts w:ascii="Times New Roman" w:hAnsi="Times New Roman"/>
          <w:b w:val="0"/>
          <w:i w:val="0"/>
          <w:smallCaps w:val="0"/>
          <w:sz w:val="20"/>
        </w:rPr>
        <w:t>Converting and non-converting UCI sessions are compared with two-sided Mann-Whitney U tests [38] for numeric measures and chi-square tests for visitor type, month and weekend. Logistic regression, random forest [39] and gradient boosting [40] classifiers, implemented in scikit-learn [41], are trained on a stratified 75/25 split with class-balanced weights and evaluated by ROC-AUC [42]. Because the PageValues feature is computed from pages viewed before a transaction and partly encodes the outcome, every model is reported with and without it. Feature importance is measured by permutation on the test set.</w:t>
      </w:r>
    </w:p>
    <w:p>
      <w:pPr>
        <w:keepNext/>
        <w:spacing w:after="60" w:before="160" w:line="240" w:lineRule="auto"/>
        <w:jc w:val="center"/>
      </w:pPr>
      <w:r>
        <w:rPr>
          <w:rFonts w:ascii="Times New Roman" w:hAnsi="Times New Roman"/>
          <w:b w:val="0"/>
          <w:i w:val="0"/>
          <w:smallCaps/>
          <w:sz w:val="20"/>
        </w:rPr>
        <w:t>V. The ChannelTrace System</w:t>
      </w:r>
    </w:p>
    <w:p>
      <w:pPr>
        <w:keepNext/>
        <w:spacing w:before="80"/>
        <w:jc w:val="center"/>
      </w:pPr>
      <w:r>
        <w:drawing>
          <wp:inline xmlns:a="http://schemas.openxmlformats.org/drawingml/2006/main" xmlns:pic="http://schemas.openxmlformats.org/drawingml/2006/picture">
            <wp:extent cx="3200400" cy="265176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200400" cy="265176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1.  ChannelTrace architecture. Everything inside the dashed box runs in the user's browser; only the aggregated fact sheet reaches the assistant.</w:t>
      </w:r>
    </w:p>
    <w:p>
      <w:pPr>
        <w:spacing w:after="0" w:before="0" w:line="240" w:lineRule="auto"/>
        <w:ind w:firstLine="202"/>
        <w:jc w:val="both"/>
      </w:pPr>
      <w:r>
        <w:rPr>
          <w:rFonts w:ascii="Times New Roman" w:hAnsi="Times New Roman"/>
          <w:b w:val="0"/>
          <w:i w:val="0"/>
          <w:smallCaps w:val="0"/>
          <w:sz w:val="20"/>
        </w:rPr>
        <w:t>ChannelTrace is a web application written in TypeScript with React and hosted on Vercel at no cost (Fig. 1). Its analysis runs entirely in the user's browser, so uploaded files are never sent to a server. An ad-performance module detects Google Ads, Meta Ads Manager and similar exports, maps their columns, computes click-through rate, cost per click, conversion rate, cost per acquisition (CPA) and return on ad spend, gives each campaign a verdict relative to the account average (scale candidate, on track, expensive, no conversions), measures spend with no return and breaks results down by audience and day. A journey module applies all seven attribution models and shows where last click over- or under-credits each channel. The browser implementation of the models was checked against the Python reference used for the research.</w:t>
      </w:r>
    </w:p>
    <w:p>
      <w:pPr>
        <w:spacing w:after="0" w:before="0" w:line="240" w:lineRule="auto"/>
        <w:ind w:firstLine="202"/>
        <w:jc w:val="both"/>
      </w:pPr>
      <w:r>
        <w:rPr>
          <w:rFonts w:ascii="Times New Roman" w:hAnsi="Times New Roman"/>
          <w:b w:val="0"/>
          <w:i w:val="0"/>
          <w:smallCaps w:val="0"/>
          <w:sz w:val="20"/>
        </w:rPr>
        <w:t>Results are condensed into a fact sheet: short, labelled statements of computed figures, with suggested actions and caveats. The assistant answers questions only from this sheet, a form of retrieval grounding that reduces invented content [43], [44]. When the site has a key configured, an edge function sends the sheet and the question to a free generative model; because free model versions are retired and often overloaded, it tries several in turn within a fixed time budget. Otherwise a built-in model scores fact-sheet statements against the question with TF-IDF weighting [45] and quotes the most relevant ones, so the assistant works offline and can only repeat computed numbers.</w:t>
      </w:r>
    </w:p>
    <w:p>
      <w:pPr>
        <w:keepNext/>
        <w:spacing w:after="60" w:before="160" w:line="240" w:lineRule="auto"/>
        <w:jc w:val="center"/>
      </w:pPr>
      <w:r>
        <w:rPr>
          <w:rFonts w:ascii="Times New Roman" w:hAnsi="Times New Roman"/>
          <w:b w:val="0"/>
          <w:i w:val="0"/>
          <w:smallCaps/>
          <w:sz w:val="20"/>
        </w:rPr>
        <w:t>VI. Results</w:t>
      </w:r>
    </w:p>
    <w:p>
      <w:pPr>
        <w:keepNext/>
        <w:spacing w:after="40" w:before="80" w:line="240" w:lineRule="auto"/>
        <w:jc w:val="left"/>
      </w:pPr>
      <w:r>
        <w:rPr>
          <w:rFonts w:ascii="Times New Roman" w:hAnsi="Times New Roman"/>
          <w:b w:val="0"/>
          <w:i/>
          <w:smallCaps w:val="0"/>
          <w:sz w:val="20"/>
        </w:rPr>
        <w:t>A. Last-Click Credit Is Driven by Recency (RQ3)</w:t>
      </w:r>
    </w:p>
    <w:p>
      <w:pPr>
        <w:spacing w:after="0" w:before="0" w:line="240" w:lineRule="auto"/>
        <w:ind w:firstLine="202"/>
        <w:jc w:val="both"/>
      </w:pPr>
      <w:r>
        <w:rPr>
          <w:rFonts w:ascii="Times New Roman" w:hAnsi="Times New Roman"/>
          <w:b w:val="0"/>
          <w:i w:val="0"/>
          <w:smallCaps w:val="0"/>
          <w:sz w:val="20"/>
        </w:rPr>
        <w:t>All 435,810 Criteo conversions followed at least one Criteo click, yet only 54.2% were credited to Criteo by the advertiser's last-click rule; the remainder were claimed by other channels. Converting journeys were short (mean 1.85 clicks; 68% with one click; median 20.3 hours from the last click to purchase; median 3.8 days from first to last click in multi-click journeys). Fig. 2 shows that credit falls steadily with time since the last click (chi-square = 126,214, df = 5, p &lt; 0.001).</w:t>
      </w:r>
    </w:p>
    <w:p>
      <w:pPr>
        <w:keepNext/>
        <w:spacing w:before="80"/>
        <w:jc w:val="center"/>
      </w:pPr>
      <w:r>
        <w:drawing>
          <wp:inline xmlns:a="http://schemas.openxmlformats.org/drawingml/2006/main" xmlns:pic="http://schemas.openxmlformats.org/drawingml/2006/picture">
            <wp:extent cx="3200400" cy="2103120"/>
            <wp:docPr id="2" name="Picture 2"/>
            <wp:cNvGraphicFramePr>
              <a:graphicFrameLocks noChangeAspect="1"/>
            </wp:cNvGraphicFramePr>
            <a:graphic>
              <a:graphicData uri="http://schemas.openxmlformats.org/drawingml/2006/picture">
                <pic:pic>
                  <pic:nvPicPr>
                    <pic:cNvPr id="0" name="recency.png"/>
                    <pic:cNvPicPr/>
                  </pic:nvPicPr>
                  <pic:blipFill>
                    <a:blip r:embed="rId10"/>
                    <a:stretch>
                      <a:fillRect/>
                    </a:stretch>
                  </pic:blipFill>
                  <pic:spPr>
                    <a:xfrm>
                      <a:off x="0" y="0"/>
                      <a:ext cx="3200400" cy="210312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2.  Share of conversions credited to Criteo under last click, by time from the last Criteo click to the conversion (number of conversions in brackets).</w:t>
      </w:r>
    </w:p>
    <w:p>
      <w:pPr>
        <w:keepNext/>
        <w:spacing w:after="0" w:before="120" w:line="240" w:lineRule="auto"/>
        <w:jc w:val="center"/>
      </w:pPr>
      <w:r>
        <w:rPr>
          <w:rFonts w:ascii="Times New Roman" w:hAnsi="Times New Roman"/>
          <w:b w:val="0"/>
          <w:i w:val="0"/>
          <w:smallCaps/>
          <w:sz w:val="16"/>
        </w:rPr>
        <w:t>Table IV</w:t>
      </w:r>
    </w:p>
    <w:p>
      <w:pPr>
        <w:keepNext/>
        <w:spacing w:after="60" w:before="0" w:line="240" w:lineRule="auto"/>
        <w:jc w:val="center"/>
      </w:pPr>
      <w:r>
        <w:rPr>
          <w:rFonts w:ascii="Times New Roman" w:hAnsi="Times New Roman"/>
          <w:b w:val="0"/>
          <w:i w:val="0"/>
          <w:smallCaps/>
          <w:sz w:val="16"/>
        </w:rPr>
        <w:t>Logistic Regression of Last-Click Credit to Criteo (n = 433,745)</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2610"/>
        <w:gridCol w:w="2610"/>
        <w:gridCol w:w="2610"/>
        <w:gridCol w:w="2610"/>
      </w:tblGrid>
      <w:tr>
        <w:trPr>
          <w:cantSplit/>
          <w:tblHeader/>
        </w:trPr>
        <w:tc>
          <w:tcPr>
            <w:tcW w:type="dxa" w:w="2016"/>
          </w:tcPr>
          <w:p>
            <w:pPr>
              <w:keepNext/>
              <w:jc w:val="left"/>
            </w:pPr>
            <w:r/>
            <w:r>
              <w:rPr>
                <w:rFonts w:ascii="Times New Roman" w:hAnsi="Times New Roman"/>
                <w:b/>
                <w:sz w:val="16"/>
              </w:rPr>
              <w:t>Predictor</w:t>
            </w:r>
          </w:p>
        </w:tc>
        <w:tc>
          <w:tcPr>
            <w:tcW w:type="dxa" w:w="864"/>
          </w:tcPr>
          <w:p>
            <w:pPr>
              <w:keepNext/>
              <w:jc w:val="right"/>
            </w:pPr>
            <w:r/>
            <w:r>
              <w:rPr>
                <w:rFonts w:ascii="Times New Roman" w:hAnsi="Times New Roman"/>
                <w:b/>
                <w:sz w:val="16"/>
              </w:rPr>
              <w:t>Odds ratio</w:t>
            </w:r>
          </w:p>
        </w:tc>
        <w:tc>
          <w:tcPr>
            <w:tcW w:type="dxa" w:w="1368"/>
          </w:tcPr>
          <w:p>
            <w:pPr>
              <w:keepNext/>
              <w:jc w:val="right"/>
            </w:pPr>
            <w:r/>
            <w:r>
              <w:rPr>
                <w:rFonts w:ascii="Times New Roman" w:hAnsi="Times New Roman"/>
                <w:b/>
                <w:sz w:val="16"/>
              </w:rPr>
              <w:t>95% CI</w:t>
            </w:r>
          </w:p>
        </w:tc>
        <w:tc>
          <w:tcPr>
            <w:tcW w:type="dxa" w:w="792"/>
          </w:tcPr>
          <w:p>
            <w:pPr>
              <w:keepNext/>
              <w:jc w:val="right"/>
            </w:pPr>
            <w:r/>
            <w:r>
              <w:rPr>
                <w:rFonts w:ascii="Times New Roman" w:hAnsi="Times New Roman"/>
                <w:b/>
                <w:sz w:val="16"/>
              </w:rPr>
              <w:t>p</w:t>
            </w:r>
          </w:p>
        </w:tc>
      </w:tr>
      <w:tr>
        <w:trPr>
          <w:cantSplit/>
        </w:trPr>
        <w:tc>
          <w:tcPr>
            <w:tcW w:type="dxa" w:w="2016"/>
          </w:tcPr>
          <w:p>
            <w:pPr>
              <w:keepNext/>
              <w:jc w:val="left"/>
            </w:pPr>
            <w:r/>
            <w:r>
              <w:rPr>
                <w:rFonts w:ascii="Times New Roman" w:hAnsi="Times New Roman"/>
                <w:b w:val="0"/>
                <w:sz w:val="16"/>
              </w:rPr>
              <w:t>log(1 + hours since click)</w:t>
            </w:r>
          </w:p>
        </w:tc>
        <w:tc>
          <w:tcPr>
            <w:tcW w:type="dxa" w:w="864"/>
          </w:tcPr>
          <w:p>
            <w:pPr>
              <w:keepNext/>
              <w:jc w:val="right"/>
            </w:pPr>
            <w:r/>
            <w:r>
              <w:rPr>
                <w:rFonts w:ascii="Times New Roman" w:hAnsi="Times New Roman"/>
                <w:b w:val="0"/>
                <w:sz w:val="16"/>
              </w:rPr>
              <w:t>0.607</w:t>
            </w:r>
          </w:p>
        </w:tc>
        <w:tc>
          <w:tcPr>
            <w:tcW w:type="dxa" w:w="1368"/>
          </w:tcPr>
          <w:p>
            <w:pPr>
              <w:keepNext/>
              <w:jc w:val="right"/>
            </w:pPr>
            <w:r/>
            <w:r>
              <w:rPr>
                <w:rFonts w:ascii="Times New Roman" w:hAnsi="Times New Roman"/>
                <w:b w:val="0"/>
                <w:sz w:val="16"/>
              </w:rPr>
              <w:t>0.606 to 0.609</w:t>
            </w:r>
          </w:p>
        </w:tc>
        <w:tc>
          <w:tcPr>
            <w:tcW w:type="dxa" w:w="792"/>
          </w:tcPr>
          <w:p>
            <w:pPr>
              <w:keepNext/>
              <w:jc w:val="right"/>
            </w:pPr>
            <w:r/>
            <w:r>
              <w:rPr>
                <w:rFonts w:ascii="Times New Roman" w:hAnsi="Times New Roman"/>
                <w:b w:val="0"/>
                <w:sz w:val="16"/>
              </w:rPr>
              <w:t>&lt; 0.001</w:t>
            </w:r>
          </w:p>
        </w:tc>
      </w:tr>
      <w:tr>
        <w:trPr>
          <w:cantSplit/>
        </w:trPr>
        <w:tc>
          <w:tcPr>
            <w:tcW w:type="dxa" w:w="2016"/>
          </w:tcPr>
          <w:p>
            <w:pPr>
              <w:keepNext w:val="0"/>
              <w:jc w:val="left"/>
            </w:pPr>
            <w:r/>
            <w:r>
              <w:rPr>
                <w:rFonts w:ascii="Times New Roman" w:hAnsi="Times New Roman"/>
                <w:b w:val="0"/>
                <w:sz w:val="16"/>
              </w:rPr>
              <w:t>Criteo clicks (capped at 10)</w:t>
            </w:r>
          </w:p>
        </w:tc>
        <w:tc>
          <w:tcPr>
            <w:tcW w:type="dxa" w:w="864"/>
          </w:tcPr>
          <w:p>
            <w:pPr>
              <w:keepNext w:val="0"/>
              <w:jc w:val="right"/>
            </w:pPr>
            <w:r/>
            <w:r>
              <w:rPr>
                <w:rFonts w:ascii="Times New Roman" w:hAnsi="Times New Roman"/>
                <w:b w:val="0"/>
                <w:sz w:val="16"/>
              </w:rPr>
              <w:t>1.037</w:t>
            </w:r>
          </w:p>
        </w:tc>
        <w:tc>
          <w:tcPr>
            <w:tcW w:type="dxa" w:w="1368"/>
          </w:tcPr>
          <w:p>
            <w:pPr>
              <w:keepNext w:val="0"/>
              <w:jc w:val="right"/>
            </w:pPr>
            <w:r/>
            <w:r>
              <w:rPr>
                <w:rFonts w:ascii="Times New Roman" w:hAnsi="Times New Roman"/>
                <w:b w:val="0"/>
                <w:sz w:val="16"/>
              </w:rPr>
              <w:t>1.033 to 1.041</w:t>
            </w:r>
          </w:p>
        </w:tc>
        <w:tc>
          <w:tcPr>
            <w:tcW w:type="dxa" w:w="792"/>
          </w:tcPr>
          <w:p>
            <w:pPr>
              <w:keepNext w:val="0"/>
              <w:jc w:val="right"/>
            </w:pPr>
            <w:r/>
            <w:r>
              <w:rPr>
                <w:rFonts w:ascii="Times New Roman" w:hAnsi="Times New Roman"/>
                <w:b w:val="0"/>
                <w:sz w:val="16"/>
              </w:rPr>
              <w:t>&lt; 0.001</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Holding clicks constant, each unit increase in log(1 + hours) multiplies the odds of Criteo receiving credit by 0.61, whereas each additional click multiplies them by only 1.04 (pseudo R-squared 0.22; Table IV). Table V confirms this directly: the credit share hardly moves with the number of clicks.</w:t>
      </w:r>
    </w:p>
    <w:p>
      <w:pPr>
        <w:keepNext/>
        <w:spacing w:after="0" w:before="120" w:line="240" w:lineRule="auto"/>
        <w:jc w:val="center"/>
      </w:pPr>
      <w:r>
        <w:rPr>
          <w:rFonts w:ascii="Times New Roman" w:hAnsi="Times New Roman"/>
          <w:b w:val="0"/>
          <w:i w:val="0"/>
          <w:smallCaps/>
          <w:sz w:val="16"/>
        </w:rPr>
        <w:t>Table V</w:t>
      </w:r>
    </w:p>
    <w:p>
      <w:pPr>
        <w:keepNext/>
        <w:spacing w:after="60" w:before="0" w:line="240" w:lineRule="auto"/>
        <w:jc w:val="center"/>
      </w:pPr>
      <w:r>
        <w:rPr>
          <w:rFonts w:ascii="Times New Roman" w:hAnsi="Times New Roman"/>
          <w:b w:val="0"/>
          <w:i w:val="0"/>
          <w:smallCaps/>
          <w:sz w:val="16"/>
        </w:rPr>
        <w:t>Last-Click Credit to Criteo by Number of Criteo Clicks</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3480"/>
        <w:gridCol w:w="3480"/>
        <w:gridCol w:w="3480"/>
      </w:tblGrid>
      <w:tr>
        <w:trPr>
          <w:cantSplit/>
          <w:tblHeader/>
        </w:trPr>
        <w:tc>
          <w:tcPr>
            <w:tcW w:type="dxa" w:w="1584"/>
          </w:tcPr>
          <w:p>
            <w:pPr>
              <w:keepNext/>
              <w:jc w:val="left"/>
            </w:pPr>
            <w:r/>
            <w:r>
              <w:rPr>
                <w:rFonts w:ascii="Times New Roman" w:hAnsi="Times New Roman"/>
                <w:b/>
                <w:sz w:val="16"/>
              </w:rPr>
              <w:t>Clicks in journey</w:t>
            </w:r>
          </w:p>
        </w:tc>
        <w:tc>
          <w:tcPr>
            <w:tcW w:type="dxa" w:w="1440"/>
          </w:tcPr>
          <w:p>
            <w:pPr>
              <w:keepNext/>
              <w:jc w:val="right"/>
            </w:pPr>
            <w:r/>
            <w:r>
              <w:rPr>
                <w:rFonts w:ascii="Times New Roman" w:hAnsi="Times New Roman"/>
                <w:b/>
                <w:sz w:val="16"/>
              </w:rPr>
              <w:t>Conversions</w:t>
            </w:r>
          </w:p>
        </w:tc>
        <w:tc>
          <w:tcPr>
            <w:tcW w:type="dxa" w:w="1584"/>
          </w:tcPr>
          <w:p>
            <w:pPr>
              <w:keepNext/>
              <w:jc w:val="right"/>
            </w:pPr>
            <w:r/>
            <w:r>
              <w:rPr>
                <w:rFonts w:ascii="Times New Roman" w:hAnsi="Times New Roman"/>
                <w:b/>
                <w:sz w:val="16"/>
              </w:rPr>
              <w:t>Credited to Criteo</w:t>
            </w:r>
          </w:p>
        </w:tc>
      </w:tr>
      <w:tr>
        <w:trPr>
          <w:cantSplit/>
        </w:trPr>
        <w:tc>
          <w:tcPr>
            <w:tcW w:type="dxa" w:w="1584"/>
          </w:tcPr>
          <w:p>
            <w:pPr>
              <w:keepNext/>
              <w:jc w:val="left"/>
            </w:pPr>
            <w:r/>
            <w:r>
              <w:rPr>
                <w:rFonts w:ascii="Times New Roman" w:hAnsi="Times New Roman"/>
                <w:b w:val="0"/>
                <w:sz w:val="16"/>
              </w:rPr>
              <w:t>1</w:t>
            </w:r>
          </w:p>
        </w:tc>
        <w:tc>
          <w:tcPr>
            <w:tcW w:type="dxa" w:w="1440"/>
          </w:tcPr>
          <w:p>
            <w:pPr>
              <w:keepNext/>
              <w:jc w:val="right"/>
            </w:pPr>
            <w:r/>
            <w:r>
              <w:rPr>
                <w:rFonts w:ascii="Times New Roman" w:hAnsi="Times New Roman"/>
                <w:b w:val="0"/>
                <w:sz w:val="16"/>
              </w:rPr>
              <w:t>294,992</w:t>
            </w:r>
          </w:p>
        </w:tc>
        <w:tc>
          <w:tcPr>
            <w:tcW w:type="dxa" w:w="1584"/>
          </w:tcPr>
          <w:p>
            <w:pPr>
              <w:keepNext/>
              <w:jc w:val="right"/>
            </w:pPr>
            <w:r/>
            <w:r>
              <w:rPr>
                <w:rFonts w:ascii="Times New Roman" w:hAnsi="Times New Roman"/>
                <w:b w:val="0"/>
                <w:sz w:val="16"/>
              </w:rPr>
              <w:t>54.2%</w:t>
            </w:r>
          </w:p>
        </w:tc>
      </w:tr>
      <w:tr>
        <w:trPr>
          <w:cantSplit/>
        </w:trPr>
        <w:tc>
          <w:tcPr>
            <w:tcW w:type="dxa" w:w="1584"/>
          </w:tcPr>
          <w:p>
            <w:pPr>
              <w:keepNext/>
              <w:jc w:val="left"/>
            </w:pPr>
            <w:r/>
            <w:r>
              <w:rPr>
                <w:rFonts w:ascii="Times New Roman" w:hAnsi="Times New Roman"/>
                <w:b w:val="0"/>
                <w:sz w:val="16"/>
              </w:rPr>
              <w:t>2</w:t>
            </w:r>
          </w:p>
        </w:tc>
        <w:tc>
          <w:tcPr>
            <w:tcW w:type="dxa" w:w="1440"/>
          </w:tcPr>
          <w:p>
            <w:pPr>
              <w:keepNext/>
              <w:jc w:val="right"/>
            </w:pPr>
            <w:r/>
            <w:r>
              <w:rPr>
                <w:rFonts w:ascii="Times New Roman" w:hAnsi="Times New Roman"/>
                <w:b w:val="0"/>
                <w:sz w:val="16"/>
              </w:rPr>
              <w:t>70,816</w:t>
            </w:r>
          </w:p>
        </w:tc>
        <w:tc>
          <w:tcPr>
            <w:tcW w:type="dxa" w:w="1584"/>
          </w:tcPr>
          <w:p>
            <w:pPr>
              <w:keepNext/>
              <w:jc w:val="right"/>
            </w:pPr>
            <w:r/>
            <w:r>
              <w:rPr>
                <w:rFonts w:ascii="Times New Roman" w:hAnsi="Times New Roman"/>
                <w:b w:val="0"/>
                <w:sz w:val="16"/>
              </w:rPr>
              <w:t>53.3%</w:t>
            </w:r>
          </w:p>
        </w:tc>
      </w:tr>
      <w:tr>
        <w:trPr>
          <w:cantSplit/>
        </w:trPr>
        <w:tc>
          <w:tcPr>
            <w:tcW w:type="dxa" w:w="1584"/>
          </w:tcPr>
          <w:p>
            <w:pPr>
              <w:keepNext/>
              <w:jc w:val="left"/>
            </w:pPr>
            <w:r/>
            <w:r>
              <w:rPr>
                <w:rFonts w:ascii="Times New Roman" w:hAnsi="Times New Roman"/>
                <w:b w:val="0"/>
                <w:sz w:val="16"/>
              </w:rPr>
              <w:t>3</w:t>
            </w:r>
          </w:p>
        </w:tc>
        <w:tc>
          <w:tcPr>
            <w:tcW w:type="dxa" w:w="1440"/>
          </w:tcPr>
          <w:p>
            <w:pPr>
              <w:keepNext/>
              <w:jc w:val="right"/>
            </w:pPr>
            <w:r/>
            <w:r>
              <w:rPr>
                <w:rFonts w:ascii="Times New Roman" w:hAnsi="Times New Roman"/>
                <w:b w:val="0"/>
                <w:sz w:val="16"/>
              </w:rPr>
              <w:t>28,813</w:t>
            </w:r>
          </w:p>
        </w:tc>
        <w:tc>
          <w:tcPr>
            <w:tcW w:type="dxa" w:w="1584"/>
          </w:tcPr>
          <w:p>
            <w:pPr>
              <w:keepNext/>
              <w:jc w:val="right"/>
            </w:pPr>
            <w:r/>
            <w:r>
              <w:rPr>
                <w:rFonts w:ascii="Times New Roman" w:hAnsi="Times New Roman"/>
                <w:b w:val="0"/>
                <w:sz w:val="16"/>
              </w:rPr>
              <w:t>53.7%</w:t>
            </w:r>
          </w:p>
        </w:tc>
      </w:tr>
      <w:tr>
        <w:trPr>
          <w:cantSplit/>
        </w:trPr>
        <w:tc>
          <w:tcPr>
            <w:tcW w:type="dxa" w:w="1584"/>
          </w:tcPr>
          <w:p>
            <w:pPr>
              <w:keepNext/>
              <w:jc w:val="left"/>
            </w:pPr>
            <w:r/>
            <w:r>
              <w:rPr>
                <w:rFonts w:ascii="Times New Roman" w:hAnsi="Times New Roman"/>
                <w:b w:val="0"/>
                <w:sz w:val="16"/>
              </w:rPr>
              <w:t>4</w:t>
            </w:r>
          </w:p>
        </w:tc>
        <w:tc>
          <w:tcPr>
            <w:tcW w:type="dxa" w:w="1440"/>
          </w:tcPr>
          <w:p>
            <w:pPr>
              <w:keepNext/>
              <w:jc w:val="right"/>
            </w:pPr>
            <w:r/>
            <w:r>
              <w:rPr>
                <w:rFonts w:ascii="Times New Roman" w:hAnsi="Times New Roman"/>
                <w:b w:val="0"/>
                <w:sz w:val="16"/>
              </w:rPr>
              <w:t>14,292</w:t>
            </w:r>
          </w:p>
        </w:tc>
        <w:tc>
          <w:tcPr>
            <w:tcW w:type="dxa" w:w="1584"/>
          </w:tcPr>
          <w:p>
            <w:pPr>
              <w:keepNext/>
              <w:jc w:val="right"/>
            </w:pPr>
            <w:r/>
            <w:r>
              <w:rPr>
                <w:rFonts w:ascii="Times New Roman" w:hAnsi="Times New Roman"/>
                <w:b w:val="0"/>
                <w:sz w:val="16"/>
              </w:rPr>
              <w:t>54.6%</w:t>
            </w:r>
          </w:p>
        </w:tc>
      </w:tr>
      <w:tr>
        <w:trPr>
          <w:cantSplit/>
        </w:trPr>
        <w:tc>
          <w:tcPr>
            <w:tcW w:type="dxa" w:w="1584"/>
          </w:tcPr>
          <w:p>
            <w:pPr>
              <w:keepNext/>
              <w:jc w:val="left"/>
            </w:pPr>
            <w:r/>
            <w:r>
              <w:rPr>
                <w:rFonts w:ascii="Times New Roman" w:hAnsi="Times New Roman"/>
                <w:b w:val="0"/>
                <w:sz w:val="16"/>
              </w:rPr>
              <w:t>5</w:t>
            </w:r>
          </w:p>
        </w:tc>
        <w:tc>
          <w:tcPr>
            <w:tcW w:type="dxa" w:w="1440"/>
          </w:tcPr>
          <w:p>
            <w:pPr>
              <w:keepNext/>
              <w:jc w:val="right"/>
            </w:pPr>
            <w:r/>
            <w:r>
              <w:rPr>
                <w:rFonts w:ascii="Times New Roman" w:hAnsi="Times New Roman"/>
                <w:b w:val="0"/>
                <w:sz w:val="16"/>
              </w:rPr>
              <w:t>8,154</w:t>
            </w:r>
          </w:p>
        </w:tc>
        <w:tc>
          <w:tcPr>
            <w:tcW w:type="dxa" w:w="1584"/>
          </w:tcPr>
          <w:p>
            <w:pPr>
              <w:keepNext/>
              <w:jc w:val="right"/>
            </w:pPr>
            <w:r/>
            <w:r>
              <w:rPr>
                <w:rFonts w:ascii="Times New Roman" w:hAnsi="Times New Roman"/>
                <w:b w:val="0"/>
                <w:sz w:val="16"/>
              </w:rPr>
              <w:t>55.3%</w:t>
            </w:r>
          </w:p>
        </w:tc>
      </w:tr>
      <w:tr>
        <w:trPr>
          <w:cantSplit/>
        </w:trPr>
        <w:tc>
          <w:tcPr>
            <w:tcW w:type="dxa" w:w="1584"/>
          </w:tcPr>
          <w:p>
            <w:pPr>
              <w:keepNext w:val="0"/>
              <w:jc w:val="left"/>
            </w:pPr>
            <w:r/>
            <w:r>
              <w:rPr>
                <w:rFonts w:ascii="Times New Roman" w:hAnsi="Times New Roman"/>
                <w:b w:val="0"/>
                <w:sz w:val="16"/>
              </w:rPr>
              <w:t>6 or more</w:t>
            </w:r>
          </w:p>
        </w:tc>
        <w:tc>
          <w:tcPr>
            <w:tcW w:type="dxa" w:w="1440"/>
          </w:tcPr>
          <w:p>
            <w:pPr>
              <w:keepNext w:val="0"/>
              <w:jc w:val="right"/>
            </w:pPr>
            <w:r/>
            <w:r>
              <w:rPr>
                <w:rFonts w:ascii="Times New Roman" w:hAnsi="Times New Roman"/>
                <w:b w:val="0"/>
                <w:sz w:val="16"/>
              </w:rPr>
              <w:t>18,743</w:t>
            </w:r>
          </w:p>
        </w:tc>
        <w:tc>
          <w:tcPr>
            <w:tcW w:type="dxa" w:w="1584"/>
          </w:tcPr>
          <w:p>
            <w:pPr>
              <w:keepNext w:val="0"/>
              <w:jc w:val="right"/>
            </w:pPr>
            <w:r/>
            <w:r>
              <w:rPr>
                <w:rFonts w:ascii="Times New Roman" w:hAnsi="Times New Roman"/>
                <w:b w:val="0"/>
                <w:sz w:val="16"/>
              </w:rPr>
              <w:t>57.8%</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Under last click, which platform is paid for a sale depends far more on timing than on how much a channel was used. A customer who clicks a display ad and buys an hour later almost always credits it; one who buys a week later, after a search or an email, usually does not.</w:t>
      </w:r>
    </w:p>
    <w:p>
      <w:pPr>
        <w:keepNext/>
        <w:spacing w:after="40" w:before="80" w:line="240" w:lineRule="auto"/>
        <w:jc w:val="left"/>
      </w:pPr>
      <w:r>
        <w:rPr>
          <w:rFonts w:ascii="Times New Roman" w:hAnsi="Times New Roman"/>
          <w:b w:val="0"/>
          <w:i/>
          <w:smallCaps w:val="0"/>
          <w:sz w:val="20"/>
        </w:rPr>
        <w:t>B. Real Multi-Channel Journeys (RQ1, RQ3)</w:t>
      </w:r>
    </w:p>
    <w:p>
      <w:pPr>
        <w:spacing w:after="0" w:before="0" w:line="240" w:lineRule="auto"/>
        <w:ind w:firstLine="202"/>
        <w:jc w:val="both"/>
      </w:pPr>
      <w:r>
        <w:rPr>
          <w:rFonts w:ascii="Times New Roman" w:hAnsi="Times New Roman"/>
          <w:b w:val="0"/>
          <w:i w:val="0"/>
          <w:smallCaps w:val="0"/>
          <w:sz w:val="20"/>
        </w:rPr>
        <w:t>The Google Analytics 360 sample covers 714,167 visitors and 903,653 sessions. Following each visitor across sessions up to the first purchase gives 10,022 converting journeys (1.4% of all journeys). Buying took repeated visits: 52% of converting journeys spanned more than one session (mean 2.28 sessions, maximum 138, against 1.23 for journeys without a purchase), and multi-session buyers took a median of 4.7 days from first visit to purchase. Yet only 12% of converting journeys involved more than one channel. The most common converting paths were a single Referral session (1,755), a single Organic Search session (1,712) and Referral &gt; Referral (969).</w:t>
      </w:r>
    </w:p>
    <w:p>
      <w:pPr>
        <w:keepNext/>
        <w:spacing w:after="0" w:before="120" w:line="240" w:lineRule="auto"/>
        <w:jc w:val="center"/>
      </w:pPr>
      <w:r>
        <w:rPr>
          <w:rFonts w:ascii="Times New Roman" w:hAnsi="Times New Roman"/>
          <w:b w:val="0"/>
          <w:i w:val="0"/>
          <w:smallCaps/>
          <w:sz w:val="16"/>
        </w:rPr>
        <w:t>Table VI</w:t>
      </w:r>
    </w:p>
    <w:p>
      <w:pPr>
        <w:keepNext/>
        <w:spacing w:after="60" w:before="0" w:line="240" w:lineRule="auto"/>
        <w:jc w:val="center"/>
      </w:pPr>
      <w:r>
        <w:rPr>
          <w:rFonts w:ascii="Times New Roman" w:hAnsi="Times New Roman"/>
          <w:b w:val="0"/>
          <w:i w:val="0"/>
          <w:smallCaps/>
          <w:sz w:val="16"/>
        </w:rPr>
        <w:t>Sessions and Converting Sessions by Channel (GA360)</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2610"/>
        <w:gridCol w:w="2610"/>
        <w:gridCol w:w="2610"/>
        <w:gridCol w:w="2610"/>
      </w:tblGrid>
      <w:tr>
        <w:trPr>
          <w:cantSplit/>
          <w:tblHeader/>
        </w:trPr>
        <w:tc>
          <w:tcPr>
            <w:tcW w:type="dxa" w:w="1584"/>
          </w:tcPr>
          <w:p>
            <w:pPr>
              <w:keepNext/>
              <w:jc w:val="left"/>
            </w:pPr>
            <w:r/>
            <w:r>
              <w:rPr>
                <w:rFonts w:ascii="Times New Roman" w:hAnsi="Times New Roman"/>
                <w:b/>
                <w:sz w:val="16"/>
              </w:rPr>
              <w:t>Channel</w:t>
            </w:r>
          </w:p>
        </w:tc>
        <w:tc>
          <w:tcPr>
            <w:tcW w:type="dxa" w:w="1152"/>
          </w:tcPr>
          <w:p>
            <w:pPr>
              <w:keepNext/>
              <w:jc w:val="right"/>
            </w:pPr>
            <w:r/>
            <w:r>
              <w:rPr>
                <w:rFonts w:ascii="Times New Roman" w:hAnsi="Times New Roman"/>
                <w:b/>
                <w:sz w:val="16"/>
              </w:rPr>
              <w:t>Sessions</w:t>
            </w:r>
          </w:p>
        </w:tc>
        <w:tc>
          <w:tcPr>
            <w:tcW w:type="dxa" w:w="1152"/>
          </w:tcPr>
          <w:p>
            <w:pPr>
              <w:keepNext/>
              <w:jc w:val="right"/>
            </w:pPr>
            <w:r/>
            <w:r>
              <w:rPr>
                <w:rFonts w:ascii="Times New Roman" w:hAnsi="Times New Roman"/>
                <w:b/>
                <w:sz w:val="16"/>
              </w:rPr>
              <w:t>Converting</w:t>
            </w:r>
          </w:p>
        </w:tc>
        <w:tc>
          <w:tcPr>
            <w:tcW w:type="dxa" w:w="1008"/>
          </w:tcPr>
          <w:p>
            <w:pPr>
              <w:keepNext/>
              <w:jc w:val="right"/>
            </w:pPr>
            <w:r/>
            <w:r>
              <w:rPr>
                <w:rFonts w:ascii="Times New Roman" w:hAnsi="Times New Roman"/>
                <w:b/>
                <w:sz w:val="16"/>
              </w:rPr>
              <w:t>Rate</w:t>
            </w:r>
          </w:p>
        </w:tc>
      </w:tr>
      <w:tr>
        <w:trPr>
          <w:cantSplit/>
        </w:trPr>
        <w:tc>
          <w:tcPr>
            <w:tcW w:type="dxa" w:w="1584"/>
          </w:tcPr>
          <w:p>
            <w:pPr>
              <w:keepNext/>
              <w:jc w:val="left"/>
            </w:pPr>
            <w:r/>
            <w:r>
              <w:rPr>
                <w:rFonts w:ascii="Times New Roman" w:hAnsi="Times New Roman"/>
                <w:b w:val="0"/>
                <w:sz w:val="16"/>
              </w:rPr>
              <w:t>Referral</w:t>
            </w:r>
          </w:p>
        </w:tc>
        <w:tc>
          <w:tcPr>
            <w:tcW w:type="dxa" w:w="1152"/>
          </w:tcPr>
          <w:p>
            <w:pPr>
              <w:keepNext/>
              <w:jc w:val="right"/>
            </w:pPr>
            <w:r/>
            <w:r>
              <w:rPr>
                <w:rFonts w:ascii="Times New Roman" w:hAnsi="Times New Roman"/>
                <w:b w:val="0"/>
                <w:sz w:val="16"/>
              </w:rPr>
              <w:t>104,838</w:t>
            </w:r>
          </w:p>
        </w:tc>
        <w:tc>
          <w:tcPr>
            <w:tcW w:type="dxa" w:w="1152"/>
          </w:tcPr>
          <w:p>
            <w:pPr>
              <w:keepNext/>
              <w:jc w:val="right"/>
            </w:pPr>
            <w:r/>
            <w:r>
              <w:rPr>
                <w:rFonts w:ascii="Times New Roman" w:hAnsi="Times New Roman"/>
                <w:b w:val="0"/>
                <w:sz w:val="16"/>
              </w:rPr>
              <w:t>5,322</w:t>
            </w:r>
          </w:p>
        </w:tc>
        <w:tc>
          <w:tcPr>
            <w:tcW w:type="dxa" w:w="1008"/>
          </w:tcPr>
          <w:p>
            <w:pPr>
              <w:keepNext/>
              <w:jc w:val="right"/>
            </w:pPr>
            <w:r/>
            <w:r>
              <w:rPr>
                <w:rFonts w:ascii="Times New Roman" w:hAnsi="Times New Roman"/>
                <w:b w:val="0"/>
                <w:sz w:val="16"/>
              </w:rPr>
              <w:t>5.08%</w:t>
            </w:r>
          </w:p>
        </w:tc>
      </w:tr>
      <w:tr>
        <w:trPr>
          <w:cantSplit/>
        </w:trPr>
        <w:tc>
          <w:tcPr>
            <w:tcW w:type="dxa" w:w="1584"/>
          </w:tcPr>
          <w:p>
            <w:pPr>
              <w:keepNext/>
              <w:jc w:val="left"/>
            </w:pPr>
            <w:r/>
            <w:r>
              <w:rPr>
                <w:rFonts w:ascii="Times New Roman" w:hAnsi="Times New Roman"/>
                <w:b w:val="0"/>
                <w:sz w:val="16"/>
              </w:rPr>
              <w:t>Display</w:t>
            </w:r>
          </w:p>
        </w:tc>
        <w:tc>
          <w:tcPr>
            <w:tcW w:type="dxa" w:w="1152"/>
          </w:tcPr>
          <w:p>
            <w:pPr>
              <w:keepNext/>
              <w:jc w:val="right"/>
            </w:pPr>
            <w:r/>
            <w:r>
              <w:rPr>
                <w:rFonts w:ascii="Times New Roman" w:hAnsi="Times New Roman"/>
                <w:b w:val="0"/>
                <w:sz w:val="16"/>
              </w:rPr>
              <w:t>6,262</w:t>
            </w:r>
          </w:p>
        </w:tc>
        <w:tc>
          <w:tcPr>
            <w:tcW w:type="dxa" w:w="1152"/>
          </w:tcPr>
          <w:p>
            <w:pPr>
              <w:keepNext/>
              <w:jc w:val="right"/>
            </w:pPr>
            <w:r/>
            <w:r>
              <w:rPr>
                <w:rFonts w:ascii="Times New Roman" w:hAnsi="Times New Roman"/>
                <w:b w:val="0"/>
                <w:sz w:val="16"/>
              </w:rPr>
              <w:t>143</w:t>
            </w:r>
          </w:p>
        </w:tc>
        <w:tc>
          <w:tcPr>
            <w:tcW w:type="dxa" w:w="1008"/>
          </w:tcPr>
          <w:p>
            <w:pPr>
              <w:keepNext/>
              <w:jc w:val="right"/>
            </w:pPr>
            <w:r/>
            <w:r>
              <w:rPr>
                <w:rFonts w:ascii="Times New Roman" w:hAnsi="Times New Roman"/>
                <w:b w:val="0"/>
                <w:sz w:val="16"/>
              </w:rPr>
              <w:t>2.28%</w:t>
            </w:r>
          </w:p>
        </w:tc>
      </w:tr>
      <w:tr>
        <w:trPr>
          <w:cantSplit/>
        </w:trPr>
        <w:tc>
          <w:tcPr>
            <w:tcW w:type="dxa" w:w="1584"/>
          </w:tcPr>
          <w:p>
            <w:pPr>
              <w:keepNext/>
              <w:jc w:val="left"/>
            </w:pPr>
            <w:r/>
            <w:r>
              <w:rPr>
                <w:rFonts w:ascii="Times New Roman" w:hAnsi="Times New Roman"/>
                <w:b w:val="0"/>
                <w:sz w:val="16"/>
              </w:rPr>
              <w:t>Paid Search</w:t>
            </w:r>
          </w:p>
        </w:tc>
        <w:tc>
          <w:tcPr>
            <w:tcW w:type="dxa" w:w="1152"/>
          </w:tcPr>
          <w:p>
            <w:pPr>
              <w:keepNext/>
              <w:jc w:val="right"/>
            </w:pPr>
            <w:r/>
            <w:r>
              <w:rPr>
                <w:rFonts w:ascii="Times New Roman" w:hAnsi="Times New Roman"/>
                <w:b w:val="0"/>
                <w:sz w:val="16"/>
              </w:rPr>
              <w:t>25,326</w:t>
            </w:r>
          </w:p>
        </w:tc>
        <w:tc>
          <w:tcPr>
            <w:tcW w:type="dxa" w:w="1152"/>
          </w:tcPr>
          <w:p>
            <w:pPr>
              <w:keepNext/>
              <w:jc w:val="right"/>
            </w:pPr>
            <w:r/>
            <w:r>
              <w:rPr>
                <w:rFonts w:ascii="Times New Roman" w:hAnsi="Times New Roman"/>
                <w:b w:val="0"/>
                <w:sz w:val="16"/>
              </w:rPr>
              <w:t>469</w:t>
            </w:r>
          </w:p>
        </w:tc>
        <w:tc>
          <w:tcPr>
            <w:tcW w:type="dxa" w:w="1008"/>
          </w:tcPr>
          <w:p>
            <w:pPr>
              <w:keepNext/>
              <w:jc w:val="right"/>
            </w:pPr>
            <w:r/>
            <w:r>
              <w:rPr>
                <w:rFonts w:ascii="Times New Roman" w:hAnsi="Times New Roman"/>
                <w:b w:val="0"/>
                <w:sz w:val="16"/>
              </w:rPr>
              <w:t>1.85%</w:t>
            </w:r>
          </w:p>
        </w:tc>
      </w:tr>
      <w:tr>
        <w:trPr>
          <w:cantSplit/>
        </w:trPr>
        <w:tc>
          <w:tcPr>
            <w:tcW w:type="dxa" w:w="1584"/>
          </w:tcPr>
          <w:p>
            <w:pPr>
              <w:keepNext/>
              <w:jc w:val="left"/>
            </w:pPr>
            <w:r/>
            <w:r>
              <w:rPr>
                <w:rFonts w:ascii="Times New Roman" w:hAnsi="Times New Roman"/>
                <w:b w:val="0"/>
                <w:sz w:val="16"/>
              </w:rPr>
              <w:t>Direct</w:t>
            </w:r>
          </w:p>
        </w:tc>
        <w:tc>
          <w:tcPr>
            <w:tcW w:type="dxa" w:w="1152"/>
          </w:tcPr>
          <w:p>
            <w:pPr>
              <w:keepNext/>
              <w:jc w:val="right"/>
            </w:pPr>
            <w:r/>
            <w:r>
              <w:rPr>
                <w:rFonts w:ascii="Times New Roman" w:hAnsi="Times New Roman"/>
                <w:b w:val="0"/>
                <w:sz w:val="16"/>
              </w:rPr>
              <w:t>143,026</w:t>
            </w:r>
          </w:p>
        </w:tc>
        <w:tc>
          <w:tcPr>
            <w:tcW w:type="dxa" w:w="1152"/>
          </w:tcPr>
          <w:p>
            <w:pPr>
              <w:keepNext/>
              <w:jc w:val="right"/>
            </w:pPr>
            <w:r/>
            <w:r>
              <w:rPr>
                <w:rFonts w:ascii="Times New Roman" w:hAnsi="Times New Roman"/>
                <w:b w:val="0"/>
                <w:sz w:val="16"/>
              </w:rPr>
              <w:t>2,061</w:t>
            </w:r>
          </w:p>
        </w:tc>
        <w:tc>
          <w:tcPr>
            <w:tcW w:type="dxa" w:w="1008"/>
          </w:tcPr>
          <w:p>
            <w:pPr>
              <w:keepNext/>
              <w:jc w:val="right"/>
            </w:pPr>
            <w:r/>
            <w:r>
              <w:rPr>
                <w:rFonts w:ascii="Times New Roman" w:hAnsi="Times New Roman"/>
                <w:b w:val="0"/>
                <w:sz w:val="16"/>
              </w:rPr>
              <w:t>1.44%</w:t>
            </w:r>
          </w:p>
        </w:tc>
      </w:tr>
      <w:tr>
        <w:trPr>
          <w:cantSplit/>
        </w:trPr>
        <w:tc>
          <w:tcPr>
            <w:tcW w:type="dxa" w:w="1584"/>
          </w:tcPr>
          <w:p>
            <w:pPr>
              <w:keepNext/>
              <w:jc w:val="left"/>
            </w:pPr>
            <w:r/>
            <w:r>
              <w:rPr>
                <w:rFonts w:ascii="Times New Roman" w:hAnsi="Times New Roman"/>
                <w:b w:val="0"/>
                <w:sz w:val="16"/>
              </w:rPr>
              <w:t>Organic Search</w:t>
            </w:r>
          </w:p>
        </w:tc>
        <w:tc>
          <w:tcPr>
            <w:tcW w:type="dxa" w:w="1152"/>
          </w:tcPr>
          <w:p>
            <w:pPr>
              <w:keepNext/>
              <w:jc w:val="right"/>
            </w:pPr>
            <w:r/>
            <w:r>
              <w:rPr>
                <w:rFonts w:ascii="Times New Roman" w:hAnsi="Times New Roman"/>
                <w:b w:val="0"/>
                <w:sz w:val="16"/>
              </w:rPr>
              <w:t>381,561</w:t>
            </w:r>
          </w:p>
        </w:tc>
        <w:tc>
          <w:tcPr>
            <w:tcW w:type="dxa" w:w="1152"/>
          </w:tcPr>
          <w:p>
            <w:pPr>
              <w:keepNext/>
              <w:jc w:val="right"/>
            </w:pPr>
            <w:r/>
            <w:r>
              <w:rPr>
                <w:rFonts w:ascii="Times New Roman" w:hAnsi="Times New Roman"/>
                <w:b w:val="0"/>
                <w:sz w:val="16"/>
              </w:rPr>
              <w:t>3,443</w:t>
            </w:r>
          </w:p>
        </w:tc>
        <w:tc>
          <w:tcPr>
            <w:tcW w:type="dxa" w:w="1008"/>
          </w:tcPr>
          <w:p>
            <w:pPr>
              <w:keepNext/>
              <w:jc w:val="right"/>
            </w:pPr>
            <w:r/>
            <w:r>
              <w:rPr>
                <w:rFonts w:ascii="Times New Roman" w:hAnsi="Times New Roman"/>
                <w:b w:val="0"/>
                <w:sz w:val="16"/>
              </w:rPr>
              <w:t>0.90%</w:t>
            </w:r>
          </w:p>
        </w:tc>
      </w:tr>
      <w:tr>
        <w:trPr>
          <w:cantSplit/>
        </w:trPr>
        <w:tc>
          <w:tcPr>
            <w:tcW w:type="dxa" w:w="1584"/>
          </w:tcPr>
          <w:p>
            <w:pPr>
              <w:keepNext/>
              <w:jc w:val="left"/>
            </w:pPr>
            <w:r/>
            <w:r>
              <w:rPr>
                <w:rFonts w:ascii="Times New Roman" w:hAnsi="Times New Roman"/>
                <w:b w:val="0"/>
                <w:sz w:val="16"/>
              </w:rPr>
              <w:t>Affiliates</w:t>
            </w:r>
          </w:p>
        </w:tc>
        <w:tc>
          <w:tcPr>
            <w:tcW w:type="dxa" w:w="1152"/>
          </w:tcPr>
          <w:p>
            <w:pPr>
              <w:keepNext/>
              <w:jc w:val="right"/>
            </w:pPr>
            <w:r/>
            <w:r>
              <w:rPr>
                <w:rFonts w:ascii="Times New Roman" w:hAnsi="Times New Roman"/>
                <w:b w:val="0"/>
                <w:sz w:val="16"/>
              </w:rPr>
              <w:t>16,403</w:t>
            </w:r>
          </w:p>
        </w:tc>
        <w:tc>
          <w:tcPr>
            <w:tcW w:type="dxa" w:w="1152"/>
          </w:tcPr>
          <w:p>
            <w:pPr>
              <w:keepNext/>
              <w:jc w:val="right"/>
            </w:pPr>
            <w:r/>
            <w:r>
              <w:rPr>
                <w:rFonts w:ascii="Times New Roman" w:hAnsi="Times New Roman"/>
                <w:b w:val="0"/>
                <w:sz w:val="16"/>
              </w:rPr>
              <w:t>9</w:t>
            </w:r>
          </w:p>
        </w:tc>
        <w:tc>
          <w:tcPr>
            <w:tcW w:type="dxa" w:w="1008"/>
          </w:tcPr>
          <w:p>
            <w:pPr>
              <w:keepNext/>
              <w:jc w:val="right"/>
            </w:pPr>
            <w:r/>
            <w:r>
              <w:rPr>
                <w:rFonts w:ascii="Times New Roman" w:hAnsi="Times New Roman"/>
                <w:b w:val="0"/>
                <w:sz w:val="16"/>
              </w:rPr>
              <w:t>0.05%</w:t>
            </w:r>
          </w:p>
        </w:tc>
      </w:tr>
      <w:tr>
        <w:trPr>
          <w:cantSplit/>
        </w:trPr>
        <w:tc>
          <w:tcPr>
            <w:tcW w:type="dxa" w:w="1584"/>
          </w:tcPr>
          <w:p>
            <w:pPr>
              <w:keepNext w:val="0"/>
              <w:jc w:val="left"/>
            </w:pPr>
            <w:r/>
            <w:r>
              <w:rPr>
                <w:rFonts w:ascii="Times New Roman" w:hAnsi="Times New Roman"/>
                <w:b w:val="0"/>
                <w:sz w:val="16"/>
              </w:rPr>
              <w:t>Social</w:t>
            </w:r>
          </w:p>
        </w:tc>
        <w:tc>
          <w:tcPr>
            <w:tcW w:type="dxa" w:w="1152"/>
          </w:tcPr>
          <w:p>
            <w:pPr>
              <w:keepNext w:val="0"/>
              <w:jc w:val="right"/>
            </w:pPr>
            <w:r/>
            <w:r>
              <w:rPr>
                <w:rFonts w:ascii="Times New Roman" w:hAnsi="Times New Roman"/>
                <w:b w:val="0"/>
                <w:sz w:val="16"/>
              </w:rPr>
              <w:t>226,117</w:t>
            </w:r>
          </w:p>
        </w:tc>
        <w:tc>
          <w:tcPr>
            <w:tcW w:type="dxa" w:w="1152"/>
          </w:tcPr>
          <w:p>
            <w:pPr>
              <w:keepNext w:val="0"/>
              <w:jc w:val="right"/>
            </w:pPr>
            <w:r/>
            <w:r>
              <w:rPr>
                <w:rFonts w:ascii="Times New Roman" w:hAnsi="Times New Roman"/>
                <w:b w:val="0"/>
                <w:sz w:val="16"/>
              </w:rPr>
              <w:t>104</w:t>
            </w:r>
          </w:p>
        </w:tc>
        <w:tc>
          <w:tcPr>
            <w:tcW w:type="dxa" w:w="1008"/>
          </w:tcPr>
          <w:p>
            <w:pPr>
              <w:keepNext w:val="0"/>
              <w:jc w:val="right"/>
            </w:pPr>
            <w:r/>
            <w:r>
              <w:rPr>
                <w:rFonts w:ascii="Times New Roman" w:hAnsi="Times New Roman"/>
                <w:b w:val="0"/>
                <w:sz w:val="16"/>
              </w:rPr>
              <w:t>0.05%</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Channels differ widely in how often a session ends in a purchase (Table VI). Referral sessions converted at 5.1%, while Social, the second-largest source of traffic with 226,117 sessions, converted at 0.05%. Organic Search brought the most sessions but converted at 0.9%.</w:t>
      </w:r>
    </w:p>
    <w:p>
      <w:pPr>
        <w:keepNext/>
        <w:spacing w:after="0" w:before="120" w:line="240" w:lineRule="auto"/>
        <w:jc w:val="center"/>
      </w:pPr>
      <w:r>
        <w:rPr>
          <w:rFonts w:ascii="Times New Roman" w:hAnsi="Times New Roman"/>
          <w:b w:val="0"/>
          <w:i w:val="0"/>
          <w:smallCaps/>
          <w:sz w:val="16"/>
        </w:rPr>
        <w:t>Table VII</w:t>
      </w:r>
    </w:p>
    <w:p>
      <w:pPr>
        <w:keepNext/>
        <w:spacing w:after="60" w:before="0" w:line="240" w:lineRule="auto"/>
        <w:jc w:val="center"/>
      </w:pPr>
      <w:r>
        <w:rPr>
          <w:rFonts w:ascii="Times New Roman" w:hAnsi="Times New Roman"/>
          <w:b w:val="0"/>
          <w:i w:val="0"/>
          <w:smallCaps/>
          <w:sz w:val="16"/>
        </w:rPr>
        <w:t>Credit Share by Channel, All Converting Journeys (GA360)</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1740"/>
        <w:gridCol w:w="1740"/>
        <w:gridCol w:w="1740"/>
        <w:gridCol w:w="1740"/>
        <w:gridCol w:w="1740"/>
        <w:gridCol w:w="1740"/>
      </w:tblGrid>
      <w:tr>
        <w:trPr>
          <w:cantSplit/>
          <w:tblHeader/>
        </w:trPr>
        <w:tc>
          <w:tcPr>
            <w:tcW w:type="dxa" w:w="1325"/>
          </w:tcPr>
          <w:p>
            <w:pPr>
              <w:keepNext/>
              <w:jc w:val="left"/>
            </w:pPr>
            <w:r/>
            <w:r>
              <w:rPr>
                <w:rFonts w:ascii="Times New Roman" w:hAnsi="Times New Roman"/>
                <w:b/>
                <w:sz w:val="16"/>
              </w:rPr>
              <w:t>Channel</w:t>
            </w:r>
          </w:p>
        </w:tc>
        <w:tc>
          <w:tcPr>
            <w:tcW w:type="dxa" w:w="691"/>
          </w:tcPr>
          <w:p>
            <w:pPr>
              <w:keepNext/>
              <w:jc w:val="right"/>
            </w:pPr>
            <w:r/>
            <w:r>
              <w:rPr>
                <w:rFonts w:ascii="Times New Roman" w:hAnsi="Times New Roman"/>
                <w:b/>
                <w:sz w:val="16"/>
              </w:rPr>
              <w:t>First</w:t>
            </w:r>
          </w:p>
        </w:tc>
        <w:tc>
          <w:tcPr>
            <w:tcW w:type="dxa" w:w="691"/>
          </w:tcPr>
          <w:p>
            <w:pPr>
              <w:keepNext/>
              <w:jc w:val="right"/>
            </w:pPr>
            <w:r/>
            <w:r>
              <w:rPr>
                <w:rFonts w:ascii="Times New Roman" w:hAnsi="Times New Roman"/>
                <w:b/>
                <w:sz w:val="16"/>
              </w:rPr>
              <w:t>Last</w:t>
            </w:r>
          </w:p>
        </w:tc>
        <w:tc>
          <w:tcPr>
            <w:tcW w:type="dxa" w:w="691"/>
          </w:tcPr>
          <w:p>
            <w:pPr>
              <w:keepNext/>
              <w:jc w:val="right"/>
            </w:pPr>
            <w:r/>
            <w:r>
              <w:rPr>
                <w:rFonts w:ascii="Times New Roman" w:hAnsi="Times New Roman"/>
                <w:b/>
                <w:sz w:val="16"/>
              </w:rPr>
              <w:t>Linear</w:t>
            </w:r>
          </w:p>
        </w:tc>
        <w:tc>
          <w:tcPr>
            <w:tcW w:type="dxa" w:w="806"/>
          </w:tcPr>
          <w:p>
            <w:pPr>
              <w:keepNext/>
              <w:jc w:val="right"/>
            </w:pPr>
            <w:r/>
            <w:r>
              <w:rPr>
                <w:rFonts w:ascii="Times New Roman" w:hAnsi="Times New Roman"/>
                <w:b/>
                <w:sz w:val="16"/>
              </w:rPr>
              <w:t>Markov</w:t>
            </w:r>
          </w:p>
        </w:tc>
        <w:tc>
          <w:tcPr>
            <w:tcW w:type="dxa" w:w="835"/>
          </w:tcPr>
          <w:p>
            <w:pPr>
              <w:keepNext/>
              <w:jc w:val="right"/>
            </w:pPr>
            <w:r/>
            <w:r>
              <w:rPr>
                <w:rFonts w:ascii="Times New Roman" w:hAnsi="Times New Roman"/>
                <w:b/>
                <w:sz w:val="16"/>
              </w:rPr>
              <w:t>Shapley</w:t>
            </w:r>
          </w:p>
        </w:tc>
      </w:tr>
      <w:tr>
        <w:trPr>
          <w:cantSplit/>
        </w:trPr>
        <w:tc>
          <w:tcPr>
            <w:tcW w:type="dxa" w:w="1325"/>
          </w:tcPr>
          <w:p>
            <w:pPr>
              <w:keepNext/>
              <w:jc w:val="left"/>
            </w:pPr>
            <w:r/>
            <w:r>
              <w:rPr>
                <w:rFonts w:ascii="Times New Roman" w:hAnsi="Times New Roman"/>
                <w:b w:val="0"/>
                <w:sz w:val="16"/>
              </w:rPr>
              <w:t>Referral</w:t>
            </w:r>
          </w:p>
        </w:tc>
        <w:tc>
          <w:tcPr>
            <w:tcW w:type="dxa" w:w="691"/>
          </w:tcPr>
          <w:p>
            <w:pPr>
              <w:keepNext/>
              <w:jc w:val="right"/>
            </w:pPr>
            <w:r/>
            <w:r>
              <w:rPr>
                <w:rFonts w:ascii="Times New Roman" w:hAnsi="Times New Roman"/>
                <w:b w:val="0"/>
                <w:sz w:val="16"/>
              </w:rPr>
              <w:t>39.9%</w:t>
            </w:r>
          </w:p>
        </w:tc>
        <w:tc>
          <w:tcPr>
            <w:tcW w:type="dxa" w:w="691"/>
          </w:tcPr>
          <w:p>
            <w:pPr>
              <w:keepNext/>
              <w:jc w:val="right"/>
            </w:pPr>
            <w:r/>
            <w:r>
              <w:rPr>
                <w:rFonts w:ascii="Times New Roman" w:hAnsi="Times New Roman"/>
                <w:b w:val="0"/>
                <w:sz w:val="16"/>
              </w:rPr>
              <w:t>45.5%</w:t>
            </w:r>
          </w:p>
        </w:tc>
        <w:tc>
          <w:tcPr>
            <w:tcW w:type="dxa" w:w="691"/>
          </w:tcPr>
          <w:p>
            <w:pPr>
              <w:keepNext/>
              <w:jc w:val="right"/>
            </w:pPr>
            <w:r/>
            <w:r>
              <w:rPr>
                <w:rFonts w:ascii="Times New Roman" w:hAnsi="Times New Roman"/>
                <w:b w:val="0"/>
                <w:sz w:val="16"/>
              </w:rPr>
              <w:t>42.8%</w:t>
            </w:r>
          </w:p>
        </w:tc>
        <w:tc>
          <w:tcPr>
            <w:tcW w:type="dxa" w:w="806"/>
          </w:tcPr>
          <w:p>
            <w:pPr>
              <w:keepNext/>
              <w:jc w:val="right"/>
            </w:pPr>
            <w:r/>
            <w:r>
              <w:rPr>
                <w:rFonts w:ascii="Times New Roman" w:hAnsi="Times New Roman"/>
                <w:b w:val="0"/>
                <w:sz w:val="16"/>
              </w:rPr>
              <w:t>42.5%</w:t>
            </w:r>
          </w:p>
        </w:tc>
        <w:tc>
          <w:tcPr>
            <w:tcW w:type="dxa" w:w="835"/>
          </w:tcPr>
          <w:p>
            <w:pPr>
              <w:keepNext/>
              <w:jc w:val="right"/>
            </w:pPr>
            <w:r/>
            <w:r>
              <w:rPr>
                <w:rFonts w:ascii="Times New Roman" w:hAnsi="Times New Roman"/>
                <w:b w:val="0"/>
                <w:sz w:val="16"/>
              </w:rPr>
              <w:t>42.4%</w:t>
            </w:r>
          </w:p>
        </w:tc>
      </w:tr>
      <w:tr>
        <w:trPr>
          <w:cantSplit/>
        </w:trPr>
        <w:tc>
          <w:tcPr>
            <w:tcW w:type="dxa" w:w="1325"/>
          </w:tcPr>
          <w:p>
            <w:pPr>
              <w:keepNext/>
              <w:jc w:val="left"/>
            </w:pPr>
            <w:r/>
            <w:r>
              <w:rPr>
                <w:rFonts w:ascii="Times New Roman" w:hAnsi="Times New Roman"/>
                <w:b w:val="0"/>
                <w:sz w:val="16"/>
              </w:rPr>
              <w:t>Organic Search</w:t>
            </w:r>
          </w:p>
        </w:tc>
        <w:tc>
          <w:tcPr>
            <w:tcW w:type="dxa" w:w="691"/>
          </w:tcPr>
          <w:p>
            <w:pPr>
              <w:keepNext/>
              <w:jc w:val="right"/>
            </w:pPr>
            <w:r/>
            <w:r>
              <w:rPr>
                <w:rFonts w:ascii="Times New Roman" w:hAnsi="Times New Roman"/>
                <w:b w:val="0"/>
                <w:sz w:val="16"/>
              </w:rPr>
              <w:t>31.5%</w:t>
            </w:r>
          </w:p>
        </w:tc>
        <w:tc>
          <w:tcPr>
            <w:tcW w:type="dxa" w:w="691"/>
          </w:tcPr>
          <w:p>
            <w:pPr>
              <w:keepNext/>
              <w:jc w:val="right"/>
            </w:pPr>
            <w:r/>
            <w:r>
              <w:rPr>
                <w:rFonts w:ascii="Times New Roman" w:hAnsi="Times New Roman"/>
                <w:b w:val="0"/>
                <w:sz w:val="16"/>
              </w:rPr>
              <w:t>31.1%</w:t>
            </w:r>
          </w:p>
        </w:tc>
        <w:tc>
          <w:tcPr>
            <w:tcW w:type="dxa" w:w="691"/>
          </w:tcPr>
          <w:p>
            <w:pPr>
              <w:keepNext/>
              <w:jc w:val="right"/>
            </w:pPr>
            <w:r/>
            <w:r>
              <w:rPr>
                <w:rFonts w:ascii="Times New Roman" w:hAnsi="Times New Roman"/>
                <w:b w:val="0"/>
                <w:sz w:val="16"/>
              </w:rPr>
              <w:t>31.4%</w:t>
            </w:r>
          </w:p>
        </w:tc>
        <w:tc>
          <w:tcPr>
            <w:tcW w:type="dxa" w:w="806"/>
          </w:tcPr>
          <w:p>
            <w:pPr>
              <w:keepNext/>
              <w:jc w:val="right"/>
            </w:pPr>
            <w:r/>
            <w:r>
              <w:rPr>
                <w:rFonts w:ascii="Times New Roman" w:hAnsi="Times New Roman"/>
                <w:b w:val="0"/>
                <w:sz w:val="16"/>
              </w:rPr>
              <w:t>32.0%</w:t>
            </w:r>
          </w:p>
        </w:tc>
        <w:tc>
          <w:tcPr>
            <w:tcW w:type="dxa" w:w="835"/>
          </w:tcPr>
          <w:p>
            <w:pPr>
              <w:keepNext/>
              <w:jc w:val="right"/>
            </w:pPr>
            <w:r/>
            <w:r>
              <w:rPr>
                <w:rFonts w:ascii="Times New Roman" w:hAnsi="Times New Roman"/>
                <w:b w:val="0"/>
                <w:sz w:val="16"/>
              </w:rPr>
              <w:t>31.3%</w:t>
            </w:r>
          </w:p>
        </w:tc>
      </w:tr>
      <w:tr>
        <w:trPr>
          <w:cantSplit/>
        </w:trPr>
        <w:tc>
          <w:tcPr>
            <w:tcW w:type="dxa" w:w="1325"/>
          </w:tcPr>
          <w:p>
            <w:pPr>
              <w:keepNext/>
              <w:jc w:val="left"/>
            </w:pPr>
            <w:r/>
            <w:r>
              <w:rPr>
                <w:rFonts w:ascii="Times New Roman" w:hAnsi="Times New Roman"/>
                <w:b w:val="0"/>
                <w:sz w:val="16"/>
              </w:rPr>
              <w:t>Direct</w:t>
            </w:r>
          </w:p>
        </w:tc>
        <w:tc>
          <w:tcPr>
            <w:tcW w:type="dxa" w:w="691"/>
          </w:tcPr>
          <w:p>
            <w:pPr>
              <w:keepNext/>
              <w:jc w:val="right"/>
            </w:pPr>
            <w:r/>
            <w:r>
              <w:rPr>
                <w:rFonts w:ascii="Times New Roman" w:hAnsi="Times New Roman"/>
                <w:b w:val="0"/>
                <w:sz w:val="16"/>
              </w:rPr>
              <w:t>22.0%</w:t>
            </w:r>
          </w:p>
        </w:tc>
        <w:tc>
          <w:tcPr>
            <w:tcW w:type="dxa" w:w="691"/>
          </w:tcPr>
          <w:p>
            <w:pPr>
              <w:keepNext/>
              <w:jc w:val="right"/>
            </w:pPr>
            <w:r/>
            <w:r>
              <w:rPr>
                <w:rFonts w:ascii="Times New Roman" w:hAnsi="Times New Roman"/>
                <w:b w:val="0"/>
                <w:sz w:val="16"/>
              </w:rPr>
              <w:t>17.1%</w:t>
            </w:r>
          </w:p>
        </w:tc>
        <w:tc>
          <w:tcPr>
            <w:tcW w:type="dxa" w:w="691"/>
          </w:tcPr>
          <w:p>
            <w:pPr>
              <w:keepNext/>
              <w:jc w:val="right"/>
            </w:pPr>
            <w:r/>
            <w:r>
              <w:rPr>
                <w:rFonts w:ascii="Times New Roman" w:hAnsi="Times New Roman"/>
                <w:b w:val="0"/>
                <w:sz w:val="16"/>
              </w:rPr>
              <w:t>19.2%</w:t>
            </w:r>
          </w:p>
        </w:tc>
        <w:tc>
          <w:tcPr>
            <w:tcW w:type="dxa" w:w="806"/>
          </w:tcPr>
          <w:p>
            <w:pPr>
              <w:keepNext/>
              <w:jc w:val="right"/>
            </w:pPr>
            <w:r/>
            <w:r>
              <w:rPr>
                <w:rFonts w:ascii="Times New Roman" w:hAnsi="Times New Roman"/>
                <w:b w:val="0"/>
                <w:sz w:val="16"/>
              </w:rPr>
              <w:t>18.2%</w:t>
            </w:r>
          </w:p>
        </w:tc>
        <w:tc>
          <w:tcPr>
            <w:tcW w:type="dxa" w:w="835"/>
          </w:tcPr>
          <w:p>
            <w:pPr>
              <w:keepNext/>
              <w:jc w:val="right"/>
            </w:pPr>
            <w:r/>
            <w:r>
              <w:rPr>
                <w:rFonts w:ascii="Times New Roman" w:hAnsi="Times New Roman"/>
                <w:b w:val="0"/>
                <w:sz w:val="16"/>
              </w:rPr>
              <w:t>19.5%</w:t>
            </w:r>
          </w:p>
        </w:tc>
      </w:tr>
      <w:tr>
        <w:trPr>
          <w:cantSplit/>
        </w:trPr>
        <w:tc>
          <w:tcPr>
            <w:tcW w:type="dxa" w:w="1325"/>
          </w:tcPr>
          <w:p>
            <w:pPr>
              <w:keepNext/>
              <w:jc w:val="left"/>
            </w:pPr>
            <w:r/>
            <w:r>
              <w:rPr>
                <w:rFonts w:ascii="Times New Roman" w:hAnsi="Times New Roman"/>
                <w:b w:val="0"/>
                <w:sz w:val="16"/>
              </w:rPr>
              <w:t>Paid Search</w:t>
            </w:r>
          </w:p>
        </w:tc>
        <w:tc>
          <w:tcPr>
            <w:tcW w:type="dxa" w:w="691"/>
          </w:tcPr>
          <w:p>
            <w:pPr>
              <w:keepNext/>
              <w:jc w:val="right"/>
            </w:pPr>
            <w:r/>
            <w:r>
              <w:rPr>
                <w:rFonts w:ascii="Times New Roman" w:hAnsi="Times New Roman"/>
                <w:b w:val="0"/>
                <w:sz w:val="16"/>
              </w:rPr>
              <w:t>4.4%</w:t>
            </w:r>
          </w:p>
        </w:tc>
        <w:tc>
          <w:tcPr>
            <w:tcW w:type="dxa" w:w="691"/>
          </w:tcPr>
          <w:p>
            <w:pPr>
              <w:keepNext/>
              <w:jc w:val="right"/>
            </w:pPr>
            <w:r/>
            <w:r>
              <w:rPr>
                <w:rFonts w:ascii="Times New Roman" w:hAnsi="Times New Roman"/>
                <w:b w:val="0"/>
                <w:sz w:val="16"/>
              </w:rPr>
              <w:t>4.2%</w:t>
            </w:r>
          </w:p>
        </w:tc>
        <w:tc>
          <w:tcPr>
            <w:tcW w:type="dxa" w:w="691"/>
          </w:tcPr>
          <w:p>
            <w:pPr>
              <w:keepNext/>
              <w:jc w:val="right"/>
            </w:pPr>
            <w:r/>
            <w:r>
              <w:rPr>
                <w:rFonts w:ascii="Times New Roman" w:hAnsi="Times New Roman"/>
                <w:b w:val="0"/>
                <w:sz w:val="16"/>
              </w:rPr>
              <w:t>4.3%</w:t>
            </w:r>
          </w:p>
        </w:tc>
        <w:tc>
          <w:tcPr>
            <w:tcW w:type="dxa" w:w="806"/>
          </w:tcPr>
          <w:p>
            <w:pPr>
              <w:keepNext/>
              <w:jc w:val="right"/>
            </w:pPr>
            <w:r/>
            <w:r>
              <w:rPr>
                <w:rFonts w:ascii="Times New Roman" w:hAnsi="Times New Roman"/>
                <w:b w:val="0"/>
                <w:sz w:val="16"/>
              </w:rPr>
              <w:t>4.3%</w:t>
            </w:r>
          </w:p>
        </w:tc>
        <w:tc>
          <w:tcPr>
            <w:tcW w:type="dxa" w:w="835"/>
          </w:tcPr>
          <w:p>
            <w:pPr>
              <w:keepNext/>
              <w:jc w:val="right"/>
            </w:pPr>
            <w:r/>
            <w:r>
              <w:rPr>
                <w:rFonts w:ascii="Times New Roman" w:hAnsi="Times New Roman"/>
                <w:b w:val="0"/>
                <w:sz w:val="16"/>
              </w:rPr>
              <w:t>4.4%</w:t>
            </w:r>
          </w:p>
        </w:tc>
      </w:tr>
      <w:tr>
        <w:trPr>
          <w:cantSplit/>
        </w:trPr>
        <w:tc>
          <w:tcPr>
            <w:tcW w:type="dxa" w:w="1325"/>
          </w:tcPr>
          <w:p>
            <w:pPr>
              <w:keepNext/>
              <w:jc w:val="left"/>
            </w:pPr>
            <w:r/>
            <w:r>
              <w:rPr>
                <w:rFonts w:ascii="Times New Roman" w:hAnsi="Times New Roman"/>
                <w:b w:val="0"/>
                <w:sz w:val="16"/>
              </w:rPr>
              <w:t>Display</w:t>
            </w:r>
          </w:p>
        </w:tc>
        <w:tc>
          <w:tcPr>
            <w:tcW w:type="dxa" w:w="691"/>
          </w:tcPr>
          <w:p>
            <w:pPr>
              <w:keepNext/>
              <w:jc w:val="right"/>
            </w:pPr>
            <w:r/>
            <w:r>
              <w:rPr>
                <w:rFonts w:ascii="Times New Roman" w:hAnsi="Times New Roman"/>
                <w:b w:val="0"/>
                <w:sz w:val="16"/>
              </w:rPr>
              <w:t>1.3%</w:t>
            </w:r>
          </w:p>
        </w:tc>
        <w:tc>
          <w:tcPr>
            <w:tcW w:type="dxa" w:w="691"/>
          </w:tcPr>
          <w:p>
            <w:pPr>
              <w:keepNext/>
              <w:jc w:val="right"/>
            </w:pPr>
            <w:r/>
            <w:r>
              <w:rPr>
                <w:rFonts w:ascii="Times New Roman" w:hAnsi="Times New Roman"/>
                <w:b w:val="0"/>
                <w:sz w:val="16"/>
              </w:rPr>
              <w:t>1.1%</w:t>
            </w:r>
          </w:p>
        </w:tc>
        <w:tc>
          <w:tcPr>
            <w:tcW w:type="dxa" w:w="691"/>
          </w:tcPr>
          <w:p>
            <w:pPr>
              <w:keepNext/>
              <w:jc w:val="right"/>
            </w:pPr>
            <w:r/>
            <w:r>
              <w:rPr>
                <w:rFonts w:ascii="Times New Roman" w:hAnsi="Times New Roman"/>
                <w:b w:val="0"/>
                <w:sz w:val="16"/>
              </w:rPr>
              <w:t>1.3%</w:t>
            </w:r>
          </w:p>
        </w:tc>
        <w:tc>
          <w:tcPr>
            <w:tcW w:type="dxa" w:w="806"/>
          </w:tcPr>
          <w:p>
            <w:pPr>
              <w:keepNext/>
              <w:jc w:val="right"/>
            </w:pPr>
            <w:r/>
            <w:r>
              <w:rPr>
                <w:rFonts w:ascii="Times New Roman" w:hAnsi="Times New Roman"/>
                <w:b w:val="0"/>
                <w:sz w:val="16"/>
              </w:rPr>
              <w:t>1.3%</w:t>
            </w:r>
          </w:p>
        </w:tc>
        <w:tc>
          <w:tcPr>
            <w:tcW w:type="dxa" w:w="835"/>
          </w:tcPr>
          <w:p>
            <w:pPr>
              <w:keepNext/>
              <w:jc w:val="right"/>
            </w:pPr>
            <w:r/>
            <w:r>
              <w:rPr>
                <w:rFonts w:ascii="Times New Roman" w:hAnsi="Times New Roman"/>
                <w:b w:val="0"/>
                <w:sz w:val="16"/>
              </w:rPr>
              <w:t>1.3%</w:t>
            </w:r>
          </w:p>
        </w:tc>
      </w:tr>
      <w:tr>
        <w:trPr>
          <w:cantSplit/>
        </w:trPr>
        <w:tc>
          <w:tcPr>
            <w:tcW w:type="dxa" w:w="1325"/>
          </w:tcPr>
          <w:p>
            <w:pPr>
              <w:keepNext/>
              <w:jc w:val="left"/>
            </w:pPr>
            <w:r/>
            <w:r>
              <w:rPr>
                <w:rFonts w:ascii="Times New Roman" w:hAnsi="Times New Roman"/>
                <w:b w:val="0"/>
                <w:sz w:val="16"/>
              </w:rPr>
              <w:t>Social</w:t>
            </w:r>
          </w:p>
        </w:tc>
        <w:tc>
          <w:tcPr>
            <w:tcW w:type="dxa" w:w="691"/>
          </w:tcPr>
          <w:p>
            <w:pPr>
              <w:keepNext/>
              <w:jc w:val="right"/>
            </w:pPr>
            <w:r/>
            <w:r>
              <w:rPr>
                <w:rFonts w:ascii="Times New Roman" w:hAnsi="Times New Roman"/>
                <w:b w:val="0"/>
                <w:sz w:val="16"/>
              </w:rPr>
              <w:t>0.8%</w:t>
            </w:r>
          </w:p>
        </w:tc>
        <w:tc>
          <w:tcPr>
            <w:tcW w:type="dxa" w:w="691"/>
          </w:tcPr>
          <w:p>
            <w:pPr>
              <w:keepNext/>
              <w:jc w:val="right"/>
            </w:pPr>
            <w:r/>
            <w:r>
              <w:rPr>
                <w:rFonts w:ascii="Times New Roman" w:hAnsi="Times New Roman"/>
                <w:b w:val="0"/>
                <w:sz w:val="16"/>
              </w:rPr>
              <w:t>1.0%</w:t>
            </w:r>
          </w:p>
        </w:tc>
        <w:tc>
          <w:tcPr>
            <w:tcW w:type="dxa" w:w="691"/>
          </w:tcPr>
          <w:p>
            <w:pPr>
              <w:keepNext/>
              <w:jc w:val="right"/>
            </w:pPr>
            <w:r/>
            <w:r>
              <w:rPr>
                <w:rFonts w:ascii="Times New Roman" w:hAnsi="Times New Roman"/>
                <w:b w:val="0"/>
                <w:sz w:val="16"/>
              </w:rPr>
              <w:t>0.9%</w:t>
            </w:r>
          </w:p>
        </w:tc>
        <w:tc>
          <w:tcPr>
            <w:tcW w:type="dxa" w:w="806"/>
          </w:tcPr>
          <w:p>
            <w:pPr>
              <w:keepNext/>
              <w:jc w:val="right"/>
            </w:pPr>
            <w:r/>
            <w:r>
              <w:rPr>
                <w:rFonts w:ascii="Times New Roman" w:hAnsi="Times New Roman"/>
                <w:b w:val="0"/>
                <w:sz w:val="16"/>
              </w:rPr>
              <w:t>1.2%</w:t>
            </w:r>
          </w:p>
        </w:tc>
        <w:tc>
          <w:tcPr>
            <w:tcW w:type="dxa" w:w="835"/>
          </w:tcPr>
          <w:p>
            <w:pPr>
              <w:keepNext/>
              <w:jc w:val="right"/>
            </w:pPr>
            <w:r/>
            <w:r>
              <w:rPr>
                <w:rFonts w:ascii="Times New Roman" w:hAnsi="Times New Roman"/>
                <w:b w:val="0"/>
                <w:sz w:val="16"/>
              </w:rPr>
              <w:t>0.9%</w:t>
            </w:r>
          </w:p>
        </w:tc>
      </w:tr>
      <w:tr>
        <w:trPr>
          <w:cantSplit/>
        </w:trPr>
        <w:tc>
          <w:tcPr>
            <w:tcW w:type="dxa" w:w="1325"/>
          </w:tcPr>
          <w:p>
            <w:pPr>
              <w:keepNext w:val="0"/>
              <w:jc w:val="left"/>
            </w:pPr>
            <w:r/>
            <w:r>
              <w:rPr>
                <w:rFonts w:ascii="Times New Roman" w:hAnsi="Times New Roman"/>
                <w:b w:val="0"/>
                <w:sz w:val="16"/>
              </w:rPr>
              <w:t>Affiliates</w:t>
            </w:r>
          </w:p>
        </w:tc>
        <w:tc>
          <w:tcPr>
            <w:tcW w:type="dxa" w:w="691"/>
          </w:tcPr>
          <w:p>
            <w:pPr>
              <w:keepNext w:val="0"/>
              <w:jc w:val="right"/>
            </w:pPr>
            <w:r/>
            <w:r>
              <w:rPr>
                <w:rFonts w:ascii="Times New Roman" w:hAnsi="Times New Roman"/>
                <w:b w:val="0"/>
                <w:sz w:val="16"/>
              </w:rPr>
              <w:t>0.1%</w:t>
            </w:r>
          </w:p>
        </w:tc>
        <w:tc>
          <w:tcPr>
            <w:tcW w:type="dxa" w:w="691"/>
          </w:tcPr>
          <w:p>
            <w:pPr>
              <w:keepNext w:val="0"/>
              <w:jc w:val="right"/>
            </w:pPr>
            <w:r/>
            <w:r>
              <w:rPr>
                <w:rFonts w:ascii="Times New Roman" w:hAnsi="Times New Roman"/>
                <w:b w:val="0"/>
                <w:sz w:val="16"/>
              </w:rPr>
              <w:t>0.1%</w:t>
            </w:r>
          </w:p>
        </w:tc>
        <w:tc>
          <w:tcPr>
            <w:tcW w:type="dxa" w:w="691"/>
          </w:tcPr>
          <w:p>
            <w:pPr>
              <w:keepNext w:val="0"/>
              <w:jc w:val="right"/>
            </w:pPr>
            <w:r/>
            <w:r>
              <w:rPr>
                <w:rFonts w:ascii="Times New Roman" w:hAnsi="Times New Roman"/>
                <w:b w:val="0"/>
                <w:sz w:val="16"/>
              </w:rPr>
              <w:t>0.1%</w:t>
            </w:r>
          </w:p>
        </w:tc>
        <w:tc>
          <w:tcPr>
            <w:tcW w:type="dxa" w:w="806"/>
          </w:tcPr>
          <w:p>
            <w:pPr>
              <w:keepNext w:val="0"/>
              <w:jc w:val="right"/>
            </w:pPr>
            <w:r/>
            <w:r>
              <w:rPr>
                <w:rFonts w:ascii="Times New Roman" w:hAnsi="Times New Roman"/>
                <w:b w:val="0"/>
                <w:sz w:val="16"/>
              </w:rPr>
              <w:t>0.5%</w:t>
            </w:r>
          </w:p>
        </w:tc>
        <w:tc>
          <w:tcPr>
            <w:tcW w:type="dxa" w:w="835"/>
          </w:tcPr>
          <w:p>
            <w:pPr>
              <w:keepNext w:val="0"/>
              <w:jc w:val="right"/>
            </w:pPr>
            <w:r/>
            <w:r>
              <w:rPr>
                <w:rFonts w:ascii="Times New Roman" w:hAnsi="Times New Roman"/>
                <w:b w:val="0"/>
                <w:sz w:val="16"/>
              </w:rPr>
              <w:t>0.1%</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Because so few journeys mix channels, the seven models broadly agree on the whole sample (Table VII); the largest swing, for Referral, is from 39.9% to 45.5%. The disagreement is concentrated in the 1,189 multi-channel journeys (Fig. 3). There, first touch gives Direct 42% of the credit and last touch 1%, while Referral moves from 13% to 60%; the most common multi-channel paths were Direct &gt; Referral (134) and Organic Search &gt; Referral (94). For these customers the choice of model decides which channel is funded.</w:t>
      </w:r>
    </w:p>
    <w:p>
      <w:pPr>
        <w:keepNext/>
        <w:spacing w:before="80"/>
        <w:jc w:val="center"/>
      </w:pPr>
      <w:r>
        <w:drawing>
          <wp:inline xmlns:a="http://schemas.openxmlformats.org/drawingml/2006/main" xmlns:pic="http://schemas.openxmlformats.org/drawingml/2006/picture">
            <wp:extent cx="3200400" cy="2194560"/>
            <wp:docPr id="3" name="Picture 3"/>
            <wp:cNvGraphicFramePr>
              <a:graphicFrameLocks noChangeAspect="1"/>
            </wp:cNvGraphicFramePr>
            <a:graphic>
              <a:graphicData uri="http://schemas.openxmlformats.org/drawingml/2006/picture">
                <pic:pic>
                  <pic:nvPicPr>
                    <pic:cNvPr id="0" name="ga360.png"/>
                    <pic:cNvPicPr/>
                  </pic:nvPicPr>
                  <pic:blipFill>
                    <a:blip r:embed="rId11"/>
                    <a:stretch>
                      <a:fillRect/>
                    </a:stretch>
                  </pic:blipFill>
                  <pic:spPr>
                    <a:xfrm>
                      <a:off x="0" y="0"/>
                      <a:ext cx="3200400" cy="219456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3.  Credit share by channel within the 1,189 GA360 converting journeys that used more than one channel.</w:t>
      </w:r>
    </w:p>
    <w:p>
      <w:pPr>
        <w:spacing w:after="0" w:before="0" w:line="240" w:lineRule="auto"/>
        <w:ind w:firstLine="202"/>
        <w:jc w:val="both"/>
      </w:pPr>
      <w:r>
        <w:rPr>
          <w:rFonts w:ascii="Times New Roman" w:hAnsi="Times New Roman"/>
          <w:b w:val="0"/>
          <w:i w:val="0"/>
          <w:smallCaps w:val="0"/>
          <w:sz w:val="20"/>
        </w:rPr>
        <w:t>Channels also differ in whether they hand journeys on. The share of converting journeys that ended in a different channel from the one they began with was Display 39%, Paid Search 23%, Direct 23%, Organic Search 10% and Referral 2% (channels starting at least 100 journeys). Journeys that start with Display, Paid Search or Direct are the ones most often closed by another channel, which is exactly where last click moves credit away from the channel that started them; a referral, by contrast, almost never hands on.</w:t>
      </w:r>
    </w:p>
    <w:p>
      <w:pPr>
        <w:spacing w:after="0" w:before="0" w:line="240" w:lineRule="auto"/>
        <w:ind w:firstLine="202"/>
        <w:jc w:val="both"/>
      </w:pPr>
      <w:r>
        <w:rPr>
          <w:rFonts w:ascii="Times New Roman" w:hAnsi="Times New Roman"/>
          <w:b w:val="0"/>
          <w:i w:val="0"/>
          <w:smallCaps w:val="0"/>
          <w:sz w:val="20"/>
        </w:rPr>
        <w:t>Two properties of the data qualify these figures. Google Analytics labels a returning direct visit with the source of the visitor's previous campaign: 40,356 of the 104,838 Referral sessions are flagged in the data as direct visits. Direct can therefore rarely follow another channel, which mechanically lowers its last-touch share. And 97% of converting Referral sessions record no referring site, so Referral's large share cannot be read as the value of third-party sites.</w:t>
      </w:r>
    </w:p>
    <w:p>
      <w:pPr>
        <w:keepNext/>
        <w:spacing w:after="40" w:before="80" w:line="240" w:lineRule="auto"/>
        <w:jc w:val="left"/>
      </w:pPr>
      <w:r>
        <w:rPr>
          <w:rFonts w:ascii="Times New Roman" w:hAnsi="Times New Roman"/>
          <w:b w:val="0"/>
          <w:i/>
          <w:smallCaps w:val="0"/>
          <w:sz w:val="20"/>
        </w:rPr>
        <w:t>C. No Attribution Model Is Best Everywhere (RQ3)</w:t>
      </w:r>
    </w:p>
    <w:p>
      <w:pPr>
        <w:keepNext/>
        <w:spacing w:before="80"/>
        <w:jc w:val="center"/>
      </w:pPr>
      <w:r>
        <w:drawing>
          <wp:inline xmlns:a="http://schemas.openxmlformats.org/drawingml/2006/main" xmlns:pic="http://schemas.openxmlformats.org/drawingml/2006/picture">
            <wp:extent cx="3200400" cy="2103120"/>
            <wp:docPr id="4" name="Picture 4"/>
            <wp:cNvGraphicFramePr>
              <a:graphicFrameLocks noChangeAspect="1"/>
            </wp:cNvGraphicFramePr>
            <a:graphic>
              <a:graphicData uri="http://schemas.openxmlformats.org/drawingml/2006/picture">
                <pic:pic>
                  <pic:nvPicPr>
                    <pic:cNvPr id="0" name="simulation.png"/>
                    <pic:cNvPicPr/>
                  </pic:nvPicPr>
                  <pic:blipFill>
                    <a:blip r:embed="rId12"/>
                    <a:stretch>
                      <a:fillRect/>
                    </a:stretch>
                  </pic:blipFill>
                  <pic:spPr>
                    <a:xfrm>
                      <a:off x="0" y="0"/>
                      <a:ext cx="3200400" cy="210312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4.  Mean absolute error between model and true credit shares (percentage points; bars show the standard deviation over six worlds).</w:t>
      </w:r>
    </w:p>
    <w:p>
      <w:pPr>
        <w:keepNext/>
        <w:spacing w:after="0" w:before="120" w:line="240" w:lineRule="auto"/>
        <w:jc w:val="center"/>
      </w:pPr>
      <w:r>
        <w:rPr>
          <w:rFonts w:ascii="Times New Roman" w:hAnsi="Times New Roman"/>
          <w:b w:val="0"/>
          <w:i w:val="0"/>
          <w:smallCaps/>
          <w:sz w:val="16"/>
        </w:rPr>
        <w:t>Table VIII</w:t>
      </w:r>
    </w:p>
    <w:p>
      <w:pPr>
        <w:keepNext/>
        <w:spacing w:after="60" w:before="0" w:line="240" w:lineRule="auto"/>
        <w:jc w:val="center"/>
      </w:pPr>
      <w:r>
        <w:rPr>
          <w:rFonts w:ascii="Times New Roman" w:hAnsi="Times New Roman"/>
          <w:b w:val="0"/>
          <w:i w:val="0"/>
          <w:smallCaps/>
          <w:sz w:val="16"/>
        </w:rPr>
        <w:t>Accuracy of Attribution Models Against Known Channel Effects</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2088"/>
        <w:gridCol w:w="2088"/>
        <w:gridCol w:w="2088"/>
        <w:gridCol w:w="2088"/>
        <w:gridCol w:w="2088"/>
      </w:tblGrid>
      <w:tr>
        <w:trPr>
          <w:cantSplit/>
          <w:tblHeader/>
        </w:trPr>
        <w:tc>
          <w:tcPr>
            <w:tcW w:type="dxa" w:w="1440"/>
          </w:tcPr>
          <w:p>
            <w:pPr>
              <w:keepNext/>
              <w:jc w:val="left"/>
            </w:pPr>
            <w:r/>
            <w:r>
              <w:rPr>
                <w:rFonts w:ascii="Times New Roman" w:hAnsi="Times New Roman"/>
                <w:b/>
                <w:sz w:val="16"/>
              </w:rPr>
              <w:t>Model</w:t>
            </w:r>
          </w:p>
        </w:tc>
        <w:tc>
          <w:tcPr>
            <w:tcW w:type="dxa" w:w="1080"/>
          </w:tcPr>
          <w:p>
            <w:pPr>
              <w:keepNext/>
              <w:jc w:val="right"/>
            </w:pPr>
            <w:r/>
            <w:r>
              <w:rPr>
                <w:rFonts w:ascii="Times New Roman" w:hAnsi="Times New Roman"/>
                <w:b/>
                <w:sz w:val="16"/>
              </w:rPr>
              <w:t>Immediate MAE</w:t>
            </w:r>
          </w:p>
        </w:tc>
        <w:tc>
          <w:tcPr>
            <w:tcW w:type="dxa" w:w="576"/>
          </w:tcPr>
          <w:p>
            <w:pPr>
              <w:keepNext/>
              <w:jc w:val="right"/>
            </w:pPr>
            <w:r/>
            <w:r>
              <w:rPr>
                <w:rFonts w:ascii="Times New Roman" w:hAnsi="Times New Roman"/>
                <w:b/>
                <w:sz w:val="16"/>
              </w:rPr>
              <w:t>ρ</w:t>
            </w:r>
          </w:p>
        </w:tc>
        <w:tc>
          <w:tcPr>
            <w:tcW w:type="dxa" w:w="1224"/>
          </w:tcPr>
          <w:p>
            <w:pPr>
              <w:keepNext/>
              <w:jc w:val="right"/>
            </w:pPr>
            <w:r/>
            <w:r>
              <w:rPr>
                <w:rFonts w:ascii="Times New Roman" w:hAnsi="Times New Roman"/>
                <w:b/>
                <w:sz w:val="16"/>
              </w:rPr>
              <w:t>Carry-over MAE</w:t>
            </w:r>
          </w:p>
        </w:tc>
        <w:tc>
          <w:tcPr>
            <w:tcW w:type="dxa" w:w="576"/>
          </w:tcPr>
          <w:p>
            <w:pPr>
              <w:keepNext/>
              <w:jc w:val="right"/>
            </w:pPr>
            <w:r/>
            <w:r>
              <w:rPr>
                <w:rFonts w:ascii="Times New Roman" w:hAnsi="Times New Roman"/>
                <w:b/>
                <w:sz w:val="16"/>
              </w:rPr>
              <w:t>ρ</w:t>
            </w:r>
          </w:p>
        </w:tc>
      </w:tr>
      <w:tr>
        <w:trPr>
          <w:cantSplit/>
        </w:trPr>
        <w:tc>
          <w:tcPr>
            <w:tcW w:type="dxa" w:w="1440"/>
          </w:tcPr>
          <w:p>
            <w:pPr>
              <w:keepNext/>
              <w:jc w:val="left"/>
            </w:pPr>
            <w:r/>
            <w:r>
              <w:rPr>
                <w:rFonts w:ascii="Times New Roman" w:hAnsi="Times New Roman"/>
                <w:b w:val="0"/>
                <w:sz w:val="16"/>
              </w:rPr>
              <w:t>First touch</w:t>
            </w:r>
          </w:p>
        </w:tc>
        <w:tc>
          <w:tcPr>
            <w:tcW w:type="dxa" w:w="1080"/>
          </w:tcPr>
          <w:p>
            <w:pPr>
              <w:keepNext/>
              <w:jc w:val="right"/>
            </w:pPr>
            <w:r/>
            <w:r>
              <w:rPr>
                <w:rFonts w:ascii="Times New Roman" w:hAnsi="Times New Roman"/>
                <w:b w:val="0"/>
                <w:sz w:val="16"/>
              </w:rPr>
              <w:t>10.5</w:t>
            </w:r>
          </w:p>
        </w:tc>
        <w:tc>
          <w:tcPr>
            <w:tcW w:type="dxa" w:w="576"/>
          </w:tcPr>
          <w:p>
            <w:pPr>
              <w:keepNext/>
              <w:jc w:val="right"/>
            </w:pPr>
            <w:r/>
            <w:r>
              <w:rPr>
                <w:rFonts w:ascii="Times New Roman" w:hAnsi="Times New Roman"/>
                <w:b w:val="0"/>
                <w:sz w:val="16"/>
              </w:rPr>
              <w:t>0.17</w:t>
            </w:r>
          </w:p>
        </w:tc>
        <w:tc>
          <w:tcPr>
            <w:tcW w:type="dxa" w:w="1224"/>
          </w:tcPr>
          <w:p>
            <w:pPr>
              <w:keepNext/>
              <w:jc w:val="right"/>
            </w:pPr>
            <w:r/>
            <w:r>
              <w:rPr>
                <w:rFonts w:ascii="Times New Roman" w:hAnsi="Times New Roman"/>
                <w:b w:val="0"/>
                <w:sz w:val="16"/>
              </w:rPr>
              <w:t>10.1</w:t>
            </w:r>
          </w:p>
        </w:tc>
        <w:tc>
          <w:tcPr>
            <w:tcW w:type="dxa" w:w="576"/>
          </w:tcPr>
          <w:p>
            <w:pPr>
              <w:keepNext/>
              <w:jc w:val="right"/>
            </w:pPr>
            <w:r/>
            <w:r>
              <w:rPr>
                <w:rFonts w:ascii="Times New Roman" w:hAnsi="Times New Roman"/>
                <w:b w:val="0"/>
                <w:sz w:val="16"/>
              </w:rPr>
              <w:t>0.18</w:t>
            </w:r>
          </w:p>
        </w:tc>
      </w:tr>
      <w:tr>
        <w:trPr>
          <w:cantSplit/>
        </w:trPr>
        <w:tc>
          <w:tcPr>
            <w:tcW w:type="dxa" w:w="1440"/>
          </w:tcPr>
          <w:p>
            <w:pPr>
              <w:keepNext/>
              <w:jc w:val="left"/>
            </w:pPr>
            <w:r/>
            <w:r>
              <w:rPr>
                <w:rFonts w:ascii="Times New Roman" w:hAnsi="Times New Roman"/>
                <w:b w:val="0"/>
                <w:sz w:val="16"/>
              </w:rPr>
              <w:t>Last touch</w:t>
            </w:r>
          </w:p>
        </w:tc>
        <w:tc>
          <w:tcPr>
            <w:tcW w:type="dxa" w:w="1080"/>
          </w:tcPr>
          <w:p>
            <w:pPr>
              <w:keepNext/>
              <w:jc w:val="right"/>
            </w:pPr>
            <w:r/>
            <w:r>
              <w:rPr>
                <w:rFonts w:ascii="Times New Roman" w:hAnsi="Times New Roman"/>
                <w:b w:val="0"/>
                <w:sz w:val="16"/>
              </w:rPr>
              <w:t>4.2</w:t>
            </w:r>
          </w:p>
        </w:tc>
        <w:tc>
          <w:tcPr>
            <w:tcW w:type="dxa" w:w="576"/>
          </w:tcPr>
          <w:p>
            <w:pPr>
              <w:keepNext/>
              <w:jc w:val="right"/>
            </w:pPr>
            <w:r/>
            <w:r>
              <w:rPr>
                <w:rFonts w:ascii="Times New Roman" w:hAnsi="Times New Roman"/>
                <w:b w:val="0"/>
                <w:sz w:val="16"/>
              </w:rPr>
              <w:t>0.66</w:t>
            </w:r>
          </w:p>
        </w:tc>
        <w:tc>
          <w:tcPr>
            <w:tcW w:type="dxa" w:w="1224"/>
          </w:tcPr>
          <w:p>
            <w:pPr>
              <w:keepNext/>
              <w:jc w:val="right"/>
            </w:pPr>
            <w:r/>
            <w:r>
              <w:rPr>
                <w:rFonts w:ascii="Times New Roman" w:hAnsi="Times New Roman"/>
                <w:b w:val="0"/>
                <w:sz w:val="16"/>
              </w:rPr>
              <w:t>7.3</w:t>
            </w:r>
          </w:p>
        </w:tc>
        <w:tc>
          <w:tcPr>
            <w:tcW w:type="dxa" w:w="576"/>
          </w:tcPr>
          <w:p>
            <w:pPr>
              <w:keepNext/>
              <w:jc w:val="right"/>
            </w:pPr>
            <w:r/>
            <w:r>
              <w:rPr>
                <w:rFonts w:ascii="Times New Roman" w:hAnsi="Times New Roman"/>
                <w:b w:val="0"/>
                <w:sz w:val="16"/>
              </w:rPr>
              <w:t>0.37</w:t>
            </w:r>
          </w:p>
        </w:tc>
      </w:tr>
      <w:tr>
        <w:trPr>
          <w:cantSplit/>
        </w:trPr>
        <w:tc>
          <w:tcPr>
            <w:tcW w:type="dxa" w:w="1440"/>
          </w:tcPr>
          <w:p>
            <w:pPr>
              <w:keepNext/>
              <w:jc w:val="left"/>
            </w:pPr>
            <w:r/>
            <w:r>
              <w:rPr>
                <w:rFonts w:ascii="Times New Roman" w:hAnsi="Times New Roman"/>
                <w:b w:val="0"/>
                <w:sz w:val="16"/>
              </w:rPr>
              <w:t>Linear</w:t>
            </w:r>
          </w:p>
        </w:tc>
        <w:tc>
          <w:tcPr>
            <w:tcW w:type="dxa" w:w="1080"/>
          </w:tcPr>
          <w:p>
            <w:pPr>
              <w:keepNext/>
              <w:jc w:val="right"/>
            </w:pPr>
            <w:r/>
            <w:r>
              <w:rPr>
                <w:rFonts w:ascii="Times New Roman" w:hAnsi="Times New Roman"/>
                <w:b w:val="0"/>
                <w:sz w:val="16"/>
              </w:rPr>
              <w:t>5.2</w:t>
            </w:r>
          </w:p>
        </w:tc>
        <w:tc>
          <w:tcPr>
            <w:tcW w:type="dxa" w:w="576"/>
          </w:tcPr>
          <w:p>
            <w:pPr>
              <w:keepNext/>
              <w:jc w:val="right"/>
            </w:pPr>
            <w:r/>
            <w:r>
              <w:rPr>
                <w:rFonts w:ascii="Times New Roman" w:hAnsi="Times New Roman"/>
                <w:b w:val="0"/>
                <w:sz w:val="16"/>
              </w:rPr>
              <w:t>0.68</w:t>
            </w:r>
          </w:p>
        </w:tc>
        <w:tc>
          <w:tcPr>
            <w:tcW w:type="dxa" w:w="1224"/>
          </w:tcPr>
          <w:p>
            <w:pPr>
              <w:keepNext/>
              <w:jc w:val="right"/>
            </w:pPr>
            <w:r/>
            <w:r>
              <w:rPr>
                <w:rFonts w:ascii="Times New Roman" w:hAnsi="Times New Roman"/>
                <w:b w:val="0"/>
                <w:sz w:val="16"/>
              </w:rPr>
              <w:t>5.7</w:t>
            </w:r>
          </w:p>
        </w:tc>
        <w:tc>
          <w:tcPr>
            <w:tcW w:type="dxa" w:w="576"/>
          </w:tcPr>
          <w:p>
            <w:pPr>
              <w:keepNext/>
              <w:jc w:val="right"/>
            </w:pPr>
            <w:r/>
            <w:r>
              <w:rPr>
                <w:rFonts w:ascii="Times New Roman" w:hAnsi="Times New Roman"/>
                <w:b w:val="0"/>
                <w:sz w:val="16"/>
              </w:rPr>
              <w:t>0.60</w:t>
            </w:r>
          </w:p>
        </w:tc>
      </w:tr>
      <w:tr>
        <w:trPr>
          <w:cantSplit/>
        </w:trPr>
        <w:tc>
          <w:tcPr>
            <w:tcW w:type="dxa" w:w="1440"/>
          </w:tcPr>
          <w:p>
            <w:pPr>
              <w:keepNext/>
              <w:jc w:val="left"/>
            </w:pPr>
            <w:r/>
            <w:r>
              <w:rPr>
                <w:rFonts w:ascii="Times New Roman" w:hAnsi="Times New Roman"/>
                <w:b w:val="0"/>
                <w:sz w:val="16"/>
              </w:rPr>
              <w:t>Time decay</w:t>
            </w:r>
          </w:p>
        </w:tc>
        <w:tc>
          <w:tcPr>
            <w:tcW w:type="dxa" w:w="1080"/>
          </w:tcPr>
          <w:p>
            <w:pPr>
              <w:keepNext/>
              <w:jc w:val="right"/>
            </w:pPr>
            <w:r/>
            <w:r>
              <w:rPr>
                <w:rFonts w:ascii="Times New Roman" w:hAnsi="Times New Roman"/>
                <w:b w:val="0"/>
                <w:sz w:val="16"/>
              </w:rPr>
              <w:t>4.7</w:t>
            </w:r>
          </w:p>
        </w:tc>
        <w:tc>
          <w:tcPr>
            <w:tcW w:type="dxa" w:w="576"/>
          </w:tcPr>
          <w:p>
            <w:pPr>
              <w:keepNext/>
              <w:jc w:val="right"/>
            </w:pPr>
            <w:r/>
            <w:r>
              <w:rPr>
                <w:rFonts w:ascii="Times New Roman" w:hAnsi="Times New Roman"/>
                <w:b w:val="0"/>
                <w:sz w:val="16"/>
              </w:rPr>
              <w:t>0.66</w:t>
            </w:r>
          </w:p>
        </w:tc>
        <w:tc>
          <w:tcPr>
            <w:tcW w:type="dxa" w:w="1224"/>
          </w:tcPr>
          <w:p>
            <w:pPr>
              <w:keepNext/>
              <w:jc w:val="right"/>
            </w:pPr>
            <w:r/>
            <w:r>
              <w:rPr>
                <w:rFonts w:ascii="Times New Roman" w:hAnsi="Times New Roman"/>
                <w:b w:val="0"/>
                <w:sz w:val="16"/>
              </w:rPr>
              <w:t>5.7</w:t>
            </w:r>
          </w:p>
        </w:tc>
        <w:tc>
          <w:tcPr>
            <w:tcW w:type="dxa" w:w="576"/>
          </w:tcPr>
          <w:p>
            <w:pPr>
              <w:keepNext/>
              <w:jc w:val="right"/>
            </w:pPr>
            <w:r/>
            <w:r>
              <w:rPr>
                <w:rFonts w:ascii="Times New Roman" w:hAnsi="Times New Roman"/>
                <w:b w:val="0"/>
                <w:sz w:val="16"/>
              </w:rPr>
              <w:t>0.50</w:t>
            </w:r>
          </w:p>
        </w:tc>
      </w:tr>
      <w:tr>
        <w:trPr>
          <w:cantSplit/>
        </w:trPr>
        <w:tc>
          <w:tcPr>
            <w:tcW w:type="dxa" w:w="1440"/>
          </w:tcPr>
          <w:p>
            <w:pPr>
              <w:keepNext/>
              <w:jc w:val="left"/>
            </w:pPr>
            <w:r/>
            <w:r>
              <w:rPr>
                <w:rFonts w:ascii="Times New Roman" w:hAnsi="Times New Roman"/>
                <w:b w:val="0"/>
                <w:sz w:val="16"/>
              </w:rPr>
              <w:t>Position based</w:t>
            </w:r>
          </w:p>
        </w:tc>
        <w:tc>
          <w:tcPr>
            <w:tcW w:type="dxa" w:w="1080"/>
          </w:tcPr>
          <w:p>
            <w:pPr>
              <w:keepNext/>
              <w:jc w:val="right"/>
            </w:pPr>
            <w:r/>
            <w:r>
              <w:rPr>
                <w:rFonts w:ascii="Times New Roman" w:hAnsi="Times New Roman"/>
                <w:b w:val="0"/>
                <w:sz w:val="16"/>
              </w:rPr>
              <w:t>5.8</w:t>
            </w:r>
          </w:p>
        </w:tc>
        <w:tc>
          <w:tcPr>
            <w:tcW w:type="dxa" w:w="576"/>
          </w:tcPr>
          <w:p>
            <w:pPr>
              <w:keepNext/>
              <w:jc w:val="right"/>
            </w:pPr>
            <w:r/>
            <w:r>
              <w:rPr>
                <w:rFonts w:ascii="Times New Roman" w:hAnsi="Times New Roman"/>
                <w:b w:val="0"/>
                <w:sz w:val="16"/>
              </w:rPr>
              <w:t>0.67</w:t>
            </w:r>
          </w:p>
        </w:tc>
        <w:tc>
          <w:tcPr>
            <w:tcW w:type="dxa" w:w="1224"/>
          </w:tcPr>
          <w:p>
            <w:pPr>
              <w:keepNext/>
              <w:jc w:val="right"/>
            </w:pPr>
            <w:r/>
            <w:r>
              <w:rPr>
                <w:rFonts w:ascii="Times New Roman" w:hAnsi="Times New Roman"/>
                <w:b w:val="0"/>
                <w:sz w:val="16"/>
              </w:rPr>
              <w:t>6.7</w:t>
            </w:r>
          </w:p>
        </w:tc>
        <w:tc>
          <w:tcPr>
            <w:tcW w:type="dxa" w:w="576"/>
          </w:tcPr>
          <w:p>
            <w:pPr>
              <w:keepNext/>
              <w:jc w:val="right"/>
            </w:pPr>
            <w:r/>
            <w:r>
              <w:rPr>
                <w:rFonts w:ascii="Times New Roman" w:hAnsi="Times New Roman"/>
                <w:b w:val="0"/>
                <w:sz w:val="16"/>
              </w:rPr>
              <w:t>0.56</w:t>
            </w:r>
          </w:p>
        </w:tc>
      </w:tr>
      <w:tr>
        <w:trPr>
          <w:cantSplit/>
        </w:trPr>
        <w:tc>
          <w:tcPr>
            <w:tcW w:type="dxa" w:w="1440"/>
          </w:tcPr>
          <w:p>
            <w:pPr>
              <w:keepNext/>
              <w:jc w:val="left"/>
            </w:pPr>
            <w:r/>
            <w:r>
              <w:rPr>
                <w:rFonts w:ascii="Times New Roman" w:hAnsi="Times New Roman"/>
                <w:b w:val="0"/>
                <w:sz w:val="16"/>
              </w:rPr>
              <w:t>Markov chain</w:t>
            </w:r>
          </w:p>
        </w:tc>
        <w:tc>
          <w:tcPr>
            <w:tcW w:type="dxa" w:w="1080"/>
          </w:tcPr>
          <w:p>
            <w:pPr>
              <w:keepNext/>
              <w:jc w:val="right"/>
            </w:pPr>
            <w:r/>
            <w:r>
              <w:rPr>
                <w:rFonts w:ascii="Times New Roman" w:hAnsi="Times New Roman"/>
                <w:b w:val="0"/>
                <w:sz w:val="16"/>
              </w:rPr>
              <w:t>6.4</w:t>
            </w:r>
          </w:p>
        </w:tc>
        <w:tc>
          <w:tcPr>
            <w:tcW w:type="dxa" w:w="576"/>
          </w:tcPr>
          <w:p>
            <w:pPr>
              <w:keepNext/>
              <w:jc w:val="right"/>
            </w:pPr>
            <w:r/>
            <w:r>
              <w:rPr>
                <w:rFonts w:ascii="Times New Roman" w:hAnsi="Times New Roman"/>
                <w:b w:val="0"/>
                <w:sz w:val="16"/>
              </w:rPr>
              <w:t>0.61</w:t>
            </w:r>
          </w:p>
        </w:tc>
        <w:tc>
          <w:tcPr>
            <w:tcW w:type="dxa" w:w="1224"/>
          </w:tcPr>
          <w:p>
            <w:pPr>
              <w:keepNext/>
              <w:jc w:val="right"/>
            </w:pPr>
            <w:r/>
            <w:r>
              <w:rPr>
                <w:rFonts w:ascii="Times New Roman" w:hAnsi="Times New Roman"/>
                <w:b w:val="0"/>
                <w:sz w:val="16"/>
              </w:rPr>
              <w:t>7.5</w:t>
            </w:r>
          </w:p>
        </w:tc>
        <w:tc>
          <w:tcPr>
            <w:tcW w:type="dxa" w:w="576"/>
          </w:tcPr>
          <w:p>
            <w:pPr>
              <w:keepNext/>
              <w:jc w:val="right"/>
            </w:pPr>
            <w:r/>
            <w:r>
              <w:rPr>
                <w:rFonts w:ascii="Times New Roman" w:hAnsi="Times New Roman"/>
                <w:b w:val="0"/>
                <w:sz w:val="16"/>
              </w:rPr>
              <w:t>0.45</w:t>
            </w:r>
          </w:p>
        </w:tc>
      </w:tr>
      <w:tr>
        <w:trPr>
          <w:cantSplit/>
        </w:trPr>
        <w:tc>
          <w:tcPr>
            <w:tcW w:type="dxa" w:w="1440"/>
          </w:tcPr>
          <w:p>
            <w:pPr>
              <w:keepNext w:val="0"/>
              <w:jc w:val="left"/>
            </w:pPr>
            <w:r/>
            <w:r>
              <w:rPr>
                <w:rFonts w:ascii="Times New Roman" w:hAnsi="Times New Roman"/>
                <w:b w:val="0"/>
                <w:sz w:val="16"/>
              </w:rPr>
              <w:t>Shapley value</w:t>
            </w:r>
          </w:p>
        </w:tc>
        <w:tc>
          <w:tcPr>
            <w:tcW w:type="dxa" w:w="1080"/>
          </w:tcPr>
          <w:p>
            <w:pPr>
              <w:keepNext w:val="0"/>
              <w:jc w:val="right"/>
            </w:pPr>
            <w:r/>
            <w:r>
              <w:rPr>
                <w:rFonts w:ascii="Times New Roman" w:hAnsi="Times New Roman"/>
                <w:b w:val="0"/>
                <w:sz w:val="16"/>
              </w:rPr>
              <w:t>5.5</w:t>
            </w:r>
          </w:p>
        </w:tc>
        <w:tc>
          <w:tcPr>
            <w:tcW w:type="dxa" w:w="576"/>
          </w:tcPr>
          <w:p>
            <w:pPr>
              <w:keepNext w:val="0"/>
              <w:jc w:val="right"/>
            </w:pPr>
            <w:r/>
            <w:r>
              <w:rPr>
                <w:rFonts w:ascii="Times New Roman" w:hAnsi="Times New Roman"/>
                <w:b w:val="0"/>
                <w:sz w:val="16"/>
              </w:rPr>
              <w:t>0.69</w:t>
            </w:r>
          </w:p>
        </w:tc>
        <w:tc>
          <w:tcPr>
            <w:tcW w:type="dxa" w:w="1224"/>
          </w:tcPr>
          <w:p>
            <w:pPr>
              <w:keepNext w:val="0"/>
              <w:jc w:val="right"/>
            </w:pPr>
            <w:r/>
            <w:r>
              <w:rPr>
                <w:rFonts w:ascii="Times New Roman" w:hAnsi="Times New Roman"/>
                <w:b w:val="0"/>
                <w:sz w:val="16"/>
              </w:rPr>
              <w:t>6.1</w:t>
            </w:r>
          </w:p>
        </w:tc>
        <w:tc>
          <w:tcPr>
            <w:tcW w:type="dxa" w:w="576"/>
          </w:tcPr>
          <w:p>
            <w:pPr>
              <w:keepNext w:val="0"/>
              <w:jc w:val="right"/>
            </w:pPr>
            <w:r/>
            <w:r>
              <w:rPr>
                <w:rFonts w:ascii="Times New Roman" w:hAnsi="Times New Roman"/>
                <w:b w:val="0"/>
                <w:sz w:val="16"/>
              </w:rPr>
              <w:t>0.60</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When advertising acts immediately, last touch came closest to the truth (4.2 pp), with time decay close behind (4.7 pp). With carry-over effects, last-touch error rose to 7.3 pp and its rank agreement fell from 0.66 to 0.37, while time decay and linear became the most accurate (5.7 and 5.7 pp; Fig. 4, Table VIII). The highest rank agreement came from Shapley value under immediate effects (0.69) and linear under carry-over (0.60), with the Shapley value close behind in both (0.69 and 0.60). First touch was worst in both. The Markov removal effect was never the most accurate under these data-generating processes, a reminder that data-driven does not automatically mean correct.</w:t>
      </w:r>
    </w:p>
    <w:p>
      <w:pPr>
        <w:spacing w:after="0" w:before="0" w:line="240" w:lineRule="auto"/>
        <w:ind w:firstLine="202"/>
        <w:jc w:val="both"/>
      </w:pPr>
      <w:r>
        <w:rPr>
          <w:rFonts w:ascii="Times New Roman" w:hAnsi="Times New Roman"/>
          <w:b w:val="0"/>
          <w:i w:val="0"/>
          <w:smallCaps w:val="0"/>
          <w:sz w:val="20"/>
        </w:rPr>
        <w:t>The pattern has a simple explanation. Under immediate effects the touch that triggers a purchase is usually the last one, so last touch is nearly right. Under carry-over the decisive touches come earlier and the purchase happens on a later visit, possibly through a weak channel, so any rule that concentrates credit at one end of the journey errs, and rules that spread credit do better.</w:t>
      </w:r>
    </w:p>
    <w:p>
      <w:pPr>
        <w:keepNext/>
        <w:spacing w:before="80"/>
        <w:jc w:val="center"/>
      </w:pPr>
      <w:r>
        <w:drawing>
          <wp:inline xmlns:a="http://schemas.openxmlformats.org/drawingml/2006/main" xmlns:pic="http://schemas.openxmlformats.org/drawingml/2006/picture">
            <wp:extent cx="3200400" cy="2103120"/>
            <wp:docPr id="5" name="Picture 5"/>
            <wp:cNvGraphicFramePr>
              <a:graphicFrameLocks noChangeAspect="1"/>
            </wp:cNvGraphicFramePr>
            <a:graphic>
              <a:graphicData uri="http://schemas.openxmlformats.org/drawingml/2006/picture">
                <pic:pic>
                  <pic:nvPicPr>
                    <pic:cNvPr id="0" name="bootstrap.png"/>
                    <pic:cNvPicPr/>
                  </pic:nvPicPr>
                  <pic:blipFill>
                    <a:blip r:embed="rId13"/>
                    <a:stretch>
                      <a:fillRect/>
                    </a:stretch>
                  </pic:blipFill>
                  <pic:spPr>
                    <a:xfrm>
                      <a:off x="0" y="0"/>
                      <a:ext cx="3200400" cy="210312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5.  Last-touch and Markov credit shares with 95% bootstrap intervals on 4,000 synthetic journeys with designed channel roles.</w:t>
      </w:r>
    </w:p>
    <w:p>
      <w:pPr>
        <w:spacing w:after="0" w:before="0" w:line="240" w:lineRule="auto"/>
        <w:ind w:firstLine="202"/>
        <w:jc w:val="both"/>
      </w:pPr>
      <w:r>
        <w:rPr>
          <w:rFonts w:ascii="Times New Roman" w:hAnsi="Times New Roman"/>
          <w:b w:val="0"/>
          <w:i w:val="0"/>
          <w:smallCaps w:val="0"/>
          <w:sz w:val="20"/>
        </w:rPr>
        <w:t>On the separate synthetic dataset in which Social and Display were designed to start journeys and Email and Paid Search to close them, the data-driven models recovered those roles (Fig. 5): last touch gave Display 6% of the credit against 11% under Markov, and Email 27% against 17%. The bootstrap intervals are narrow (about plus or minus one percentage point), so these differences are not sampling noise.</w:t>
      </w:r>
    </w:p>
    <w:p>
      <w:pPr>
        <w:keepNext/>
        <w:spacing w:after="40" w:before="80" w:line="240" w:lineRule="auto"/>
        <w:jc w:val="left"/>
      </w:pPr>
      <w:r>
        <w:rPr>
          <w:rFonts w:ascii="Times New Roman" w:hAnsi="Times New Roman"/>
          <w:b w:val="0"/>
          <w:i/>
          <w:smallCaps w:val="0"/>
          <w:sz w:val="20"/>
        </w:rPr>
        <w:t>D. Session Behaviour Associated With Purchase (RQ2, RQ4)</w:t>
      </w:r>
    </w:p>
    <w:p>
      <w:pPr>
        <w:spacing w:after="0" w:before="0" w:line="240" w:lineRule="auto"/>
        <w:ind w:firstLine="202"/>
        <w:jc w:val="both"/>
      </w:pPr>
      <w:r>
        <w:rPr>
          <w:rFonts w:ascii="Times New Roman" w:hAnsi="Times New Roman"/>
          <w:b w:val="0"/>
          <w:i w:val="0"/>
          <w:smallCaps w:val="0"/>
          <w:sz w:val="20"/>
        </w:rPr>
        <w:t>The overall conversion rate was 15.6%. New visitors converted at 24.9% against 14.1% for returning visitors, who made up 85% of sessions (chi-square p &lt; 0.001). Conversion peaked in Nov (25.5%) and was lowest in Feb (1.7%; Fig. 6). Weekend sessions converted at 17.5% against 15.1% on weekdays (chi-square p = 0.002), a small but significant difference.</w:t>
      </w:r>
    </w:p>
    <w:p>
      <w:pPr>
        <w:keepNext/>
        <w:spacing w:before="80"/>
        <w:jc w:val="center"/>
      </w:pPr>
      <w:r>
        <w:drawing>
          <wp:inline xmlns:a="http://schemas.openxmlformats.org/drawingml/2006/main" xmlns:pic="http://schemas.openxmlformats.org/drawingml/2006/picture">
            <wp:extent cx="3200400" cy="1737360"/>
            <wp:docPr id="6" name="Picture 6"/>
            <wp:cNvGraphicFramePr>
              <a:graphicFrameLocks noChangeAspect="1"/>
            </wp:cNvGraphicFramePr>
            <a:graphic>
              <a:graphicData uri="http://schemas.openxmlformats.org/drawingml/2006/picture">
                <pic:pic>
                  <pic:nvPicPr>
                    <pic:cNvPr id="0" name="month.png"/>
                    <pic:cNvPicPr/>
                  </pic:nvPicPr>
                  <pic:blipFill>
                    <a:blip r:embed="rId14"/>
                    <a:stretch>
                      <a:fillRect/>
                    </a:stretch>
                  </pic:blipFill>
                  <pic:spPr>
                    <a:xfrm>
                      <a:off x="0" y="0"/>
                      <a:ext cx="3200400" cy="173736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6.  Conversion rate by month in the UCI Online Shoppers data (January and April are absent).</w:t>
      </w:r>
    </w:p>
    <w:p>
      <w:pPr>
        <w:keepNext/>
        <w:spacing w:after="0" w:before="120" w:line="240" w:lineRule="auto"/>
        <w:jc w:val="center"/>
      </w:pPr>
      <w:r>
        <w:rPr>
          <w:rFonts w:ascii="Times New Roman" w:hAnsi="Times New Roman"/>
          <w:b w:val="0"/>
          <w:i w:val="0"/>
          <w:smallCaps/>
          <w:sz w:val="16"/>
        </w:rPr>
        <w:t>Table IX</w:t>
      </w:r>
    </w:p>
    <w:p>
      <w:pPr>
        <w:keepNext/>
        <w:spacing w:after="60" w:before="0" w:line="240" w:lineRule="auto"/>
        <w:jc w:val="center"/>
      </w:pPr>
      <w:r>
        <w:rPr>
          <w:rFonts w:ascii="Times New Roman" w:hAnsi="Times New Roman"/>
          <w:b w:val="0"/>
          <w:i w:val="0"/>
          <w:smallCaps/>
          <w:sz w:val="16"/>
        </w:rPr>
        <w:t>Session Behaviour of Buyers and Non-Buyers (Means; Mann-Whitney U)</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2610"/>
        <w:gridCol w:w="2610"/>
        <w:gridCol w:w="2610"/>
        <w:gridCol w:w="2610"/>
      </w:tblGrid>
      <w:tr>
        <w:trPr>
          <w:cantSplit/>
          <w:tblHeader/>
        </w:trPr>
        <w:tc>
          <w:tcPr>
            <w:tcW w:type="dxa" w:w="2088"/>
          </w:tcPr>
          <w:p>
            <w:pPr>
              <w:keepNext/>
              <w:jc w:val="left"/>
            </w:pPr>
            <w:r/>
            <w:r>
              <w:rPr>
                <w:rFonts w:ascii="Times New Roman" w:hAnsi="Times New Roman"/>
                <w:b/>
                <w:sz w:val="16"/>
              </w:rPr>
              <w:t>Measure</w:t>
            </w:r>
          </w:p>
        </w:tc>
        <w:tc>
          <w:tcPr>
            <w:tcW w:type="dxa" w:w="936"/>
          </w:tcPr>
          <w:p>
            <w:pPr>
              <w:keepNext/>
              <w:jc w:val="right"/>
            </w:pPr>
            <w:r/>
            <w:r>
              <w:rPr>
                <w:rFonts w:ascii="Times New Roman" w:hAnsi="Times New Roman"/>
                <w:b/>
                <w:sz w:val="16"/>
              </w:rPr>
              <w:t>Buyers</w:t>
            </w:r>
          </w:p>
        </w:tc>
        <w:tc>
          <w:tcPr>
            <w:tcW w:type="dxa" w:w="1008"/>
          </w:tcPr>
          <w:p>
            <w:pPr>
              <w:keepNext/>
              <w:jc w:val="right"/>
            </w:pPr>
            <w:r/>
            <w:r>
              <w:rPr>
                <w:rFonts w:ascii="Times New Roman" w:hAnsi="Times New Roman"/>
                <w:b/>
                <w:sz w:val="16"/>
              </w:rPr>
              <w:t>Non-buyers</w:t>
            </w:r>
          </w:p>
        </w:tc>
        <w:tc>
          <w:tcPr>
            <w:tcW w:type="dxa" w:w="936"/>
          </w:tcPr>
          <w:p>
            <w:pPr>
              <w:keepNext/>
              <w:jc w:val="right"/>
            </w:pPr>
            <w:r/>
            <w:r>
              <w:rPr>
                <w:rFonts w:ascii="Times New Roman" w:hAnsi="Times New Roman"/>
                <w:b/>
                <w:sz w:val="16"/>
              </w:rPr>
              <w:t>p</w:t>
            </w:r>
          </w:p>
        </w:tc>
      </w:tr>
      <w:tr>
        <w:trPr>
          <w:cantSplit/>
        </w:trPr>
        <w:tc>
          <w:tcPr>
            <w:tcW w:type="dxa" w:w="2088"/>
          </w:tcPr>
          <w:p>
            <w:pPr>
              <w:keepNext/>
              <w:jc w:val="left"/>
            </w:pPr>
            <w:r/>
            <w:r>
              <w:rPr>
                <w:rFonts w:ascii="Times New Roman" w:hAnsi="Times New Roman"/>
                <w:b w:val="0"/>
                <w:sz w:val="16"/>
              </w:rPr>
              <w:t>Product pages viewed</w:t>
            </w:r>
          </w:p>
        </w:tc>
        <w:tc>
          <w:tcPr>
            <w:tcW w:type="dxa" w:w="936"/>
          </w:tcPr>
          <w:p>
            <w:pPr>
              <w:keepNext/>
              <w:jc w:val="right"/>
            </w:pPr>
            <w:r/>
            <w:r>
              <w:rPr>
                <w:rFonts w:ascii="Times New Roman" w:hAnsi="Times New Roman"/>
                <w:b w:val="0"/>
                <w:sz w:val="16"/>
              </w:rPr>
              <w:t>48.2</w:t>
            </w:r>
          </w:p>
        </w:tc>
        <w:tc>
          <w:tcPr>
            <w:tcW w:type="dxa" w:w="1008"/>
          </w:tcPr>
          <w:p>
            <w:pPr>
              <w:keepNext/>
              <w:jc w:val="right"/>
            </w:pPr>
            <w:r/>
            <w:r>
              <w:rPr>
                <w:rFonts w:ascii="Times New Roman" w:hAnsi="Times New Roman"/>
                <w:b w:val="0"/>
                <w:sz w:val="16"/>
              </w:rPr>
              <w:t>29.1</w:t>
            </w:r>
          </w:p>
        </w:tc>
        <w:tc>
          <w:tcPr>
            <w:tcW w:type="dxa" w:w="936"/>
          </w:tcPr>
          <w:p>
            <w:pPr>
              <w:keepNext/>
              <w:jc w:val="right"/>
            </w:pPr>
            <w:r/>
            <w:r>
              <w:rPr>
                <w:rFonts w:ascii="Times New Roman" w:hAnsi="Times New Roman"/>
                <w:b w:val="0"/>
                <w:sz w:val="16"/>
              </w:rPr>
              <w:t>3.7e-102</w:t>
            </w:r>
          </w:p>
        </w:tc>
      </w:tr>
      <w:tr>
        <w:trPr>
          <w:cantSplit/>
        </w:trPr>
        <w:tc>
          <w:tcPr>
            <w:tcW w:type="dxa" w:w="2088"/>
          </w:tcPr>
          <w:p>
            <w:pPr>
              <w:keepNext/>
              <w:jc w:val="left"/>
            </w:pPr>
            <w:r/>
            <w:r>
              <w:rPr>
                <w:rFonts w:ascii="Times New Roman" w:hAnsi="Times New Roman"/>
                <w:b w:val="0"/>
                <w:sz w:val="16"/>
              </w:rPr>
              <w:t>Time on product pages</w:t>
            </w:r>
          </w:p>
        </w:tc>
        <w:tc>
          <w:tcPr>
            <w:tcW w:type="dxa" w:w="936"/>
          </w:tcPr>
          <w:p>
            <w:pPr>
              <w:keepNext/>
              <w:jc w:val="right"/>
            </w:pPr>
            <w:r/>
            <w:r>
              <w:rPr>
                <w:rFonts w:ascii="Times New Roman" w:hAnsi="Times New Roman"/>
                <w:b w:val="0"/>
                <w:sz w:val="16"/>
              </w:rPr>
              <w:t>31.3 min</w:t>
            </w:r>
          </w:p>
        </w:tc>
        <w:tc>
          <w:tcPr>
            <w:tcW w:type="dxa" w:w="1008"/>
          </w:tcPr>
          <w:p>
            <w:pPr>
              <w:keepNext/>
              <w:jc w:val="right"/>
            </w:pPr>
            <w:r/>
            <w:r>
              <w:rPr>
                <w:rFonts w:ascii="Times New Roman" w:hAnsi="Times New Roman"/>
                <w:b w:val="0"/>
                <w:sz w:val="16"/>
              </w:rPr>
              <w:t>18.0 min</w:t>
            </w:r>
          </w:p>
        </w:tc>
        <w:tc>
          <w:tcPr>
            <w:tcW w:type="dxa" w:w="936"/>
          </w:tcPr>
          <w:p>
            <w:pPr>
              <w:keepNext/>
              <w:jc w:val="right"/>
            </w:pPr>
            <w:r/>
            <w:r>
              <w:rPr>
                <w:rFonts w:ascii="Times New Roman" w:hAnsi="Times New Roman"/>
                <w:b w:val="0"/>
                <w:sz w:val="16"/>
              </w:rPr>
              <w:t>4.2e-122</w:t>
            </w:r>
          </w:p>
        </w:tc>
      </w:tr>
      <w:tr>
        <w:trPr>
          <w:cantSplit/>
        </w:trPr>
        <w:tc>
          <w:tcPr>
            <w:tcW w:type="dxa" w:w="2088"/>
          </w:tcPr>
          <w:p>
            <w:pPr>
              <w:keepNext/>
              <w:jc w:val="left"/>
            </w:pPr>
            <w:r/>
            <w:r>
              <w:rPr>
                <w:rFonts w:ascii="Times New Roman" w:hAnsi="Times New Roman"/>
                <w:b w:val="0"/>
                <w:sz w:val="16"/>
              </w:rPr>
              <w:t>Account/admin pages viewed</w:t>
            </w:r>
          </w:p>
        </w:tc>
        <w:tc>
          <w:tcPr>
            <w:tcW w:type="dxa" w:w="936"/>
          </w:tcPr>
          <w:p>
            <w:pPr>
              <w:keepNext/>
              <w:jc w:val="right"/>
            </w:pPr>
            <w:r/>
            <w:r>
              <w:rPr>
                <w:rFonts w:ascii="Times New Roman" w:hAnsi="Times New Roman"/>
                <w:b w:val="0"/>
                <w:sz w:val="16"/>
              </w:rPr>
              <w:t>3.4</w:t>
            </w:r>
          </w:p>
        </w:tc>
        <w:tc>
          <w:tcPr>
            <w:tcW w:type="dxa" w:w="1008"/>
          </w:tcPr>
          <w:p>
            <w:pPr>
              <w:keepNext/>
              <w:jc w:val="right"/>
            </w:pPr>
            <w:r/>
            <w:r>
              <w:rPr>
                <w:rFonts w:ascii="Times New Roman" w:hAnsi="Times New Roman"/>
                <w:b w:val="0"/>
                <w:sz w:val="16"/>
              </w:rPr>
              <w:t>2.1</w:t>
            </w:r>
          </w:p>
        </w:tc>
        <w:tc>
          <w:tcPr>
            <w:tcW w:type="dxa" w:w="936"/>
          </w:tcPr>
          <w:p>
            <w:pPr>
              <w:keepNext/>
              <w:jc w:val="right"/>
            </w:pPr>
            <w:r/>
            <w:r>
              <w:rPr>
                <w:rFonts w:ascii="Times New Roman" w:hAnsi="Times New Roman"/>
                <w:b w:val="0"/>
                <w:sz w:val="16"/>
              </w:rPr>
              <w:t>8.9e-74</w:t>
            </w:r>
          </w:p>
        </w:tc>
      </w:tr>
      <w:tr>
        <w:trPr>
          <w:cantSplit/>
        </w:trPr>
        <w:tc>
          <w:tcPr>
            <w:tcW w:type="dxa" w:w="2088"/>
          </w:tcPr>
          <w:p>
            <w:pPr>
              <w:keepNext/>
              <w:jc w:val="left"/>
            </w:pPr>
            <w:r/>
            <w:r>
              <w:rPr>
                <w:rFonts w:ascii="Times New Roman" w:hAnsi="Times New Roman"/>
                <w:b w:val="0"/>
                <w:sz w:val="16"/>
              </w:rPr>
              <w:t>Bounce rate</w:t>
            </w:r>
          </w:p>
        </w:tc>
        <w:tc>
          <w:tcPr>
            <w:tcW w:type="dxa" w:w="936"/>
          </w:tcPr>
          <w:p>
            <w:pPr>
              <w:keepNext/>
              <w:jc w:val="right"/>
            </w:pPr>
            <w:r/>
            <w:r>
              <w:rPr>
                <w:rFonts w:ascii="Times New Roman" w:hAnsi="Times New Roman"/>
                <w:b w:val="0"/>
                <w:sz w:val="16"/>
              </w:rPr>
              <w:t>0.005</w:t>
            </w:r>
          </w:p>
        </w:tc>
        <w:tc>
          <w:tcPr>
            <w:tcW w:type="dxa" w:w="1008"/>
          </w:tcPr>
          <w:p>
            <w:pPr>
              <w:keepNext/>
              <w:jc w:val="right"/>
            </w:pPr>
            <w:r/>
            <w:r>
              <w:rPr>
                <w:rFonts w:ascii="Times New Roman" w:hAnsi="Times New Roman"/>
                <w:b w:val="0"/>
                <w:sz w:val="16"/>
              </w:rPr>
              <w:t>0.023</w:t>
            </w:r>
          </w:p>
        </w:tc>
        <w:tc>
          <w:tcPr>
            <w:tcW w:type="dxa" w:w="936"/>
          </w:tcPr>
          <w:p>
            <w:pPr>
              <w:keepNext/>
              <w:jc w:val="right"/>
            </w:pPr>
            <w:r/>
            <w:r>
              <w:rPr>
                <w:rFonts w:ascii="Times New Roman" w:hAnsi="Times New Roman"/>
                <w:b w:val="0"/>
                <w:sz w:val="16"/>
              </w:rPr>
              <w:t>1.1e-56</w:t>
            </w:r>
          </w:p>
        </w:tc>
      </w:tr>
      <w:tr>
        <w:trPr>
          <w:cantSplit/>
        </w:trPr>
        <w:tc>
          <w:tcPr>
            <w:tcW w:type="dxa" w:w="2088"/>
          </w:tcPr>
          <w:p>
            <w:pPr>
              <w:keepNext/>
              <w:jc w:val="left"/>
            </w:pPr>
            <w:r/>
            <w:r>
              <w:rPr>
                <w:rFonts w:ascii="Times New Roman" w:hAnsi="Times New Roman"/>
                <w:b w:val="0"/>
                <w:sz w:val="16"/>
              </w:rPr>
              <w:t>Exit rate</w:t>
            </w:r>
          </w:p>
        </w:tc>
        <w:tc>
          <w:tcPr>
            <w:tcW w:type="dxa" w:w="936"/>
          </w:tcPr>
          <w:p>
            <w:pPr>
              <w:keepNext/>
              <w:jc w:val="right"/>
            </w:pPr>
            <w:r/>
            <w:r>
              <w:rPr>
                <w:rFonts w:ascii="Times New Roman" w:hAnsi="Times New Roman"/>
                <w:b w:val="0"/>
                <w:sz w:val="16"/>
              </w:rPr>
              <w:t>0.020</w:t>
            </w:r>
          </w:p>
        </w:tc>
        <w:tc>
          <w:tcPr>
            <w:tcW w:type="dxa" w:w="1008"/>
          </w:tcPr>
          <w:p>
            <w:pPr>
              <w:keepNext/>
              <w:jc w:val="right"/>
            </w:pPr>
            <w:r/>
            <w:r>
              <w:rPr>
                <w:rFonts w:ascii="Times New Roman" w:hAnsi="Times New Roman"/>
                <w:b w:val="0"/>
                <w:sz w:val="16"/>
              </w:rPr>
              <w:t>0.046</w:t>
            </w:r>
          </w:p>
        </w:tc>
        <w:tc>
          <w:tcPr>
            <w:tcW w:type="dxa" w:w="936"/>
          </w:tcPr>
          <w:p>
            <w:pPr>
              <w:keepNext/>
              <w:jc w:val="right"/>
            </w:pPr>
            <w:r/>
            <w:r>
              <w:rPr>
                <w:rFonts w:ascii="Times New Roman" w:hAnsi="Times New Roman"/>
                <w:b w:val="0"/>
                <w:sz w:val="16"/>
              </w:rPr>
              <w:t>3.0e-169</w:t>
            </w:r>
          </w:p>
        </w:tc>
      </w:tr>
      <w:tr>
        <w:trPr>
          <w:cantSplit/>
        </w:trPr>
        <w:tc>
          <w:tcPr>
            <w:tcW w:type="dxa" w:w="2088"/>
          </w:tcPr>
          <w:p>
            <w:pPr>
              <w:keepNext w:val="0"/>
              <w:jc w:val="left"/>
            </w:pPr>
            <w:r/>
            <w:r>
              <w:rPr>
                <w:rFonts w:ascii="Times New Roman" w:hAnsi="Times New Roman"/>
                <w:b w:val="0"/>
                <w:sz w:val="16"/>
              </w:rPr>
              <w:t>Page value</w:t>
            </w:r>
          </w:p>
        </w:tc>
        <w:tc>
          <w:tcPr>
            <w:tcW w:type="dxa" w:w="936"/>
          </w:tcPr>
          <w:p>
            <w:pPr>
              <w:keepNext w:val="0"/>
              <w:jc w:val="right"/>
            </w:pPr>
            <w:r/>
            <w:r>
              <w:rPr>
                <w:rFonts w:ascii="Times New Roman" w:hAnsi="Times New Roman"/>
                <w:b w:val="0"/>
                <w:sz w:val="16"/>
              </w:rPr>
              <w:t>27.3</w:t>
            </w:r>
          </w:p>
        </w:tc>
        <w:tc>
          <w:tcPr>
            <w:tcW w:type="dxa" w:w="1008"/>
          </w:tcPr>
          <w:p>
            <w:pPr>
              <w:keepNext w:val="0"/>
              <w:jc w:val="right"/>
            </w:pPr>
            <w:r/>
            <w:r>
              <w:rPr>
                <w:rFonts w:ascii="Times New Roman" w:hAnsi="Times New Roman"/>
                <w:b w:val="0"/>
                <w:sz w:val="16"/>
              </w:rPr>
              <w:t>2.0</w:t>
            </w:r>
          </w:p>
        </w:tc>
        <w:tc>
          <w:tcPr>
            <w:tcW w:type="dxa" w:w="936"/>
          </w:tcPr>
          <w:p>
            <w:pPr>
              <w:keepNext w:val="0"/>
              <w:jc w:val="right"/>
            </w:pPr>
            <w:r/>
            <w:r>
              <w:rPr>
                <w:rFonts w:ascii="Times New Roman" w:hAnsi="Times New Roman"/>
                <w:b w:val="0"/>
                <w:sz w:val="16"/>
              </w:rPr>
              <w:t>&lt; 1e-300</w:t>
            </w:r>
          </w:p>
        </w:tc>
      </w:tr>
    </w:tbl>
    <w:p>
      <w:pPr>
        <w:spacing w:after="80" w:before="0" w:line="240" w:lineRule="auto"/>
        <w:ind w:firstLine="202"/>
        <w:jc w:val="both"/>
      </w:pPr>
    </w:p>
    <w:p>
      <w:pPr>
        <w:keepNext/>
        <w:spacing w:after="0" w:before="120" w:line="240" w:lineRule="auto"/>
        <w:jc w:val="center"/>
      </w:pPr>
      <w:r>
        <w:rPr>
          <w:rFonts w:ascii="Times New Roman" w:hAnsi="Times New Roman"/>
          <w:b w:val="0"/>
          <w:i w:val="0"/>
          <w:smallCaps/>
          <w:sz w:val="16"/>
        </w:rPr>
        <w:t>Table X</w:t>
      </w:r>
    </w:p>
    <w:p>
      <w:pPr>
        <w:keepNext/>
        <w:spacing w:after="60" w:before="0" w:line="240" w:lineRule="auto"/>
        <w:jc w:val="center"/>
      </w:pPr>
      <w:r>
        <w:rPr>
          <w:rFonts w:ascii="Times New Roman" w:hAnsi="Times New Roman"/>
          <w:b w:val="0"/>
          <w:i w:val="0"/>
          <w:smallCaps/>
          <w:sz w:val="16"/>
        </w:rPr>
        <w:t>Purchase Prediction (ROC-AUC on Held-Out 25%)</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3480"/>
        <w:gridCol w:w="3480"/>
        <w:gridCol w:w="3480"/>
      </w:tblGrid>
      <w:tr>
        <w:trPr>
          <w:cantSplit/>
          <w:tblHeader/>
        </w:trPr>
        <w:tc>
          <w:tcPr>
            <w:tcW w:type="dxa" w:w="2016"/>
          </w:tcPr>
          <w:p>
            <w:pPr>
              <w:keepNext/>
              <w:jc w:val="left"/>
            </w:pPr>
            <w:r/>
            <w:r>
              <w:rPr>
                <w:rFonts w:ascii="Times New Roman" w:hAnsi="Times New Roman"/>
                <w:b/>
                <w:sz w:val="16"/>
              </w:rPr>
              <w:t>Model</w:t>
            </w:r>
          </w:p>
        </w:tc>
        <w:tc>
          <w:tcPr>
            <w:tcW w:type="dxa" w:w="1440"/>
          </w:tcPr>
          <w:p>
            <w:pPr>
              <w:keepNext/>
              <w:jc w:val="right"/>
            </w:pPr>
            <w:r/>
            <w:r>
              <w:rPr>
                <w:rFonts w:ascii="Times New Roman" w:hAnsi="Times New Roman"/>
                <w:b/>
                <w:sz w:val="16"/>
              </w:rPr>
              <w:t>With PageValues</w:t>
            </w:r>
          </w:p>
        </w:tc>
        <w:tc>
          <w:tcPr>
            <w:tcW w:type="dxa" w:w="1512"/>
          </w:tcPr>
          <w:p>
            <w:pPr>
              <w:keepNext/>
              <w:jc w:val="right"/>
            </w:pPr>
            <w:r/>
            <w:r>
              <w:rPr>
                <w:rFonts w:ascii="Times New Roman" w:hAnsi="Times New Roman"/>
                <w:b/>
                <w:sz w:val="16"/>
              </w:rPr>
              <w:t>Without PageValues</w:t>
            </w:r>
          </w:p>
        </w:tc>
      </w:tr>
      <w:tr>
        <w:trPr>
          <w:cantSplit/>
        </w:trPr>
        <w:tc>
          <w:tcPr>
            <w:tcW w:type="dxa" w:w="2016"/>
          </w:tcPr>
          <w:p>
            <w:pPr>
              <w:keepNext/>
              <w:jc w:val="left"/>
            </w:pPr>
            <w:r/>
            <w:r>
              <w:rPr>
                <w:rFonts w:ascii="Times New Roman" w:hAnsi="Times New Roman"/>
                <w:b w:val="0"/>
                <w:sz w:val="16"/>
              </w:rPr>
              <w:t>Logistic regression</w:t>
            </w:r>
          </w:p>
        </w:tc>
        <w:tc>
          <w:tcPr>
            <w:tcW w:type="dxa" w:w="1440"/>
          </w:tcPr>
          <w:p>
            <w:pPr>
              <w:keepNext/>
              <w:jc w:val="right"/>
            </w:pPr>
            <w:r/>
            <w:r>
              <w:rPr>
                <w:rFonts w:ascii="Times New Roman" w:hAnsi="Times New Roman"/>
                <w:b w:val="0"/>
                <w:sz w:val="16"/>
              </w:rPr>
              <w:t>0.906</w:t>
            </w:r>
          </w:p>
        </w:tc>
        <w:tc>
          <w:tcPr>
            <w:tcW w:type="dxa" w:w="1512"/>
          </w:tcPr>
          <w:p>
            <w:pPr>
              <w:keepNext/>
              <w:jc w:val="right"/>
            </w:pPr>
            <w:r/>
            <w:r>
              <w:rPr>
                <w:rFonts w:ascii="Times New Roman" w:hAnsi="Times New Roman"/>
                <w:b w:val="0"/>
                <w:sz w:val="16"/>
              </w:rPr>
              <w:t>0.742</w:t>
            </w:r>
          </w:p>
        </w:tc>
      </w:tr>
      <w:tr>
        <w:trPr>
          <w:cantSplit/>
        </w:trPr>
        <w:tc>
          <w:tcPr>
            <w:tcW w:type="dxa" w:w="2016"/>
          </w:tcPr>
          <w:p>
            <w:pPr>
              <w:keepNext/>
              <w:jc w:val="left"/>
            </w:pPr>
            <w:r/>
            <w:r>
              <w:rPr>
                <w:rFonts w:ascii="Times New Roman" w:hAnsi="Times New Roman"/>
                <w:b w:val="0"/>
                <w:sz w:val="16"/>
              </w:rPr>
              <w:t>Random forest</w:t>
            </w:r>
          </w:p>
        </w:tc>
        <w:tc>
          <w:tcPr>
            <w:tcW w:type="dxa" w:w="1440"/>
          </w:tcPr>
          <w:p>
            <w:pPr>
              <w:keepNext/>
              <w:jc w:val="right"/>
            </w:pPr>
            <w:r/>
            <w:r>
              <w:rPr>
                <w:rFonts w:ascii="Times New Roman" w:hAnsi="Times New Roman"/>
                <w:b w:val="0"/>
                <w:sz w:val="16"/>
              </w:rPr>
              <w:t>0.932</w:t>
            </w:r>
          </w:p>
        </w:tc>
        <w:tc>
          <w:tcPr>
            <w:tcW w:type="dxa" w:w="1512"/>
          </w:tcPr>
          <w:p>
            <w:pPr>
              <w:keepNext/>
              <w:jc w:val="right"/>
            </w:pPr>
            <w:r/>
            <w:r>
              <w:rPr>
                <w:rFonts w:ascii="Times New Roman" w:hAnsi="Times New Roman"/>
                <w:b w:val="0"/>
                <w:sz w:val="16"/>
              </w:rPr>
              <w:t>0.775</w:t>
            </w:r>
          </w:p>
        </w:tc>
      </w:tr>
      <w:tr>
        <w:trPr>
          <w:cantSplit/>
        </w:trPr>
        <w:tc>
          <w:tcPr>
            <w:tcW w:type="dxa" w:w="2016"/>
          </w:tcPr>
          <w:p>
            <w:pPr>
              <w:keepNext w:val="0"/>
              <w:jc w:val="left"/>
            </w:pPr>
            <w:r/>
            <w:r>
              <w:rPr>
                <w:rFonts w:ascii="Times New Roman" w:hAnsi="Times New Roman"/>
                <w:b w:val="0"/>
                <w:sz w:val="16"/>
              </w:rPr>
              <w:t>Gradient boosting</w:t>
            </w:r>
          </w:p>
        </w:tc>
        <w:tc>
          <w:tcPr>
            <w:tcW w:type="dxa" w:w="1440"/>
          </w:tcPr>
          <w:p>
            <w:pPr>
              <w:keepNext w:val="0"/>
              <w:jc w:val="right"/>
            </w:pPr>
            <w:r/>
            <w:r>
              <w:rPr>
                <w:rFonts w:ascii="Times New Roman" w:hAnsi="Times New Roman"/>
                <w:b w:val="0"/>
                <w:sz w:val="16"/>
              </w:rPr>
              <w:t>0.924</w:t>
            </w:r>
          </w:p>
        </w:tc>
        <w:tc>
          <w:tcPr>
            <w:tcW w:type="dxa" w:w="1512"/>
          </w:tcPr>
          <w:p>
            <w:pPr>
              <w:keepNext w:val="0"/>
              <w:jc w:val="right"/>
            </w:pPr>
            <w:r/>
            <w:r>
              <w:rPr>
                <w:rFonts w:ascii="Times New Roman" w:hAnsi="Times New Roman"/>
                <w:b w:val="0"/>
                <w:sz w:val="16"/>
              </w:rPr>
              <w:t>0.758</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All ten behavioural measures differed significantly. Buyers viewed a median of 29 product pages against 16 and bounced and exited far less (Table IX). With PageValues the best model reached ROC-AUC 0.932; without it, 0.775, which is the honest estimate of what early-session behaviour reveals (Table X). The strongest signals without PageValues, by permutation importance (drop in AUC), were time on product pages (0.047); exit rate (0.037); a November visit (0.032); product pages viewed (0.012); account/admin pages viewed (0.010). Time spent on product pages carries more information than the number of pages viewed.</w:t>
      </w:r>
    </w:p>
    <w:p>
      <w:pPr>
        <w:keepNext/>
        <w:spacing w:after="40" w:before="80" w:line="240" w:lineRule="auto"/>
        <w:jc w:val="left"/>
      </w:pPr>
      <w:r>
        <w:rPr>
          <w:rFonts w:ascii="Times New Roman" w:hAnsi="Times New Roman"/>
          <w:b w:val="0"/>
          <w:i/>
          <w:smallCaps w:val="0"/>
          <w:sz w:val="20"/>
        </w:rPr>
        <w:t>E. Tool Validation on Real Advertising Data (RQ5)</w:t>
      </w:r>
    </w:p>
    <w:p>
      <w:pPr>
        <w:spacing w:after="0" w:before="0" w:line="240" w:lineRule="auto"/>
        <w:ind w:firstLine="202"/>
        <w:jc w:val="both"/>
      </w:pPr>
      <w:r>
        <w:rPr>
          <w:rFonts w:ascii="Times New Roman" w:hAnsi="Times New Roman"/>
          <w:b w:val="0"/>
          <w:i w:val="0"/>
          <w:smallCaps w:val="0"/>
          <w:sz w:val="20"/>
        </w:rPr>
        <w:t>ChannelTrace was run on the real Facebook Ad Campaign data. It recognised the export format automatically and reproduced the campaign totals computed independently in Python to the cent (spend 58,705.23; cost per acquisition 54.41). It found that 10.0% of spend went to ad sets with no approved conversions, that the 30-34 age group had the lowest cost per acquisition (30.88 against 99.76 for ages 45-49), and that men converted more cheaply than women (41.44 against 69.70). The browser implementation of all seven attribution models matched the Python reference exactly on the synthetic journeys.</w:t>
      </w:r>
    </w:p>
    <w:p>
      <w:pPr>
        <w:keepNext/>
        <w:spacing w:after="60" w:before="160" w:line="240" w:lineRule="auto"/>
        <w:jc w:val="center"/>
      </w:pPr>
      <w:r>
        <w:rPr>
          <w:rFonts w:ascii="Times New Roman" w:hAnsi="Times New Roman"/>
          <w:b w:val="0"/>
          <w:i w:val="0"/>
          <w:smallCaps/>
          <w:sz w:val="20"/>
        </w:rPr>
        <w:t>VII. Discussion</w:t>
      </w:r>
    </w:p>
    <w:p>
      <w:pPr>
        <w:keepNext/>
        <w:spacing w:after="40" w:before="80" w:line="240" w:lineRule="auto"/>
        <w:jc w:val="left"/>
      </w:pPr>
      <w:r>
        <w:rPr>
          <w:rFonts w:ascii="Times New Roman" w:hAnsi="Times New Roman"/>
          <w:b w:val="0"/>
          <w:i/>
          <w:smallCaps w:val="0"/>
          <w:sz w:val="20"/>
        </w:rPr>
        <w:t>A. Implications for Practitioners</w:t>
      </w:r>
    </w:p>
    <w:p>
      <w:pPr>
        <w:spacing w:after="0" w:before="0" w:line="240" w:lineRule="auto"/>
        <w:ind w:firstLine="202"/>
        <w:jc w:val="both"/>
      </w:pPr>
      <w:r>
        <w:rPr>
          <w:rFonts w:ascii="Times New Roman" w:hAnsi="Times New Roman"/>
          <w:b w:val="0"/>
          <w:i w:val="0"/>
          <w:smallCaps w:val="0"/>
          <w:sz w:val="20"/>
        </w:rPr>
        <w:t>The Criteo results show concretely why platforms disagree about who made a sale. A display network whose clicks precede every one of these conversions is credited for barely half of them, and its share depends mainly on how long the customer waited before buying. A business that reads last-click reports at face value will therefore undervalue channels whose influence is delayed, such as awareness advertising, and overvalue whichever channel happens to be last, consistent with the incentive problems described by Berman [4] and the search spill-overs found by Kireyev et al. [13].</w:t>
      </w:r>
    </w:p>
    <w:p>
      <w:pPr>
        <w:spacing w:after="0" w:before="0" w:line="240" w:lineRule="auto"/>
        <w:ind w:firstLine="202"/>
        <w:jc w:val="both"/>
      </w:pPr>
      <w:r>
        <w:rPr>
          <w:rFonts w:ascii="Times New Roman" w:hAnsi="Times New Roman"/>
          <w:b w:val="0"/>
          <w:i w:val="0"/>
          <w:smallCaps w:val="0"/>
          <w:sz w:val="20"/>
        </w:rPr>
        <w:t>The simulation explains why the remedy is not simply to switch to a single data-driven model. Model accuracy depended on how advertising works: last touch was competitive when effects were immediate but degraded sharply with carry-over, while linear, time decay and the Shapley value were more robust. Since a business rarely knows its true mechanism, comparing several models, and treating channels whose credit swings strongly between them as uncertain, is the safer practice. ChannelTrace is built around that comparison.</w:t>
      </w:r>
    </w:p>
    <w:p>
      <w:pPr>
        <w:spacing w:after="0" w:before="0" w:line="240" w:lineRule="auto"/>
        <w:ind w:firstLine="202"/>
        <w:jc w:val="both"/>
      </w:pPr>
      <w:r>
        <w:rPr>
          <w:rFonts w:ascii="Times New Roman" w:hAnsi="Times New Roman"/>
          <w:b w:val="0"/>
          <w:i w:val="0"/>
          <w:smallCaps w:val="0"/>
          <w:sz w:val="20"/>
        </w:rPr>
        <w:t>The GA360 journeys add a practical nuance. For most of this store's customers the attribution model hardly matters, because they return through the same channel; it matters a great deal for the minority who move between channels, typically arriving directly or through search and buying later through a referral link. A business can check this cheaply: if few of its converting journeys mix channels, last-click reports are roughly adequate; if many do, the models must be compared before budgets are moved.</w:t>
      </w:r>
    </w:p>
    <w:p>
      <w:pPr>
        <w:spacing w:after="0" w:before="0" w:line="240" w:lineRule="auto"/>
        <w:ind w:firstLine="202"/>
        <w:jc w:val="both"/>
      </w:pPr>
      <w:r>
        <w:rPr>
          <w:rFonts w:ascii="Times New Roman" w:hAnsi="Times New Roman"/>
          <w:b w:val="0"/>
          <w:i w:val="0"/>
          <w:smallCaps w:val="0"/>
          <w:sz w:val="20"/>
        </w:rPr>
        <w:t>For marketers the session results suggest three practical actions: re-engage returning visitors, who are most of the traffic but convert least; concentrate budget before the seasonal peak; and send paid traffic directly to product pages, where time spent is the strongest early signal of purchase intent. These are suggestions to test, not proven effects; where budgets allow, a holdout experiment [7], [27] is the way to confirm them.</w:t>
      </w:r>
    </w:p>
    <w:p>
      <w:pPr>
        <w:keepNext/>
        <w:spacing w:after="40" w:before="80" w:line="240" w:lineRule="auto"/>
        <w:jc w:val="left"/>
      </w:pPr>
      <w:r>
        <w:rPr>
          <w:rFonts w:ascii="Times New Roman" w:hAnsi="Times New Roman"/>
          <w:b w:val="0"/>
          <w:i/>
          <w:smallCaps w:val="0"/>
          <w:sz w:val="20"/>
        </w:rPr>
        <w:t>B. Implications for Research</w:t>
      </w:r>
    </w:p>
    <w:p>
      <w:pPr>
        <w:spacing w:after="0" w:before="0" w:line="240" w:lineRule="auto"/>
        <w:ind w:firstLine="202"/>
        <w:jc w:val="both"/>
      </w:pPr>
      <w:r>
        <w:rPr>
          <w:rFonts w:ascii="Times New Roman" w:hAnsi="Times New Roman"/>
          <w:b w:val="0"/>
          <w:i w:val="0"/>
          <w:smallCaps w:val="0"/>
          <w:sz w:val="20"/>
        </w:rPr>
        <w:t>Attribution models are usually compared by how well they predict conversion. Our simulation shows that a model can rank well on that criterion and still distribute credit wrongly, because prediction and credit are different targets. Known-answer simulations, though stylised, give a direct test of credit and are cheap to extend to new mechanisms, and we encourage their use alongside experimental benchmarks. Public journey data with named channels remains scarce; the GA360 sample is one of the few sources and shows how strongly a platform's own channel definitions shape the result.</w:t>
      </w:r>
    </w:p>
    <w:p>
      <w:pPr>
        <w:keepNext/>
        <w:spacing w:after="40" w:before="80" w:line="240" w:lineRule="auto"/>
        <w:jc w:val="left"/>
      </w:pPr>
      <w:r>
        <w:rPr>
          <w:rFonts w:ascii="Times New Roman" w:hAnsi="Times New Roman"/>
          <w:b w:val="0"/>
          <w:i/>
          <w:smallCaps w:val="0"/>
          <w:sz w:val="20"/>
        </w:rPr>
        <w:t>C. Threats to Validity</w:t>
      </w:r>
    </w:p>
    <w:p>
      <w:pPr>
        <w:spacing w:after="0" w:before="0" w:line="240" w:lineRule="auto"/>
        <w:ind w:firstLine="202"/>
        <w:jc w:val="both"/>
      </w:pPr>
      <w:r>
        <w:rPr>
          <w:rFonts w:ascii="Times New Roman" w:hAnsi="Times New Roman"/>
          <w:b w:val="0"/>
          <w:i/>
          <w:smallCaps w:val="0"/>
          <w:sz w:val="20"/>
        </w:rPr>
        <w:t>Construct validity.</w:t>
      </w:r>
      <w:r>
        <w:rPr>
          <w:rFonts w:ascii="Times New Roman" w:hAnsi="Times New Roman"/>
          <w:b w:val="0"/>
          <w:i w:val="0"/>
          <w:smallCaps w:val="0"/>
          <w:sz w:val="20"/>
        </w:rPr>
        <w:t xml:space="preserve"> Credit is not causal contribution: every model here, including the data-driven ones, assigns observed conversions and none measures what would have happened without a channel. The simulation's true shares are causal by construction, which is why it is used to judge the models. </w:t>
      </w:r>
      <w:r>
        <w:rPr>
          <w:rFonts w:ascii="Times New Roman" w:hAnsi="Times New Roman"/>
          <w:b w:val="0"/>
          <w:i/>
          <w:smallCaps w:val="0"/>
          <w:sz w:val="20"/>
        </w:rPr>
        <w:t>Internal validity.</w:t>
      </w:r>
      <w:r>
        <w:rPr>
          <w:rFonts w:ascii="Times New Roman" w:hAnsi="Times New Roman"/>
          <w:b w:val="0"/>
          <w:i w:val="0"/>
          <w:smallCaps w:val="0"/>
          <w:sz w:val="20"/>
        </w:rPr>
        <w:t xml:space="preserve"> The Criteo credit flag is the advertiser's own last-click decision and the other channels are not observed, so the recency effect describes how credit was assigned, not why. GA360 journeys depend on a cookie-based visitor identifier and on Google's channel rules, including the relabelling of direct visits. </w:t>
      </w:r>
      <w:r>
        <w:rPr>
          <w:rFonts w:ascii="Times New Roman" w:hAnsi="Times New Roman"/>
          <w:b w:val="0"/>
          <w:i/>
          <w:smallCaps w:val="0"/>
          <w:sz w:val="20"/>
        </w:rPr>
        <w:t>External validity.</w:t>
      </w:r>
      <w:r>
        <w:rPr>
          <w:rFonts w:ascii="Times New Roman" w:hAnsi="Times New Roman"/>
          <w:b w:val="0"/>
          <w:i w:val="0"/>
          <w:smallCaps w:val="0"/>
          <w:sz w:val="20"/>
        </w:rPr>
        <w:t xml:space="preserve"> Each dataset represents one store, network or advertiser, mostly from mature markets; results for Indian small businesses may differ and should be checked on their own data, which the tool allows. </w:t>
      </w:r>
      <w:r>
        <w:rPr>
          <w:rFonts w:ascii="Times New Roman" w:hAnsi="Times New Roman"/>
          <w:b w:val="0"/>
          <w:i/>
          <w:smallCaps w:val="0"/>
          <w:sz w:val="20"/>
        </w:rPr>
        <w:t>Statistical conclusion validity.</w:t>
      </w:r>
      <w:r>
        <w:rPr>
          <w:rFonts w:ascii="Times New Roman" w:hAnsi="Times New Roman"/>
          <w:b w:val="0"/>
          <w:i w:val="0"/>
          <w:smallCaps w:val="0"/>
          <w:sz w:val="20"/>
        </w:rPr>
        <w:t xml:space="preserve"> With hundreds of thousands of observations almost any difference is significant, so we report effect sizes (credit shares, odds ratios, AUC and error in percentage points) alongside p-values.</w:t>
      </w:r>
    </w:p>
    <w:p>
      <w:pPr>
        <w:keepNext/>
        <w:spacing w:after="40" w:before="80" w:line="240" w:lineRule="auto"/>
        <w:jc w:val="left"/>
      </w:pPr>
      <w:r>
        <w:rPr>
          <w:rFonts w:ascii="Times New Roman" w:hAnsi="Times New Roman"/>
          <w:b w:val="0"/>
          <w:i/>
          <w:smallCaps w:val="0"/>
          <w:sz w:val="20"/>
        </w:rPr>
        <w:t>D. Ethics and Privacy</w:t>
      </w:r>
    </w:p>
    <w:p>
      <w:pPr>
        <w:spacing w:after="0" w:before="0" w:line="240" w:lineRule="auto"/>
        <w:ind w:firstLine="202"/>
        <w:jc w:val="both"/>
      </w:pPr>
      <w:r>
        <w:rPr>
          <w:rFonts w:ascii="Times New Roman" w:hAnsi="Times New Roman"/>
          <w:b w:val="0"/>
          <w:i w:val="0"/>
          <w:smallCaps w:val="0"/>
          <w:sz w:val="20"/>
        </w:rPr>
        <w:t>All datasets are public and anonymised, and no personal data was collected. ChannelTrace processes uploaded files in the browser and sends only the aggregated fact sheet, never raw rows, to the generative model. The assistant is instructed to label recommendations as suggestions and to state that the data shows associations, not proof of cause, so that users are not led to over-trust its advice.</w:t>
      </w:r>
    </w:p>
    <w:p>
      <w:pPr>
        <w:keepNext/>
        <w:spacing w:after="60" w:before="160" w:line="240" w:lineRule="auto"/>
        <w:jc w:val="center"/>
      </w:pPr>
      <w:r>
        <w:rPr>
          <w:rFonts w:ascii="Times New Roman" w:hAnsi="Times New Roman"/>
          <w:b w:val="0"/>
          <w:i w:val="0"/>
          <w:smallCaps/>
          <w:sz w:val="20"/>
        </w:rPr>
        <w:t>VIII. Limitations and Future Work</w:t>
      </w:r>
    </w:p>
    <w:p>
      <w:pPr>
        <w:spacing w:after="0" w:before="0" w:line="240" w:lineRule="auto"/>
        <w:ind w:firstLine="202"/>
        <w:jc w:val="both"/>
      </w:pPr>
      <w:r>
        <w:rPr>
          <w:rFonts w:ascii="Times New Roman" w:hAnsi="Times New Roman"/>
          <w:b w:val="0"/>
          <w:i w:val="0"/>
          <w:smallCaps w:val="0"/>
          <w:sz w:val="20"/>
        </w:rPr>
        <w:t>All findings are associations. The Criteo sample covers one channel and retains only clicked impressions for converting users, so view-through effects cannot be studied. The UCI traffic sources are anonymised. The simulation uses two stylised mechanisms and six worlds each; other mechanisms, such as diminishing returns or interactions between channels, may favour other models. The GA360 sample is one store, uses Google Analytics' own channel definitions and splits journeys across devices. The accuracy of the assistant has not yet been measured.</w:t>
      </w:r>
    </w:p>
    <w:p>
      <w:pPr>
        <w:spacing w:after="0" w:before="0" w:line="240" w:lineRule="auto"/>
        <w:ind w:firstLine="202"/>
        <w:jc w:val="both"/>
      </w:pPr>
      <w:r>
        <w:rPr>
          <w:rFonts w:ascii="Times New Roman" w:hAnsi="Times New Roman"/>
          <w:b w:val="0"/>
          <w:i w:val="0"/>
          <w:smallCaps w:val="0"/>
          <w:sz w:val="20"/>
        </w:rPr>
        <w:t>Future work has five parts: an accuracy test of the assistant on a fixed question set with known answers; a usability study of the tool with small-business users using the System Usability Scale [46]; a business-intelligence dashboard (Power BI or Looker Studio) on the same data; simulations with further mechanisms and comparison with the neural models of Section II-D [23], [25]; and, with a partner business, a holdout experiment to compare attribution credit with measured incremental lift.</w:t>
      </w:r>
    </w:p>
    <w:p>
      <w:pPr>
        <w:keepNext/>
        <w:spacing w:after="60" w:before="160" w:line="240" w:lineRule="auto"/>
        <w:jc w:val="center"/>
      </w:pPr>
      <w:r>
        <w:rPr>
          <w:rFonts w:ascii="Times New Roman" w:hAnsi="Times New Roman"/>
          <w:b w:val="0"/>
          <w:i w:val="0"/>
          <w:smallCaps/>
          <w:sz w:val="20"/>
        </w:rPr>
        <w:t>IX. Conclusion</w:t>
      </w:r>
    </w:p>
    <w:p>
      <w:pPr>
        <w:spacing w:after="0" w:before="0" w:line="240" w:lineRule="auto"/>
        <w:ind w:firstLine="202"/>
        <w:jc w:val="both"/>
      </w:pPr>
      <w:r>
        <w:rPr>
          <w:rFonts w:ascii="Times New Roman" w:hAnsi="Times New Roman"/>
          <w:b w:val="0"/>
          <w:i w:val="0"/>
          <w:smallCaps w:val="0"/>
          <w:sz w:val="20"/>
        </w:rPr>
        <w:t>Using public data at scale and a simulation with known answers, we found that last-click credit is governed mainly by recency, that attribution models disagree mainly on the customers who move between channels, and that the most accurate attribution model depends on how advertising works. Businesses should therefore compare attribution models rather than trust any single report. ChannelTrace makes that comparison free and accessible, and its grounded assistant explains the results in plain language from computed figures only.</w:t>
      </w:r>
    </w:p>
    <w:p>
      <w:pPr>
        <w:keepNext/>
        <w:spacing w:after="60" w:before="160" w:line="240" w:lineRule="auto"/>
        <w:jc w:val="center"/>
      </w:pPr>
      <w:r>
        <w:rPr>
          <w:rFonts w:ascii="Times New Roman" w:hAnsi="Times New Roman"/>
          <w:b w:val="0"/>
          <w:i w:val="0"/>
          <w:smallCaps/>
          <w:sz w:val="20"/>
        </w:rPr>
        <w:t>Acknowledgment</w:t>
      </w:r>
    </w:p>
    <w:p>
      <w:pPr>
        <w:spacing w:after="0" w:before="0" w:line="240" w:lineRule="auto"/>
        <w:ind w:firstLine="202"/>
        <w:jc w:val="both"/>
      </w:pPr>
      <w:r>
        <w:rPr>
          <w:rFonts w:ascii="Times New Roman" w:hAnsi="Times New Roman"/>
          <w:b w:val="0"/>
          <w:i w:val="0"/>
          <w:smallCaps w:val="0"/>
          <w:sz w:val="20"/>
        </w:rPr>
        <w:t>This work was carried out for the MDM Digital Marketing Capstone (BCE27MD06) at Pimpri Chinchwad College of Engineering, Pune, under the guidance of Mrs. Minal Shahakar.</w:t>
      </w:r>
    </w:p>
    <w:p>
      <w:pPr>
        <w:keepNext/>
        <w:spacing w:after="60" w:before="160" w:line="240" w:lineRule="auto"/>
        <w:jc w:val="center"/>
      </w:pPr>
      <w:r>
        <w:rPr>
          <w:rFonts w:ascii="Times New Roman" w:hAnsi="Times New Roman"/>
          <w:b w:val="0"/>
          <w:i w:val="0"/>
          <w:smallCaps/>
          <w:sz w:val="20"/>
        </w:rPr>
        <w:t>References</w:t>
      </w:r>
    </w:p>
    <w:p>
      <w:pPr>
        <w:tabs>
          <w:tab w:pos="432" w:val="left"/>
        </w:tabs>
        <w:spacing w:after="40" w:before="0" w:line="240" w:lineRule="auto"/>
        <w:ind w:left="432" w:hanging="432"/>
        <w:jc w:val="left"/>
      </w:pPr>
      <w:r>
        <w:rPr>
          <w:rFonts w:ascii="Times New Roman" w:hAnsi="Times New Roman"/>
          <w:b w:val="0"/>
          <w:i w:val="0"/>
          <w:smallCaps w:val="0"/>
          <w:sz w:val="16"/>
        </w:rPr>
        <w:t>[1]</w:t>
        <w:tab/>
      </w:r>
      <w:r>
        <w:rPr>
          <w:rFonts w:ascii="Times New Roman" w:hAnsi="Times New Roman"/>
          <w:b w:val="0"/>
          <w:i w:val="0"/>
          <w:smallCaps w:val="0"/>
          <w:sz w:val="16"/>
        </w:rPr>
        <w:t xml:space="preserve">D. Court, D. Elzinga, S. Mulder, and O. J. Vetvik, "The consumer decision journey," </w:t>
      </w:r>
      <w:r>
        <w:rPr>
          <w:rFonts w:ascii="Times New Roman" w:hAnsi="Times New Roman"/>
          <w:b w:val="0"/>
          <w:i/>
          <w:smallCaps w:val="0"/>
          <w:sz w:val="16"/>
        </w:rPr>
        <w:t>McKinsey Quarterly</w:t>
      </w:r>
      <w:r>
        <w:rPr>
          <w:rFonts w:ascii="Times New Roman" w:hAnsi="Times New Roman"/>
          <w:b w:val="0"/>
          <w:i w:val="0"/>
          <w:smallCaps w:val="0"/>
          <w:sz w:val="16"/>
        </w:rPr>
        <w:t>, no. 3, pp. 96-107, 2009.</w:t>
      </w:r>
    </w:p>
    <w:p>
      <w:pPr>
        <w:tabs>
          <w:tab w:pos="432" w:val="left"/>
        </w:tabs>
        <w:spacing w:after="40" w:before="0" w:line="240" w:lineRule="auto"/>
        <w:ind w:left="432" w:hanging="432"/>
        <w:jc w:val="left"/>
      </w:pPr>
      <w:r>
        <w:rPr>
          <w:rFonts w:ascii="Times New Roman" w:hAnsi="Times New Roman"/>
          <w:b w:val="0"/>
          <w:i w:val="0"/>
          <w:smallCaps w:val="0"/>
          <w:sz w:val="16"/>
        </w:rPr>
        <w:t>[2]</w:t>
        <w:tab/>
      </w:r>
      <w:r>
        <w:rPr>
          <w:rFonts w:ascii="Times New Roman" w:hAnsi="Times New Roman"/>
          <w:b w:val="0"/>
          <w:i w:val="0"/>
          <w:smallCaps w:val="0"/>
          <w:sz w:val="16"/>
        </w:rPr>
        <w:t xml:space="preserve">K. N. Lemon and P. C. Verhoef, "Understanding customer experience throughout the customer journey," </w:t>
      </w:r>
      <w:r>
        <w:rPr>
          <w:rFonts w:ascii="Times New Roman" w:hAnsi="Times New Roman"/>
          <w:b w:val="0"/>
          <w:i/>
          <w:smallCaps w:val="0"/>
          <w:sz w:val="16"/>
        </w:rPr>
        <w:t>Journal of Marketing</w:t>
      </w:r>
      <w:r>
        <w:rPr>
          <w:rFonts w:ascii="Times New Roman" w:hAnsi="Times New Roman"/>
          <w:b w:val="0"/>
          <w:i w:val="0"/>
          <w:smallCaps w:val="0"/>
          <w:sz w:val="16"/>
        </w:rPr>
        <w:t>, vol. 80, no. 6, pp. 69-96, 2016.</w:t>
      </w:r>
    </w:p>
    <w:p>
      <w:pPr>
        <w:tabs>
          <w:tab w:pos="432" w:val="left"/>
        </w:tabs>
        <w:spacing w:after="40" w:before="0" w:line="240" w:lineRule="auto"/>
        <w:ind w:left="432" w:hanging="432"/>
        <w:jc w:val="left"/>
      </w:pPr>
      <w:r>
        <w:rPr>
          <w:rFonts w:ascii="Times New Roman" w:hAnsi="Times New Roman"/>
          <w:b w:val="0"/>
          <w:i w:val="0"/>
          <w:smallCaps w:val="0"/>
          <w:sz w:val="16"/>
        </w:rPr>
        <w:t>[3]</w:t>
        <w:tab/>
      </w:r>
      <w:r>
        <w:rPr>
          <w:rFonts w:ascii="Times New Roman" w:hAnsi="Times New Roman"/>
          <w:b w:val="0"/>
          <w:i w:val="0"/>
          <w:smallCaps w:val="0"/>
          <w:sz w:val="16"/>
        </w:rPr>
        <w:t xml:space="preserve">P. K. Kannan and H. Li, "Digital marketing: A framework, review and research agenda," </w:t>
      </w:r>
      <w:r>
        <w:rPr>
          <w:rFonts w:ascii="Times New Roman" w:hAnsi="Times New Roman"/>
          <w:b w:val="0"/>
          <w:i/>
          <w:smallCaps w:val="0"/>
          <w:sz w:val="16"/>
        </w:rPr>
        <w:t>International Journal of Research in Marketing</w:t>
      </w:r>
      <w:r>
        <w:rPr>
          <w:rFonts w:ascii="Times New Roman" w:hAnsi="Times New Roman"/>
          <w:b w:val="0"/>
          <w:i w:val="0"/>
          <w:smallCaps w:val="0"/>
          <w:sz w:val="16"/>
        </w:rPr>
        <w:t>, vol. 34, no. 1, pp. 22-45, 2017.</w:t>
      </w:r>
    </w:p>
    <w:p>
      <w:pPr>
        <w:tabs>
          <w:tab w:pos="432" w:val="left"/>
        </w:tabs>
        <w:spacing w:after="40" w:before="0" w:line="240" w:lineRule="auto"/>
        <w:ind w:left="432" w:hanging="432"/>
        <w:jc w:val="left"/>
      </w:pPr>
      <w:r>
        <w:rPr>
          <w:rFonts w:ascii="Times New Roman" w:hAnsi="Times New Roman"/>
          <w:b w:val="0"/>
          <w:i w:val="0"/>
          <w:smallCaps w:val="0"/>
          <w:sz w:val="16"/>
        </w:rPr>
        <w:t>[4]</w:t>
        <w:tab/>
      </w:r>
      <w:r>
        <w:rPr>
          <w:rFonts w:ascii="Times New Roman" w:hAnsi="Times New Roman"/>
          <w:b w:val="0"/>
          <w:i w:val="0"/>
          <w:smallCaps w:val="0"/>
          <w:sz w:val="16"/>
        </w:rPr>
        <w:t xml:space="preserve">R. Berman, "Beyond the last touch: Attribution in online advertising," </w:t>
      </w:r>
      <w:r>
        <w:rPr>
          <w:rFonts w:ascii="Times New Roman" w:hAnsi="Times New Roman"/>
          <w:b w:val="0"/>
          <w:i/>
          <w:smallCaps w:val="0"/>
          <w:sz w:val="16"/>
        </w:rPr>
        <w:t>Marketing Science</w:t>
      </w:r>
      <w:r>
        <w:rPr>
          <w:rFonts w:ascii="Times New Roman" w:hAnsi="Times New Roman"/>
          <w:b w:val="0"/>
          <w:i w:val="0"/>
          <w:smallCaps w:val="0"/>
          <w:sz w:val="16"/>
        </w:rPr>
        <w:t>, vol. 37, no. 5, pp. 771-792, 2018.</w:t>
      </w:r>
    </w:p>
    <w:p>
      <w:pPr>
        <w:tabs>
          <w:tab w:pos="432" w:val="left"/>
        </w:tabs>
        <w:spacing w:after="40" w:before="0" w:line="240" w:lineRule="auto"/>
        <w:ind w:left="432" w:hanging="432"/>
        <w:jc w:val="left"/>
      </w:pPr>
      <w:r>
        <w:rPr>
          <w:rFonts w:ascii="Times New Roman" w:hAnsi="Times New Roman"/>
          <w:b w:val="0"/>
          <w:i w:val="0"/>
          <w:smallCaps w:val="0"/>
          <w:sz w:val="16"/>
        </w:rPr>
        <w:t>[5]</w:t>
        <w:tab/>
      </w:r>
      <w:r>
        <w:rPr>
          <w:rFonts w:ascii="Times New Roman" w:hAnsi="Times New Roman"/>
          <w:b w:val="0"/>
          <w:i w:val="0"/>
          <w:smallCaps w:val="0"/>
          <w:sz w:val="16"/>
        </w:rPr>
        <w:t>Google, "About attribution models," Google Ads Help. [Online]. Available: https://support.google.com/google-ads/answer/6259715</w:t>
      </w:r>
    </w:p>
    <w:p>
      <w:pPr>
        <w:tabs>
          <w:tab w:pos="432" w:val="left"/>
        </w:tabs>
        <w:spacing w:after="40" w:before="0" w:line="240" w:lineRule="auto"/>
        <w:ind w:left="432" w:hanging="432"/>
        <w:jc w:val="left"/>
      </w:pPr>
      <w:r>
        <w:rPr>
          <w:rFonts w:ascii="Times New Roman" w:hAnsi="Times New Roman"/>
          <w:b w:val="0"/>
          <w:i w:val="0"/>
          <w:smallCaps w:val="0"/>
          <w:sz w:val="16"/>
        </w:rPr>
        <w:t>[6]</w:t>
        <w:tab/>
      </w:r>
      <w:r>
        <w:rPr>
          <w:rFonts w:ascii="Times New Roman" w:hAnsi="Times New Roman"/>
          <w:b w:val="0"/>
          <w:i w:val="0"/>
          <w:smallCaps w:val="0"/>
          <w:sz w:val="16"/>
        </w:rPr>
        <w:t xml:space="preserve">R. A. Lewis and J. M. Rao, "The unfavorable economics of measuring the returns to advertising," </w:t>
      </w:r>
      <w:r>
        <w:rPr>
          <w:rFonts w:ascii="Times New Roman" w:hAnsi="Times New Roman"/>
          <w:b w:val="0"/>
          <w:i/>
          <w:smallCaps w:val="0"/>
          <w:sz w:val="16"/>
        </w:rPr>
        <w:t>The Quarterly Journal of Economics</w:t>
      </w:r>
      <w:r>
        <w:rPr>
          <w:rFonts w:ascii="Times New Roman" w:hAnsi="Times New Roman"/>
          <w:b w:val="0"/>
          <w:i w:val="0"/>
          <w:smallCaps w:val="0"/>
          <w:sz w:val="16"/>
        </w:rPr>
        <w:t>, vol. 130, no. 4, pp. 1941-1973, 2015.</w:t>
      </w:r>
    </w:p>
    <w:p>
      <w:pPr>
        <w:tabs>
          <w:tab w:pos="432" w:val="left"/>
        </w:tabs>
        <w:spacing w:after="40" w:before="0" w:line="240" w:lineRule="auto"/>
        <w:ind w:left="432" w:hanging="432"/>
        <w:jc w:val="left"/>
      </w:pPr>
      <w:r>
        <w:rPr>
          <w:rFonts w:ascii="Times New Roman" w:hAnsi="Times New Roman"/>
          <w:b w:val="0"/>
          <w:i w:val="0"/>
          <w:smallCaps w:val="0"/>
          <w:sz w:val="16"/>
        </w:rPr>
        <w:t>[7]</w:t>
        <w:tab/>
      </w:r>
      <w:r>
        <w:rPr>
          <w:rFonts w:ascii="Times New Roman" w:hAnsi="Times New Roman"/>
          <w:b w:val="0"/>
          <w:i w:val="0"/>
          <w:smallCaps w:val="0"/>
          <w:sz w:val="16"/>
        </w:rPr>
        <w:t xml:space="preserve">B. R. Gordon, F. Zettelmeyer, N. Bhargava, and D. Chapsky, "A comparison of approaches to advertising measurement: Evidence from big field experiments at Facebook," </w:t>
      </w:r>
      <w:r>
        <w:rPr>
          <w:rFonts w:ascii="Times New Roman" w:hAnsi="Times New Roman"/>
          <w:b w:val="0"/>
          <w:i/>
          <w:smallCaps w:val="0"/>
          <w:sz w:val="16"/>
        </w:rPr>
        <w:t>Marketing Science</w:t>
      </w:r>
      <w:r>
        <w:rPr>
          <w:rFonts w:ascii="Times New Roman" w:hAnsi="Times New Roman"/>
          <w:b w:val="0"/>
          <w:i w:val="0"/>
          <w:smallCaps w:val="0"/>
          <w:sz w:val="16"/>
        </w:rPr>
        <w:t>, vol. 38, no. 2, pp. 193-225, 2019.</w:t>
      </w:r>
    </w:p>
    <w:p>
      <w:pPr>
        <w:tabs>
          <w:tab w:pos="432" w:val="left"/>
        </w:tabs>
        <w:spacing w:after="40" w:before="0" w:line="240" w:lineRule="auto"/>
        <w:ind w:left="432" w:hanging="432"/>
        <w:jc w:val="left"/>
      </w:pPr>
      <w:r>
        <w:rPr>
          <w:rFonts w:ascii="Times New Roman" w:hAnsi="Times New Roman"/>
          <w:b w:val="0"/>
          <w:i w:val="0"/>
          <w:smallCaps w:val="0"/>
          <w:sz w:val="16"/>
        </w:rPr>
        <w:t>[8]</w:t>
        <w:tab/>
      </w:r>
      <w:r>
        <w:rPr>
          <w:rFonts w:ascii="Times New Roman" w:hAnsi="Times New Roman"/>
          <w:b w:val="0"/>
          <w:i w:val="0"/>
          <w:smallCaps w:val="0"/>
          <w:sz w:val="16"/>
        </w:rPr>
        <w:t xml:space="preserve">H. Li and P. K. Kannan, "Attributing conversions in a multichannel online marketing environment: An empirical model and a field experiment," </w:t>
      </w:r>
      <w:r>
        <w:rPr>
          <w:rFonts w:ascii="Times New Roman" w:hAnsi="Times New Roman"/>
          <w:b w:val="0"/>
          <w:i/>
          <w:smallCaps w:val="0"/>
          <w:sz w:val="16"/>
        </w:rPr>
        <w:t>Journal of Marketing Research</w:t>
      </w:r>
      <w:r>
        <w:rPr>
          <w:rFonts w:ascii="Times New Roman" w:hAnsi="Times New Roman"/>
          <w:b w:val="0"/>
          <w:i w:val="0"/>
          <w:smallCaps w:val="0"/>
          <w:sz w:val="16"/>
        </w:rPr>
        <w:t>, vol. 51, no. 1, pp. 40-56, 2014.</w:t>
      </w:r>
    </w:p>
    <w:p>
      <w:pPr>
        <w:tabs>
          <w:tab w:pos="432" w:val="left"/>
        </w:tabs>
        <w:spacing w:after="40" w:before="0" w:line="240" w:lineRule="auto"/>
        <w:ind w:left="432" w:hanging="432"/>
        <w:jc w:val="left"/>
      </w:pPr>
      <w:r>
        <w:rPr>
          <w:rFonts w:ascii="Times New Roman" w:hAnsi="Times New Roman"/>
          <w:b w:val="0"/>
          <w:i w:val="0"/>
          <w:smallCaps w:val="0"/>
          <w:sz w:val="16"/>
        </w:rPr>
        <w:t>[9]</w:t>
        <w:tab/>
      </w:r>
      <w:r>
        <w:rPr>
          <w:rFonts w:ascii="Times New Roman" w:hAnsi="Times New Roman"/>
          <w:b w:val="0"/>
          <w:i w:val="0"/>
          <w:smallCaps w:val="0"/>
          <w:sz w:val="16"/>
        </w:rPr>
        <w:t xml:space="preserve">X. Shao and L. Li, "Data-driven multi-touch attribution models," in </w:t>
      </w:r>
      <w:r>
        <w:rPr>
          <w:rFonts w:ascii="Times New Roman" w:hAnsi="Times New Roman"/>
          <w:b w:val="0"/>
          <w:i/>
          <w:smallCaps w:val="0"/>
          <w:sz w:val="16"/>
        </w:rPr>
        <w:t>Proc. 17th ACM SIGKDD Int. Conf. Knowledge Discovery and Data Mining</w:t>
      </w:r>
      <w:r>
        <w:rPr>
          <w:rFonts w:ascii="Times New Roman" w:hAnsi="Times New Roman"/>
          <w:b w:val="0"/>
          <w:i w:val="0"/>
          <w:smallCaps w:val="0"/>
          <w:sz w:val="16"/>
        </w:rPr>
        <w:t>, 2011, pp. 258-264.</w:t>
      </w:r>
    </w:p>
    <w:p>
      <w:pPr>
        <w:tabs>
          <w:tab w:pos="432" w:val="left"/>
        </w:tabs>
        <w:spacing w:after="40" w:before="0" w:line="240" w:lineRule="auto"/>
        <w:ind w:left="432" w:hanging="432"/>
        <w:jc w:val="left"/>
      </w:pPr>
      <w:r>
        <w:rPr>
          <w:rFonts w:ascii="Times New Roman" w:hAnsi="Times New Roman"/>
          <w:b w:val="0"/>
          <w:i w:val="0"/>
          <w:smallCaps w:val="0"/>
          <w:sz w:val="16"/>
        </w:rPr>
        <w:t>[10]</w:t>
        <w:tab/>
      </w:r>
      <w:r>
        <w:rPr>
          <w:rFonts w:ascii="Times New Roman" w:hAnsi="Times New Roman"/>
          <w:b w:val="0"/>
          <w:i w:val="0"/>
          <w:smallCaps w:val="0"/>
          <w:sz w:val="16"/>
        </w:rPr>
        <w:t xml:space="preserve">E. Anderl, I. Becker, F. von Wangenheim, and J. H. Schumann, "Mapping the customer journey: Lessons learned from graph-based online attribution modeling," </w:t>
      </w:r>
      <w:r>
        <w:rPr>
          <w:rFonts w:ascii="Times New Roman" w:hAnsi="Times New Roman"/>
          <w:b w:val="0"/>
          <w:i/>
          <w:smallCaps w:val="0"/>
          <w:sz w:val="16"/>
        </w:rPr>
        <w:t>International Journal of Research in Marketing</w:t>
      </w:r>
      <w:r>
        <w:rPr>
          <w:rFonts w:ascii="Times New Roman" w:hAnsi="Times New Roman"/>
          <w:b w:val="0"/>
          <w:i w:val="0"/>
          <w:smallCaps w:val="0"/>
          <w:sz w:val="16"/>
        </w:rPr>
        <w:t>, vol. 33, no. 3, pp. 457-474, 2016.</w:t>
      </w:r>
    </w:p>
    <w:p>
      <w:pPr>
        <w:tabs>
          <w:tab w:pos="432" w:val="left"/>
        </w:tabs>
        <w:spacing w:after="40" w:before="0" w:line="240" w:lineRule="auto"/>
        <w:ind w:left="432" w:hanging="432"/>
        <w:jc w:val="left"/>
      </w:pPr>
      <w:r>
        <w:rPr>
          <w:rFonts w:ascii="Times New Roman" w:hAnsi="Times New Roman"/>
          <w:b w:val="0"/>
          <w:i w:val="0"/>
          <w:smallCaps w:val="0"/>
          <w:sz w:val="16"/>
        </w:rPr>
        <w:t>[11]</w:t>
        <w:tab/>
      </w:r>
      <w:r>
        <w:rPr>
          <w:rFonts w:ascii="Times New Roman" w:hAnsi="Times New Roman"/>
          <w:b w:val="0"/>
          <w:i w:val="0"/>
          <w:smallCaps w:val="0"/>
          <w:sz w:val="16"/>
        </w:rPr>
        <w:t xml:space="preserve">E. Diemert, J. Meynet, P. Galland, and D. Lefortier, "Attribution modeling increases efficiency of bidding in display advertising," in </w:t>
      </w:r>
      <w:r>
        <w:rPr>
          <w:rFonts w:ascii="Times New Roman" w:hAnsi="Times New Roman"/>
          <w:b w:val="0"/>
          <w:i/>
          <w:smallCaps w:val="0"/>
          <w:sz w:val="16"/>
        </w:rPr>
        <w:t>Proc. AdKDD and TargetAd Workshop, KDD</w:t>
      </w:r>
      <w:r>
        <w:rPr>
          <w:rFonts w:ascii="Times New Roman" w:hAnsi="Times New Roman"/>
          <w:b w:val="0"/>
          <w:i w:val="0"/>
          <w:smallCaps w:val="0"/>
          <w:sz w:val="16"/>
        </w:rPr>
        <w:t>, 2017.</w:t>
      </w:r>
    </w:p>
    <w:p>
      <w:pPr>
        <w:tabs>
          <w:tab w:pos="432" w:val="left"/>
        </w:tabs>
        <w:spacing w:after="40" w:before="0" w:line="240" w:lineRule="auto"/>
        <w:ind w:left="432" w:hanging="432"/>
        <w:jc w:val="left"/>
      </w:pPr>
      <w:r>
        <w:rPr>
          <w:rFonts w:ascii="Times New Roman" w:hAnsi="Times New Roman"/>
          <w:b w:val="0"/>
          <w:i w:val="0"/>
          <w:smallCaps w:val="0"/>
          <w:sz w:val="16"/>
        </w:rPr>
        <w:t>[12]</w:t>
        <w:tab/>
      </w:r>
      <w:r>
        <w:rPr>
          <w:rFonts w:ascii="Times New Roman" w:hAnsi="Times New Roman"/>
          <w:b w:val="0"/>
          <w:i w:val="0"/>
          <w:smallCaps w:val="0"/>
          <w:sz w:val="16"/>
        </w:rPr>
        <w:t xml:space="preserve">T. Wiesel, K. Pauwels, and J. Arts, "Marketing's profit impact: Quantifying online and off-line funnel progression," </w:t>
      </w:r>
      <w:r>
        <w:rPr>
          <w:rFonts w:ascii="Times New Roman" w:hAnsi="Times New Roman"/>
          <w:b w:val="0"/>
          <w:i/>
          <w:smallCaps w:val="0"/>
          <w:sz w:val="16"/>
        </w:rPr>
        <w:t>Marketing Science</w:t>
      </w:r>
      <w:r>
        <w:rPr>
          <w:rFonts w:ascii="Times New Roman" w:hAnsi="Times New Roman"/>
          <w:b w:val="0"/>
          <w:i w:val="0"/>
          <w:smallCaps w:val="0"/>
          <w:sz w:val="16"/>
        </w:rPr>
        <w:t>, vol. 30, no. 4, pp. 604-611, 2011.</w:t>
      </w:r>
    </w:p>
    <w:p>
      <w:pPr>
        <w:tabs>
          <w:tab w:pos="432" w:val="left"/>
        </w:tabs>
        <w:spacing w:after="40" w:before="0" w:line="240" w:lineRule="auto"/>
        <w:ind w:left="432" w:hanging="432"/>
        <w:jc w:val="left"/>
      </w:pPr>
      <w:r>
        <w:rPr>
          <w:rFonts w:ascii="Times New Roman" w:hAnsi="Times New Roman"/>
          <w:b w:val="0"/>
          <w:i w:val="0"/>
          <w:smallCaps w:val="0"/>
          <w:sz w:val="16"/>
        </w:rPr>
        <w:t>[13]</w:t>
        <w:tab/>
      </w:r>
      <w:r>
        <w:rPr>
          <w:rFonts w:ascii="Times New Roman" w:hAnsi="Times New Roman"/>
          <w:b w:val="0"/>
          <w:i w:val="0"/>
          <w:smallCaps w:val="0"/>
          <w:sz w:val="16"/>
        </w:rPr>
        <w:t xml:space="preserve">P. Kireyev, K. Pauwels, and S. Gupta, "Do display ads influence search? Attribution and dynamics in online advertising," </w:t>
      </w:r>
      <w:r>
        <w:rPr>
          <w:rFonts w:ascii="Times New Roman" w:hAnsi="Times New Roman"/>
          <w:b w:val="0"/>
          <w:i/>
          <w:smallCaps w:val="0"/>
          <w:sz w:val="16"/>
        </w:rPr>
        <w:t>International Journal of Research in Marketing</w:t>
      </w:r>
      <w:r>
        <w:rPr>
          <w:rFonts w:ascii="Times New Roman" w:hAnsi="Times New Roman"/>
          <w:b w:val="0"/>
          <w:i w:val="0"/>
          <w:smallCaps w:val="0"/>
          <w:sz w:val="16"/>
        </w:rPr>
        <w:t>, vol. 33, no. 3, pp. 475-490, 2016.</w:t>
      </w:r>
    </w:p>
    <w:p>
      <w:pPr>
        <w:tabs>
          <w:tab w:pos="432" w:val="left"/>
        </w:tabs>
        <w:spacing w:after="40" w:before="0" w:line="240" w:lineRule="auto"/>
        <w:ind w:left="432" w:hanging="432"/>
        <w:jc w:val="left"/>
      </w:pPr>
      <w:r>
        <w:rPr>
          <w:rFonts w:ascii="Times New Roman" w:hAnsi="Times New Roman"/>
          <w:b w:val="0"/>
          <w:i w:val="0"/>
          <w:smallCaps w:val="0"/>
          <w:sz w:val="16"/>
        </w:rPr>
        <w:t>[14]</w:t>
        <w:tab/>
      </w:r>
      <w:r>
        <w:rPr>
          <w:rFonts w:ascii="Times New Roman" w:hAnsi="Times New Roman"/>
          <w:b w:val="0"/>
          <w:i w:val="0"/>
          <w:smallCaps w:val="0"/>
          <w:sz w:val="16"/>
        </w:rPr>
        <w:t xml:space="preserve">E. de Haan, T. Wiesel, and K. Pauwels, "The effectiveness of different forms of online advertising for purchase conversion in a multiple-channel attribution framework," </w:t>
      </w:r>
      <w:r>
        <w:rPr>
          <w:rFonts w:ascii="Times New Roman" w:hAnsi="Times New Roman"/>
          <w:b w:val="0"/>
          <w:i/>
          <w:smallCaps w:val="0"/>
          <w:sz w:val="16"/>
        </w:rPr>
        <w:t>International Journal of Research in Marketing</w:t>
      </w:r>
      <w:r>
        <w:rPr>
          <w:rFonts w:ascii="Times New Roman" w:hAnsi="Times New Roman"/>
          <w:b w:val="0"/>
          <w:i w:val="0"/>
          <w:smallCaps w:val="0"/>
          <w:sz w:val="16"/>
        </w:rPr>
        <w:t>, vol. 33, no. 3, pp. 491-507, 2016.</w:t>
      </w:r>
    </w:p>
    <w:p>
      <w:pPr>
        <w:tabs>
          <w:tab w:pos="432" w:val="left"/>
        </w:tabs>
        <w:spacing w:after="40" w:before="0" w:line="240" w:lineRule="auto"/>
        <w:ind w:left="432" w:hanging="432"/>
        <w:jc w:val="left"/>
      </w:pPr>
      <w:r>
        <w:rPr>
          <w:rFonts w:ascii="Times New Roman" w:hAnsi="Times New Roman"/>
          <w:b w:val="0"/>
          <w:i w:val="0"/>
          <w:smallCaps w:val="0"/>
          <w:sz w:val="16"/>
        </w:rPr>
        <w:t>[15]</w:t>
        <w:tab/>
      </w:r>
      <w:r>
        <w:rPr>
          <w:rFonts w:ascii="Times New Roman" w:hAnsi="Times New Roman"/>
          <w:b w:val="0"/>
          <w:i w:val="0"/>
          <w:smallCaps w:val="0"/>
          <w:sz w:val="16"/>
        </w:rPr>
        <w:t xml:space="preserve">L. Xu, J. A. Duan, and A. Whinston, "Path to purchase: A mutually exciting point process model for online advertising and conversion," </w:t>
      </w:r>
      <w:r>
        <w:rPr>
          <w:rFonts w:ascii="Times New Roman" w:hAnsi="Times New Roman"/>
          <w:b w:val="0"/>
          <w:i/>
          <w:smallCaps w:val="0"/>
          <w:sz w:val="16"/>
        </w:rPr>
        <w:t>Management Science</w:t>
      </w:r>
      <w:r>
        <w:rPr>
          <w:rFonts w:ascii="Times New Roman" w:hAnsi="Times New Roman"/>
          <w:b w:val="0"/>
          <w:i w:val="0"/>
          <w:smallCaps w:val="0"/>
          <w:sz w:val="16"/>
        </w:rPr>
        <w:t>, vol. 60, no. 6, pp. 1392-1412, 2014.</w:t>
      </w:r>
    </w:p>
    <w:p>
      <w:pPr>
        <w:tabs>
          <w:tab w:pos="432" w:val="left"/>
        </w:tabs>
        <w:spacing w:after="40" w:before="0" w:line="240" w:lineRule="auto"/>
        <w:ind w:left="432" w:hanging="432"/>
        <w:jc w:val="left"/>
      </w:pPr>
      <w:r>
        <w:rPr>
          <w:rFonts w:ascii="Times New Roman" w:hAnsi="Times New Roman"/>
          <w:b w:val="0"/>
          <w:i w:val="0"/>
          <w:smallCaps w:val="0"/>
          <w:sz w:val="16"/>
        </w:rPr>
        <w:t>[16]</w:t>
        <w:tab/>
      </w:r>
      <w:r>
        <w:rPr>
          <w:rFonts w:ascii="Times New Roman" w:hAnsi="Times New Roman"/>
          <w:b w:val="0"/>
          <w:i w:val="0"/>
          <w:smallCaps w:val="0"/>
          <w:sz w:val="16"/>
        </w:rPr>
        <w:t xml:space="preserve">W. Ji and X. Wang, "Additional multi-touch attribution for online advertising," in </w:t>
      </w:r>
      <w:r>
        <w:rPr>
          <w:rFonts w:ascii="Times New Roman" w:hAnsi="Times New Roman"/>
          <w:b w:val="0"/>
          <w:i/>
          <w:smallCaps w:val="0"/>
          <w:sz w:val="16"/>
        </w:rPr>
        <w:t>Proc. 31st AAAI Conf. Artificial Intelligence</w:t>
      </w:r>
      <w:r>
        <w:rPr>
          <w:rFonts w:ascii="Times New Roman" w:hAnsi="Times New Roman"/>
          <w:b w:val="0"/>
          <w:i w:val="0"/>
          <w:smallCaps w:val="0"/>
          <w:sz w:val="16"/>
        </w:rPr>
        <w:t>, 2017, pp. 1360-1366.</w:t>
      </w:r>
    </w:p>
    <w:p>
      <w:pPr>
        <w:tabs>
          <w:tab w:pos="432" w:val="left"/>
        </w:tabs>
        <w:spacing w:after="40" w:before="0" w:line="240" w:lineRule="auto"/>
        <w:ind w:left="432" w:hanging="432"/>
        <w:jc w:val="left"/>
      </w:pPr>
      <w:r>
        <w:rPr>
          <w:rFonts w:ascii="Times New Roman" w:hAnsi="Times New Roman"/>
          <w:b w:val="0"/>
          <w:i w:val="0"/>
          <w:smallCaps w:val="0"/>
          <w:sz w:val="16"/>
        </w:rPr>
        <w:t>[17]</w:t>
        <w:tab/>
      </w:r>
      <w:r>
        <w:rPr>
          <w:rFonts w:ascii="Times New Roman" w:hAnsi="Times New Roman"/>
          <w:b w:val="0"/>
          <w:i w:val="0"/>
          <w:smallCaps w:val="0"/>
          <w:sz w:val="16"/>
        </w:rPr>
        <w:t xml:space="preserve">L. S. Shapley, "A value for n-person games," in </w:t>
      </w:r>
      <w:r>
        <w:rPr>
          <w:rFonts w:ascii="Times New Roman" w:hAnsi="Times New Roman"/>
          <w:b w:val="0"/>
          <w:i/>
          <w:smallCaps w:val="0"/>
          <w:sz w:val="16"/>
        </w:rPr>
        <w:t>Contributions to the Theory of Games II</w:t>
      </w:r>
      <w:r>
        <w:rPr>
          <w:rFonts w:ascii="Times New Roman" w:hAnsi="Times New Roman"/>
          <w:b w:val="0"/>
          <w:i w:val="0"/>
          <w:smallCaps w:val="0"/>
          <w:sz w:val="16"/>
        </w:rPr>
        <w:t>, H. W. Kuhn and A. W. Tucker, Eds. Princeton, NJ, USA: Princeton Univ. Press, 1953, pp. 307-317.</w:t>
      </w:r>
    </w:p>
    <w:p>
      <w:pPr>
        <w:tabs>
          <w:tab w:pos="432" w:val="left"/>
        </w:tabs>
        <w:spacing w:after="40" w:before="0" w:line="240" w:lineRule="auto"/>
        <w:ind w:left="432" w:hanging="432"/>
        <w:jc w:val="left"/>
      </w:pPr>
      <w:r>
        <w:rPr>
          <w:rFonts w:ascii="Times New Roman" w:hAnsi="Times New Roman"/>
          <w:b w:val="0"/>
          <w:i w:val="0"/>
          <w:smallCaps w:val="0"/>
          <w:sz w:val="16"/>
        </w:rPr>
        <w:t>[18]</w:t>
        <w:tab/>
      </w:r>
      <w:r>
        <w:rPr>
          <w:rFonts w:ascii="Times New Roman" w:hAnsi="Times New Roman"/>
          <w:b w:val="0"/>
          <w:i w:val="0"/>
          <w:smallCaps w:val="0"/>
          <w:sz w:val="16"/>
        </w:rPr>
        <w:t xml:space="preserve">B. Dalessandro, C. Perlich, O. Stitelman, and F. Provost, "Causally motivated attribution for online advertising," in </w:t>
      </w:r>
      <w:r>
        <w:rPr>
          <w:rFonts w:ascii="Times New Roman" w:hAnsi="Times New Roman"/>
          <w:b w:val="0"/>
          <w:i/>
          <w:smallCaps w:val="0"/>
          <w:sz w:val="16"/>
        </w:rPr>
        <w:t>Proc. Sixth Int. Workshop on Data Mining for Online Advertising (ADKDD)</w:t>
      </w:r>
      <w:r>
        <w:rPr>
          <w:rFonts w:ascii="Times New Roman" w:hAnsi="Times New Roman"/>
          <w:b w:val="0"/>
          <w:i w:val="0"/>
          <w:smallCaps w:val="0"/>
          <w:sz w:val="16"/>
        </w:rPr>
        <w:t>, 2012.</w:t>
      </w:r>
    </w:p>
    <w:p>
      <w:pPr>
        <w:tabs>
          <w:tab w:pos="432" w:val="left"/>
        </w:tabs>
        <w:spacing w:after="40" w:before="0" w:line="240" w:lineRule="auto"/>
        <w:ind w:left="432" w:hanging="432"/>
        <w:jc w:val="left"/>
      </w:pPr>
      <w:r>
        <w:rPr>
          <w:rFonts w:ascii="Times New Roman" w:hAnsi="Times New Roman"/>
          <w:b w:val="0"/>
          <w:i w:val="0"/>
          <w:smallCaps w:val="0"/>
          <w:sz w:val="16"/>
        </w:rPr>
        <w:t>[19]</w:t>
        <w:tab/>
      </w:r>
      <w:r>
        <w:rPr>
          <w:rFonts w:ascii="Times New Roman" w:hAnsi="Times New Roman"/>
          <w:b w:val="0"/>
          <w:i w:val="0"/>
          <w:smallCaps w:val="0"/>
          <w:sz w:val="16"/>
        </w:rPr>
        <w:t>K. Zhao, S. H. Mahboobi, and S. R. Bagheri, "Shapley value methods for attribution modeling in online advertising," arXiv:1804.05327, 2018.</w:t>
      </w:r>
    </w:p>
    <w:p>
      <w:pPr>
        <w:tabs>
          <w:tab w:pos="432" w:val="left"/>
        </w:tabs>
        <w:spacing w:after="40" w:before="0" w:line="240" w:lineRule="auto"/>
        <w:ind w:left="432" w:hanging="432"/>
        <w:jc w:val="left"/>
      </w:pPr>
      <w:r>
        <w:rPr>
          <w:rFonts w:ascii="Times New Roman" w:hAnsi="Times New Roman"/>
          <w:b w:val="0"/>
          <w:i w:val="0"/>
          <w:smallCaps w:val="0"/>
          <w:sz w:val="16"/>
        </w:rPr>
        <w:t>[20]</w:t>
        <w:tab/>
      </w:r>
      <w:r>
        <w:rPr>
          <w:rFonts w:ascii="Times New Roman" w:hAnsi="Times New Roman"/>
          <w:b w:val="0"/>
          <w:i w:val="0"/>
          <w:smallCaps w:val="0"/>
          <w:sz w:val="16"/>
        </w:rPr>
        <w:t xml:space="preserve">R. Singal, O. Besbes, A. Désir, V. Goyal, and G. Iyengar, "Shapley meets uniform: An axiomatic framework for attribution in online advertising," </w:t>
      </w:r>
      <w:r>
        <w:rPr>
          <w:rFonts w:ascii="Times New Roman" w:hAnsi="Times New Roman"/>
          <w:b w:val="0"/>
          <w:i/>
          <w:smallCaps w:val="0"/>
          <w:sz w:val="16"/>
        </w:rPr>
        <w:t>Management Science</w:t>
      </w:r>
      <w:r>
        <w:rPr>
          <w:rFonts w:ascii="Times New Roman" w:hAnsi="Times New Roman"/>
          <w:b w:val="0"/>
          <w:i w:val="0"/>
          <w:smallCaps w:val="0"/>
          <w:sz w:val="16"/>
        </w:rPr>
        <w:t>, vol. 68, no. 10, pp. 7457-7479, 2022.</w:t>
      </w:r>
    </w:p>
    <w:p>
      <w:pPr>
        <w:tabs>
          <w:tab w:pos="432" w:val="left"/>
        </w:tabs>
        <w:spacing w:after="40" w:before="0" w:line="240" w:lineRule="auto"/>
        <w:ind w:left="432" w:hanging="432"/>
        <w:jc w:val="left"/>
      </w:pPr>
      <w:r>
        <w:rPr>
          <w:rFonts w:ascii="Times New Roman" w:hAnsi="Times New Roman"/>
          <w:b w:val="0"/>
          <w:i w:val="0"/>
          <w:smallCaps w:val="0"/>
          <w:sz w:val="16"/>
        </w:rPr>
        <w:t>[21]</w:t>
        <w:tab/>
      </w:r>
      <w:r>
        <w:rPr>
          <w:rFonts w:ascii="Times New Roman" w:hAnsi="Times New Roman"/>
          <w:b w:val="0"/>
          <w:i w:val="0"/>
          <w:smallCaps w:val="0"/>
          <w:sz w:val="16"/>
        </w:rPr>
        <w:t xml:space="preserve">S. M. Lundberg and S.-I. Lee, "A unified approach to interpreting model predictions," in </w:t>
      </w:r>
      <w:r>
        <w:rPr>
          <w:rFonts w:ascii="Times New Roman" w:hAnsi="Times New Roman"/>
          <w:b w:val="0"/>
          <w:i/>
          <w:smallCaps w:val="0"/>
          <w:sz w:val="16"/>
        </w:rPr>
        <w:t>Advances in Neural Information Processing Systems 30</w:t>
      </w:r>
      <w:r>
        <w:rPr>
          <w:rFonts w:ascii="Times New Roman" w:hAnsi="Times New Roman"/>
          <w:b w:val="0"/>
          <w:i w:val="0"/>
          <w:smallCaps w:val="0"/>
          <w:sz w:val="16"/>
        </w:rPr>
        <w:t>, 2017, pp. 4765-4774.</w:t>
      </w:r>
    </w:p>
    <w:p>
      <w:pPr>
        <w:tabs>
          <w:tab w:pos="432" w:val="left"/>
        </w:tabs>
        <w:spacing w:after="40" w:before="0" w:line="240" w:lineRule="auto"/>
        <w:ind w:left="432" w:hanging="432"/>
        <w:jc w:val="left"/>
      </w:pPr>
      <w:r>
        <w:rPr>
          <w:rFonts w:ascii="Times New Roman" w:hAnsi="Times New Roman"/>
          <w:b w:val="0"/>
          <w:i w:val="0"/>
          <w:smallCaps w:val="0"/>
          <w:sz w:val="16"/>
        </w:rPr>
        <w:t>[22]</w:t>
        <w:tab/>
      </w:r>
      <w:r>
        <w:rPr>
          <w:rFonts w:ascii="Times New Roman" w:hAnsi="Times New Roman"/>
          <w:b w:val="0"/>
          <w:i w:val="0"/>
          <w:smallCaps w:val="0"/>
          <w:sz w:val="16"/>
        </w:rPr>
        <w:t>N. Li, S. K. Arava, C. Dong, Z. Yan, and A. Pani, "Deep neural net with attention for multi-channel multi-touch attribution," arXiv:1809.02230, 2018.</w:t>
      </w:r>
    </w:p>
    <w:p>
      <w:pPr>
        <w:tabs>
          <w:tab w:pos="432" w:val="left"/>
        </w:tabs>
        <w:spacing w:after="40" w:before="0" w:line="240" w:lineRule="auto"/>
        <w:ind w:left="432" w:hanging="432"/>
        <w:jc w:val="left"/>
      </w:pPr>
      <w:r>
        <w:rPr>
          <w:rFonts w:ascii="Times New Roman" w:hAnsi="Times New Roman"/>
          <w:b w:val="0"/>
          <w:i w:val="0"/>
          <w:smallCaps w:val="0"/>
          <w:sz w:val="16"/>
        </w:rPr>
        <w:t>[23]</w:t>
        <w:tab/>
      </w:r>
      <w:r>
        <w:rPr>
          <w:rFonts w:ascii="Times New Roman" w:hAnsi="Times New Roman"/>
          <w:b w:val="0"/>
          <w:i w:val="0"/>
          <w:smallCaps w:val="0"/>
          <w:sz w:val="16"/>
        </w:rPr>
        <w:t xml:space="preserve">K. Ren, Y. Fang, W. Zhang, S. Liu, J. Li, Y. Zhang, Y. Yu, and J. Wang, "Learning multi-touch conversion attribution with dual-attention mechanisms for online advertising," in </w:t>
      </w:r>
      <w:r>
        <w:rPr>
          <w:rFonts w:ascii="Times New Roman" w:hAnsi="Times New Roman"/>
          <w:b w:val="0"/>
          <w:i/>
          <w:smallCaps w:val="0"/>
          <w:sz w:val="16"/>
        </w:rPr>
        <w:t>Proc. 27th ACM Int. Conf. Information and Knowledge Management (CIKM)</w:t>
      </w:r>
      <w:r>
        <w:rPr>
          <w:rFonts w:ascii="Times New Roman" w:hAnsi="Times New Roman"/>
          <w:b w:val="0"/>
          <w:i w:val="0"/>
          <w:smallCaps w:val="0"/>
          <w:sz w:val="16"/>
        </w:rPr>
        <w:t>, 2018, pp. 1433-1442.</w:t>
      </w:r>
    </w:p>
    <w:p>
      <w:pPr>
        <w:tabs>
          <w:tab w:pos="432" w:val="left"/>
        </w:tabs>
        <w:spacing w:after="40" w:before="0" w:line="240" w:lineRule="auto"/>
        <w:ind w:left="432" w:hanging="432"/>
        <w:jc w:val="left"/>
      </w:pPr>
      <w:r>
        <w:rPr>
          <w:rFonts w:ascii="Times New Roman" w:hAnsi="Times New Roman"/>
          <w:b w:val="0"/>
          <w:i w:val="0"/>
          <w:smallCaps w:val="0"/>
          <w:sz w:val="16"/>
        </w:rPr>
        <w:t>[24]</w:t>
        <w:tab/>
      </w:r>
      <w:r>
        <w:rPr>
          <w:rFonts w:ascii="Times New Roman" w:hAnsi="Times New Roman"/>
          <w:b w:val="0"/>
          <w:i w:val="0"/>
          <w:smallCaps w:val="0"/>
          <w:sz w:val="16"/>
        </w:rPr>
        <w:t>R. Du, Y. Zhong, H. S. Nair, B. Cui, and R. Shou, "Causally driven incremental multi touch attribution using a recurrent neural network," arXiv:1902.00215, 2019.</w:t>
      </w:r>
    </w:p>
    <w:p>
      <w:pPr>
        <w:tabs>
          <w:tab w:pos="432" w:val="left"/>
        </w:tabs>
        <w:spacing w:after="40" w:before="0" w:line="240" w:lineRule="auto"/>
        <w:ind w:left="432" w:hanging="432"/>
        <w:jc w:val="left"/>
      </w:pPr>
      <w:r>
        <w:rPr>
          <w:rFonts w:ascii="Times New Roman" w:hAnsi="Times New Roman"/>
          <w:b w:val="0"/>
          <w:i w:val="0"/>
          <w:smallCaps w:val="0"/>
          <w:sz w:val="16"/>
        </w:rPr>
        <w:t>[25]</w:t>
        <w:tab/>
      </w:r>
      <w:r>
        <w:rPr>
          <w:rFonts w:ascii="Times New Roman" w:hAnsi="Times New Roman"/>
          <w:b w:val="0"/>
          <w:i w:val="0"/>
          <w:smallCaps w:val="0"/>
          <w:sz w:val="16"/>
        </w:rPr>
        <w:t xml:space="preserve">S. Kumar, G. Gupta, R. Prasad, A. Chatterjee, L. Vig, and G. Shroff, "CAMTA: Causal attention model for multi-touch attribution," in </w:t>
      </w:r>
      <w:r>
        <w:rPr>
          <w:rFonts w:ascii="Times New Roman" w:hAnsi="Times New Roman"/>
          <w:b w:val="0"/>
          <w:i/>
          <w:smallCaps w:val="0"/>
          <w:sz w:val="16"/>
        </w:rPr>
        <w:t>Proc. IEEE Int. Conf. Data Mining Workshops (ICDMW)</w:t>
      </w:r>
      <w:r>
        <w:rPr>
          <w:rFonts w:ascii="Times New Roman" w:hAnsi="Times New Roman"/>
          <w:b w:val="0"/>
          <w:i w:val="0"/>
          <w:smallCaps w:val="0"/>
          <w:sz w:val="16"/>
        </w:rPr>
        <w:t>, 2020, pp. 79-86.</w:t>
      </w:r>
    </w:p>
    <w:p>
      <w:pPr>
        <w:tabs>
          <w:tab w:pos="432" w:val="left"/>
        </w:tabs>
        <w:spacing w:after="40" w:before="0" w:line="240" w:lineRule="auto"/>
        <w:ind w:left="432" w:hanging="432"/>
        <w:jc w:val="left"/>
      </w:pPr>
      <w:r>
        <w:rPr>
          <w:rFonts w:ascii="Times New Roman" w:hAnsi="Times New Roman"/>
          <w:b w:val="0"/>
          <w:i w:val="0"/>
          <w:smallCaps w:val="0"/>
          <w:sz w:val="16"/>
        </w:rPr>
        <w:t>[26]</w:t>
        <w:tab/>
      </w:r>
      <w:r>
        <w:rPr>
          <w:rFonts w:ascii="Times New Roman" w:hAnsi="Times New Roman"/>
          <w:b w:val="0"/>
          <w:i w:val="0"/>
          <w:smallCaps w:val="0"/>
          <w:sz w:val="16"/>
        </w:rPr>
        <w:t xml:space="preserve">T. Blake, C. Nosko, and S. Tadelis, "Consumer heterogeneity and paid search effectiveness: A large-scale field experiment," </w:t>
      </w:r>
      <w:r>
        <w:rPr>
          <w:rFonts w:ascii="Times New Roman" w:hAnsi="Times New Roman"/>
          <w:b w:val="0"/>
          <w:i/>
          <w:smallCaps w:val="0"/>
          <w:sz w:val="16"/>
        </w:rPr>
        <w:t>Econometrica</w:t>
      </w:r>
      <w:r>
        <w:rPr>
          <w:rFonts w:ascii="Times New Roman" w:hAnsi="Times New Roman"/>
          <w:b w:val="0"/>
          <w:i w:val="0"/>
          <w:smallCaps w:val="0"/>
          <w:sz w:val="16"/>
        </w:rPr>
        <w:t>, vol. 83, no. 1, pp. 155-174, 2015.</w:t>
      </w:r>
    </w:p>
    <w:p>
      <w:pPr>
        <w:tabs>
          <w:tab w:pos="432" w:val="left"/>
        </w:tabs>
        <w:spacing w:after="40" w:before="0" w:line="240" w:lineRule="auto"/>
        <w:ind w:left="432" w:hanging="432"/>
        <w:jc w:val="left"/>
      </w:pPr>
      <w:r>
        <w:rPr>
          <w:rFonts w:ascii="Times New Roman" w:hAnsi="Times New Roman"/>
          <w:b w:val="0"/>
          <w:i w:val="0"/>
          <w:smallCaps w:val="0"/>
          <w:sz w:val="16"/>
        </w:rPr>
        <w:t>[27]</w:t>
        <w:tab/>
      </w:r>
      <w:r>
        <w:rPr>
          <w:rFonts w:ascii="Times New Roman" w:hAnsi="Times New Roman"/>
          <w:b w:val="0"/>
          <w:i w:val="0"/>
          <w:smallCaps w:val="0"/>
          <w:sz w:val="16"/>
        </w:rPr>
        <w:t xml:space="preserve">G. A. Johnson, R. A. Lewis, and E. I. Nubbemeyer, "Ghost ads: Improving the economics of measuring online ad effectiveness," </w:t>
      </w:r>
      <w:r>
        <w:rPr>
          <w:rFonts w:ascii="Times New Roman" w:hAnsi="Times New Roman"/>
          <w:b w:val="0"/>
          <w:i/>
          <w:smallCaps w:val="0"/>
          <w:sz w:val="16"/>
        </w:rPr>
        <w:t>Journal of Marketing Research</w:t>
      </w:r>
      <w:r>
        <w:rPr>
          <w:rFonts w:ascii="Times New Roman" w:hAnsi="Times New Roman"/>
          <w:b w:val="0"/>
          <w:i w:val="0"/>
          <w:smallCaps w:val="0"/>
          <w:sz w:val="16"/>
        </w:rPr>
        <w:t>, vol. 54, no. 6, pp. 867-884, 2017.</w:t>
      </w:r>
    </w:p>
    <w:p>
      <w:pPr>
        <w:tabs>
          <w:tab w:pos="432" w:val="left"/>
        </w:tabs>
        <w:spacing w:after="40" w:before="0" w:line="240" w:lineRule="auto"/>
        <w:ind w:left="432" w:hanging="432"/>
        <w:jc w:val="left"/>
      </w:pPr>
      <w:r>
        <w:rPr>
          <w:rFonts w:ascii="Times New Roman" w:hAnsi="Times New Roman"/>
          <w:b w:val="0"/>
          <w:i w:val="0"/>
          <w:smallCaps w:val="0"/>
          <w:sz w:val="16"/>
        </w:rPr>
        <w:t>[28]</w:t>
        <w:tab/>
      </w:r>
      <w:r>
        <w:rPr>
          <w:rFonts w:ascii="Times New Roman" w:hAnsi="Times New Roman"/>
          <w:b w:val="0"/>
          <w:i w:val="0"/>
          <w:smallCaps w:val="0"/>
          <w:sz w:val="16"/>
        </w:rPr>
        <w:t xml:space="preserve">W. W. Moe and P. S. Fader, "Dynamic conversion behavior at e-commerce sites," </w:t>
      </w:r>
      <w:r>
        <w:rPr>
          <w:rFonts w:ascii="Times New Roman" w:hAnsi="Times New Roman"/>
          <w:b w:val="0"/>
          <w:i/>
          <w:smallCaps w:val="0"/>
          <w:sz w:val="16"/>
        </w:rPr>
        <w:t>Management Science</w:t>
      </w:r>
      <w:r>
        <w:rPr>
          <w:rFonts w:ascii="Times New Roman" w:hAnsi="Times New Roman"/>
          <w:b w:val="0"/>
          <w:i w:val="0"/>
          <w:smallCaps w:val="0"/>
          <w:sz w:val="16"/>
        </w:rPr>
        <w:t>, vol. 50, no. 3, pp. 326-335, 2004.</w:t>
      </w:r>
    </w:p>
    <w:p>
      <w:pPr>
        <w:tabs>
          <w:tab w:pos="432" w:val="left"/>
        </w:tabs>
        <w:spacing w:after="40" w:before="0" w:line="240" w:lineRule="auto"/>
        <w:ind w:left="432" w:hanging="432"/>
        <w:jc w:val="left"/>
      </w:pPr>
      <w:r>
        <w:rPr>
          <w:rFonts w:ascii="Times New Roman" w:hAnsi="Times New Roman"/>
          <w:b w:val="0"/>
          <w:i w:val="0"/>
          <w:smallCaps w:val="0"/>
          <w:sz w:val="16"/>
        </w:rPr>
        <w:t>[29]</w:t>
        <w:tab/>
      </w:r>
      <w:r>
        <w:rPr>
          <w:rFonts w:ascii="Times New Roman" w:hAnsi="Times New Roman"/>
          <w:b w:val="0"/>
          <w:i w:val="0"/>
          <w:smallCaps w:val="0"/>
          <w:sz w:val="16"/>
        </w:rPr>
        <w:t xml:space="preserve">A. L. Montgomery, S. Li, K. Srinivasan, and J. C. Liechty, "Modeling online browsing and path analysis using clickstream data," </w:t>
      </w:r>
      <w:r>
        <w:rPr>
          <w:rFonts w:ascii="Times New Roman" w:hAnsi="Times New Roman"/>
          <w:b w:val="0"/>
          <w:i/>
          <w:smallCaps w:val="0"/>
          <w:sz w:val="16"/>
        </w:rPr>
        <w:t>Marketing Science</w:t>
      </w:r>
      <w:r>
        <w:rPr>
          <w:rFonts w:ascii="Times New Roman" w:hAnsi="Times New Roman"/>
          <w:b w:val="0"/>
          <w:i w:val="0"/>
          <w:smallCaps w:val="0"/>
          <w:sz w:val="16"/>
        </w:rPr>
        <w:t>, vol. 23, no. 4, pp. 579-595, 2004.</w:t>
      </w:r>
    </w:p>
    <w:p>
      <w:pPr>
        <w:tabs>
          <w:tab w:pos="432" w:val="left"/>
        </w:tabs>
        <w:spacing w:after="40" w:before="0" w:line="240" w:lineRule="auto"/>
        <w:ind w:left="432" w:hanging="432"/>
        <w:jc w:val="left"/>
      </w:pPr>
      <w:r>
        <w:rPr>
          <w:rFonts w:ascii="Times New Roman" w:hAnsi="Times New Roman"/>
          <w:b w:val="0"/>
          <w:i w:val="0"/>
          <w:smallCaps w:val="0"/>
          <w:sz w:val="16"/>
        </w:rPr>
        <w:t>[30]</w:t>
        <w:tab/>
      </w:r>
      <w:r>
        <w:rPr>
          <w:rFonts w:ascii="Times New Roman" w:hAnsi="Times New Roman"/>
          <w:b w:val="0"/>
          <w:i w:val="0"/>
          <w:smallCaps w:val="0"/>
          <w:sz w:val="16"/>
        </w:rPr>
        <w:t xml:space="preserve">R. E. Bucklin and C. Sismeiro, "Click here for Internet insight: Advances in clickstream data analysis in marketing," </w:t>
      </w:r>
      <w:r>
        <w:rPr>
          <w:rFonts w:ascii="Times New Roman" w:hAnsi="Times New Roman"/>
          <w:b w:val="0"/>
          <w:i/>
          <w:smallCaps w:val="0"/>
          <w:sz w:val="16"/>
        </w:rPr>
        <w:t>Journal of Interactive Marketing</w:t>
      </w:r>
      <w:r>
        <w:rPr>
          <w:rFonts w:ascii="Times New Roman" w:hAnsi="Times New Roman"/>
          <w:b w:val="0"/>
          <w:i w:val="0"/>
          <w:smallCaps w:val="0"/>
          <w:sz w:val="16"/>
        </w:rPr>
        <w:t>, vol. 23, no. 1, pp. 35-48, 2009.</w:t>
      </w:r>
    </w:p>
    <w:p>
      <w:pPr>
        <w:tabs>
          <w:tab w:pos="432" w:val="left"/>
        </w:tabs>
        <w:spacing w:after="40" w:before="0" w:line="240" w:lineRule="auto"/>
        <w:ind w:left="432" w:hanging="432"/>
        <w:jc w:val="left"/>
      </w:pPr>
      <w:r>
        <w:rPr>
          <w:rFonts w:ascii="Times New Roman" w:hAnsi="Times New Roman"/>
          <w:b w:val="0"/>
          <w:i w:val="0"/>
          <w:smallCaps w:val="0"/>
          <w:sz w:val="16"/>
        </w:rPr>
        <w:t>[31]</w:t>
        <w:tab/>
      </w:r>
      <w:r>
        <w:rPr>
          <w:rFonts w:ascii="Times New Roman" w:hAnsi="Times New Roman"/>
          <w:b w:val="0"/>
          <w:i w:val="0"/>
          <w:smallCaps w:val="0"/>
          <w:sz w:val="16"/>
        </w:rPr>
        <w:t xml:space="preserve">C. O. Sakar, S. O. Polat, M. Katircioglu, and Y. Kastro, "Real-time prediction of online shoppers' purchasing intention using multilayer perceptron and LSTM recurrent neural networks," </w:t>
      </w:r>
      <w:r>
        <w:rPr>
          <w:rFonts w:ascii="Times New Roman" w:hAnsi="Times New Roman"/>
          <w:b w:val="0"/>
          <w:i/>
          <w:smallCaps w:val="0"/>
          <w:sz w:val="16"/>
        </w:rPr>
        <w:t>Neural Computing and Applications</w:t>
      </w:r>
      <w:r>
        <w:rPr>
          <w:rFonts w:ascii="Times New Roman" w:hAnsi="Times New Roman"/>
          <w:b w:val="0"/>
          <w:i w:val="0"/>
          <w:smallCaps w:val="0"/>
          <w:sz w:val="16"/>
        </w:rPr>
        <w:t>, vol. 31, pp. 6893-6908, 2019.</w:t>
      </w:r>
    </w:p>
    <w:p>
      <w:pPr>
        <w:tabs>
          <w:tab w:pos="432" w:val="left"/>
        </w:tabs>
        <w:spacing w:after="40" w:before="0" w:line="240" w:lineRule="auto"/>
        <w:ind w:left="432" w:hanging="432"/>
        <w:jc w:val="left"/>
      </w:pPr>
      <w:r>
        <w:rPr>
          <w:rFonts w:ascii="Times New Roman" w:hAnsi="Times New Roman"/>
          <w:b w:val="0"/>
          <w:i w:val="0"/>
          <w:smallCaps w:val="0"/>
          <w:sz w:val="16"/>
        </w:rPr>
        <w:t>[32]</w:t>
        <w:tab/>
      </w:r>
      <w:r>
        <w:rPr>
          <w:rFonts w:ascii="Times New Roman" w:hAnsi="Times New Roman"/>
          <w:b w:val="0"/>
          <w:i w:val="0"/>
          <w:smallCaps w:val="0"/>
          <w:sz w:val="16"/>
        </w:rPr>
        <w:t>Google, "BigQuery sample dataset for Google Analytics 360," Google Analytics Help. [Online]. Available: https://support.google.com/analytics/answer/7586738</w:t>
      </w:r>
    </w:p>
    <w:p>
      <w:pPr>
        <w:tabs>
          <w:tab w:pos="432" w:val="left"/>
        </w:tabs>
        <w:spacing w:after="40" w:before="0" w:line="240" w:lineRule="auto"/>
        <w:ind w:left="432" w:hanging="432"/>
        <w:jc w:val="left"/>
      </w:pPr>
      <w:r>
        <w:rPr>
          <w:rFonts w:ascii="Times New Roman" w:hAnsi="Times New Roman"/>
          <w:b w:val="0"/>
          <w:i w:val="0"/>
          <w:smallCaps w:val="0"/>
          <w:sz w:val="16"/>
        </w:rPr>
        <w:t>[33]</w:t>
        <w:tab/>
      </w:r>
      <w:r>
        <w:rPr>
          <w:rFonts w:ascii="Times New Roman" w:hAnsi="Times New Roman"/>
          <w:b w:val="0"/>
          <w:i w:val="0"/>
          <w:smallCaps w:val="0"/>
          <w:sz w:val="16"/>
        </w:rPr>
        <w:t>Kaggle, "Sales conversion optimization (Facebook ad campaign data)," Kaggle Datasets. [Online]. Available: https://www.kaggle.com/datasets/loveall/clicks-conversion-tracking</w:t>
      </w:r>
    </w:p>
    <w:p>
      <w:pPr>
        <w:tabs>
          <w:tab w:pos="432" w:val="left"/>
        </w:tabs>
        <w:spacing w:after="40" w:before="0" w:line="240" w:lineRule="auto"/>
        <w:ind w:left="432" w:hanging="432"/>
        <w:jc w:val="left"/>
      </w:pPr>
      <w:r>
        <w:rPr>
          <w:rFonts w:ascii="Times New Roman" w:hAnsi="Times New Roman"/>
          <w:b w:val="0"/>
          <w:i w:val="0"/>
          <w:smallCaps w:val="0"/>
          <w:sz w:val="16"/>
        </w:rPr>
        <w:t>[34]</w:t>
        <w:tab/>
      </w:r>
      <w:r>
        <w:rPr>
          <w:rFonts w:ascii="Times New Roman" w:hAnsi="Times New Roman"/>
          <w:b w:val="0"/>
          <w:i w:val="0"/>
          <w:smallCaps w:val="0"/>
          <w:sz w:val="16"/>
        </w:rPr>
        <w:t xml:space="preserve">J. R. Norris, </w:t>
      </w:r>
      <w:r>
        <w:rPr>
          <w:rFonts w:ascii="Times New Roman" w:hAnsi="Times New Roman"/>
          <w:b w:val="0"/>
          <w:i/>
          <w:smallCaps w:val="0"/>
          <w:sz w:val="16"/>
        </w:rPr>
        <w:t>Markov Chains</w:t>
      </w:r>
      <w:r>
        <w:rPr>
          <w:rFonts w:ascii="Times New Roman" w:hAnsi="Times New Roman"/>
          <w:b w:val="0"/>
          <w:i w:val="0"/>
          <w:smallCaps w:val="0"/>
          <w:sz w:val="16"/>
        </w:rPr>
        <w:t>. Cambridge, U.K.: Cambridge Univ. Press, 1997.</w:t>
      </w:r>
    </w:p>
    <w:p>
      <w:pPr>
        <w:tabs>
          <w:tab w:pos="432" w:val="left"/>
        </w:tabs>
        <w:spacing w:after="40" w:before="0" w:line="240" w:lineRule="auto"/>
        <w:ind w:left="432" w:hanging="432"/>
        <w:jc w:val="left"/>
      </w:pPr>
      <w:r>
        <w:rPr>
          <w:rFonts w:ascii="Times New Roman" w:hAnsi="Times New Roman"/>
          <w:b w:val="0"/>
          <w:i w:val="0"/>
          <w:smallCaps w:val="0"/>
          <w:sz w:val="16"/>
        </w:rPr>
        <w:t>[35]</w:t>
        <w:tab/>
      </w:r>
      <w:r>
        <w:rPr>
          <w:rFonts w:ascii="Times New Roman" w:hAnsi="Times New Roman"/>
          <w:b w:val="0"/>
          <w:i w:val="0"/>
          <w:smallCaps w:val="0"/>
          <w:sz w:val="16"/>
        </w:rPr>
        <w:t xml:space="preserve">C. Spearman, "The proof and measurement of association between two things," </w:t>
      </w:r>
      <w:r>
        <w:rPr>
          <w:rFonts w:ascii="Times New Roman" w:hAnsi="Times New Roman"/>
          <w:b w:val="0"/>
          <w:i/>
          <w:smallCaps w:val="0"/>
          <w:sz w:val="16"/>
        </w:rPr>
        <w:t>American Journal of Psychology</w:t>
      </w:r>
      <w:r>
        <w:rPr>
          <w:rFonts w:ascii="Times New Roman" w:hAnsi="Times New Roman"/>
          <w:b w:val="0"/>
          <w:i w:val="0"/>
          <w:smallCaps w:val="0"/>
          <w:sz w:val="16"/>
        </w:rPr>
        <w:t>, vol. 15, no. 1, pp. 72-101, 1904.</w:t>
      </w:r>
    </w:p>
    <w:p>
      <w:pPr>
        <w:tabs>
          <w:tab w:pos="432" w:val="left"/>
        </w:tabs>
        <w:spacing w:after="40" w:before="0" w:line="240" w:lineRule="auto"/>
        <w:ind w:left="432" w:hanging="432"/>
        <w:jc w:val="left"/>
      </w:pPr>
      <w:r>
        <w:rPr>
          <w:rFonts w:ascii="Times New Roman" w:hAnsi="Times New Roman"/>
          <w:b w:val="0"/>
          <w:i w:val="0"/>
          <w:smallCaps w:val="0"/>
          <w:sz w:val="16"/>
        </w:rPr>
        <w:t>[36]</w:t>
        <w:tab/>
      </w:r>
      <w:r>
        <w:rPr>
          <w:rFonts w:ascii="Times New Roman" w:hAnsi="Times New Roman"/>
          <w:b w:val="0"/>
          <w:i w:val="0"/>
          <w:smallCaps w:val="0"/>
          <w:sz w:val="16"/>
        </w:rPr>
        <w:t xml:space="preserve">B. Efron and R. J. Tibshirani, </w:t>
      </w:r>
      <w:r>
        <w:rPr>
          <w:rFonts w:ascii="Times New Roman" w:hAnsi="Times New Roman"/>
          <w:b w:val="0"/>
          <w:i/>
          <w:smallCaps w:val="0"/>
          <w:sz w:val="16"/>
        </w:rPr>
        <w:t>An Introduction to the Bootstrap</w:t>
      </w:r>
      <w:r>
        <w:rPr>
          <w:rFonts w:ascii="Times New Roman" w:hAnsi="Times New Roman"/>
          <w:b w:val="0"/>
          <w:i w:val="0"/>
          <w:smallCaps w:val="0"/>
          <w:sz w:val="16"/>
        </w:rPr>
        <w:t>. New York, NY, USA: Chapman &amp; Hall, 1993.</w:t>
      </w:r>
    </w:p>
    <w:p>
      <w:pPr>
        <w:tabs>
          <w:tab w:pos="432" w:val="left"/>
        </w:tabs>
        <w:spacing w:after="40" w:before="0" w:line="240" w:lineRule="auto"/>
        <w:ind w:left="432" w:hanging="432"/>
        <w:jc w:val="left"/>
      </w:pPr>
      <w:r>
        <w:rPr>
          <w:rFonts w:ascii="Times New Roman" w:hAnsi="Times New Roman"/>
          <w:b w:val="0"/>
          <w:i w:val="0"/>
          <w:smallCaps w:val="0"/>
          <w:sz w:val="16"/>
        </w:rPr>
        <w:t>[37]</w:t>
        <w:tab/>
      </w:r>
      <w:r>
        <w:rPr>
          <w:rFonts w:ascii="Times New Roman" w:hAnsi="Times New Roman"/>
          <w:b w:val="0"/>
          <w:i w:val="0"/>
          <w:smallCaps w:val="0"/>
          <w:sz w:val="16"/>
        </w:rPr>
        <w:t xml:space="preserve">K. Pearson, "On the criterion that a given system of deviations from the probable in the case of a correlated system of variables is such that it can be reasonably supposed to have arisen from random sampling," </w:t>
      </w:r>
      <w:r>
        <w:rPr>
          <w:rFonts w:ascii="Times New Roman" w:hAnsi="Times New Roman"/>
          <w:b w:val="0"/>
          <w:i/>
          <w:smallCaps w:val="0"/>
          <w:sz w:val="16"/>
        </w:rPr>
        <w:t>Philosophical Magazine</w:t>
      </w:r>
      <w:r>
        <w:rPr>
          <w:rFonts w:ascii="Times New Roman" w:hAnsi="Times New Roman"/>
          <w:b w:val="0"/>
          <w:i w:val="0"/>
          <w:smallCaps w:val="0"/>
          <w:sz w:val="16"/>
        </w:rPr>
        <w:t>, ser. 5, vol. 50, no. 302, pp. 157-175, 1900.</w:t>
      </w:r>
    </w:p>
    <w:p>
      <w:pPr>
        <w:tabs>
          <w:tab w:pos="432" w:val="left"/>
        </w:tabs>
        <w:spacing w:after="40" w:before="0" w:line="240" w:lineRule="auto"/>
        <w:ind w:left="432" w:hanging="432"/>
        <w:jc w:val="left"/>
      </w:pPr>
      <w:r>
        <w:rPr>
          <w:rFonts w:ascii="Times New Roman" w:hAnsi="Times New Roman"/>
          <w:b w:val="0"/>
          <w:i w:val="0"/>
          <w:smallCaps w:val="0"/>
          <w:sz w:val="16"/>
        </w:rPr>
        <w:t>[38]</w:t>
        <w:tab/>
      </w:r>
      <w:r>
        <w:rPr>
          <w:rFonts w:ascii="Times New Roman" w:hAnsi="Times New Roman"/>
          <w:b w:val="0"/>
          <w:i w:val="0"/>
          <w:smallCaps w:val="0"/>
          <w:sz w:val="16"/>
        </w:rPr>
        <w:t xml:space="preserve">H. B. Mann and D. R. Whitney, "On a test of whether one of two random variables is stochastically larger than the other," </w:t>
      </w:r>
      <w:r>
        <w:rPr>
          <w:rFonts w:ascii="Times New Roman" w:hAnsi="Times New Roman"/>
          <w:b w:val="0"/>
          <w:i/>
          <w:smallCaps w:val="0"/>
          <w:sz w:val="16"/>
        </w:rPr>
        <w:t>Annals of Mathematical Statistics</w:t>
      </w:r>
      <w:r>
        <w:rPr>
          <w:rFonts w:ascii="Times New Roman" w:hAnsi="Times New Roman"/>
          <w:b w:val="0"/>
          <w:i w:val="0"/>
          <w:smallCaps w:val="0"/>
          <w:sz w:val="16"/>
        </w:rPr>
        <w:t>, vol. 18, no. 1, pp. 50-60, 1947.</w:t>
      </w:r>
    </w:p>
    <w:p>
      <w:pPr>
        <w:tabs>
          <w:tab w:pos="432" w:val="left"/>
        </w:tabs>
        <w:spacing w:after="40" w:before="0" w:line="240" w:lineRule="auto"/>
        <w:ind w:left="432" w:hanging="432"/>
        <w:jc w:val="left"/>
      </w:pPr>
      <w:r>
        <w:rPr>
          <w:rFonts w:ascii="Times New Roman" w:hAnsi="Times New Roman"/>
          <w:b w:val="0"/>
          <w:i w:val="0"/>
          <w:smallCaps w:val="0"/>
          <w:sz w:val="16"/>
        </w:rPr>
        <w:t>[39]</w:t>
        <w:tab/>
      </w:r>
      <w:r>
        <w:rPr>
          <w:rFonts w:ascii="Times New Roman" w:hAnsi="Times New Roman"/>
          <w:b w:val="0"/>
          <w:i w:val="0"/>
          <w:smallCaps w:val="0"/>
          <w:sz w:val="16"/>
        </w:rPr>
        <w:t xml:space="preserve">L. Breiman, "Random forests," </w:t>
      </w:r>
      <w:r>
        <w:rPr>
          <w:rFonts w:ascii="Times New Roman" w:hAnsi="Times New Roman"/>
          <w:b w:val="0"/>
          <w:i/>
          <w:smallCaps w:val="0"/>
          <w:sz w:val="16"/>
        </w:rPr>
        <w:t>Machine Learning</w:t>
      </w:r>
      <w:r>
        <w:rPr>
          <w:rFonts w:ascii="Times New Roman" w:hAnsi="Times New Roman"/>
          <w:b w:val="0"/>
          <w:i w:val="0"/>
          <w:smallCaps w:val="0"/>
          <w:sz w:val="16"/>
        </w:rPr>
        <w:t>, vol. 45, no. 1, pp. 5-32, 2001.</w:t>
      </w:r>
    </w:p>
    <w:p>
      <w:pPr>
        <w:tabs>
          <w:tab w:pos="432" w:val="left"/>
        </w:tabs>
        <w:spacing w:after="40" w:before="0" w:line="240" w:lineRule="auto"/>
        <w:ind w:left="432" w:hanging="432"/>
        <w:jc w:val="left"/>
      </w:pPr>
      <w:r>
        <w:rPr>
          <w:rFonts w:ascii="Times New Roman" w:hAnsi="Times New Roman"/>
          <w:b w:val="0"/>
          <w:i w:val="0"/>
          <w:smallCaps w:val="0"/>
          <w:sz w:val="16"/>
        </w:rPr>
        <w:t>[40]</w:t>
        <w:tab/>
      </w:r>
      <w:r>
        <w:rPr>
          <w:rFonts w:ascii="Times New Roman" w:hAnsi="Times New Roman"/>
          <w:b w:val="0"/>
          <w:i w:val="0"/>
          <w:smallCaps w:val="0"/>
          <w:sz w:val="16"/>
        </w:rPr>
        <w:t xml:space="preserve">J. H. Friedman, "Greedy function approximation: A gradient boosting machine," </w:t>
      </w:r>
      <w:r>
        <w:rPr>
          <w:rFonts w:ascii="Times New Roman" w:hAnsi="Times New Roman"/>
          <w:b w:val="0"/>
          <w:i/>
          <w:smallCaps w:val="0"/>
          <w:sz w:val="16"/>
        </w:rPr>
        <w:t>Annals of Statistics</w:t>
      </w:r>
      <w:r>
        <w:rPr>
          <w:rFonts w:ascii="Times New Roman" w:hAnsi="Times New Roman"/>
          <w:b w:val="0"/>
          <w:i w:val="0"/>
          <w:smallCaps w:val="0"/>
          <w:sz w:val="16"/>
        </w:rPr>
        <w:t>, vol. 29, no. 5, pp. 1189-1232, 2001.</w:t>
      </w:r>
    </w:p>
    <w:p>
      <w:pPr>
        <w:tabs>
          <w:tab w:pos="432" w:val="left"/>
        </w:tabs>
        <w:spacing w:after="40" w:before="0" w:line="240" w:lineRule="auto"/>
        <w:ind w:left="432" w:hanging="432"/>
        <w:jc w:val="left"/>
      </w:pPr>
      <w:r>
        <w:rPr>
          <w:rFonts w:ascii="Times New Roman" w:hAnsi="Times New Roman"/>
          <w:b w:val="0"/>
          <w:i w:val="0"/>
          <w:smallCaps w:val="0"/>
          <w:sz w:val="16"/>
        </w:rPr>
        <w:t>[41]</w:t>
        <w:tab/>
      </w:r>
      <w:r>
        <w:rPr>
          <w:rFonts w:ascii="Times New Roman" w:hAnsi="Times New Roman"/>
          <w:b w:val="0"/>
          <w:i w:val="0"/>
          <w:smallCaps w:val="0"/>
          <w:sz w:val="16"/>
        </w:rPr>
        <w:t xml:space="preserve">F. Pedregosa et al., "Scikit-learn: Machine learning in Python," </w:t>
      </w:r>
      <w:r>
        <w:rPr>
          <w:rFonts w:ascii="Times New Roman" w:hAnsi="Times New Roman"/>
          <w:b w:val="0"/>
          <w:i/>
          <w:smallCaps w:val="0"/>
          <w:sz w:val="16"/>
        </w:rPr>
        <w:t>Journal of Machine Learning Research</w:t>
      </w:r>
      <w:r>
        <w:rPr>
          <w:rFonts w:ascii="Times New Roman" w:hAnsi="Times New Roman"/>
          <w:b w:val="0"/>
          <w:i w:val="0"/>
          <w:smallCaps w:val="0"/>
          <w:sz w:val="16"/>
        </w:rPr>
        <w:t>, vol. 12, pp. 2825-2830, 2011.</w:t>
      </w:r>
    </w:p>
    <w:p>
      <w:pPr>
        <w:tabs>
          <w:tab w:pos="432" w:val="left"/>
        </w:tabs>
        <w:spacing w:after="40" w:before="0" w:line="240" w:lineRule="auto"/>
        <w:ind w:left="432" w:hanging="432"/>
        <w:jc w:val="left"/>
      </w:pPr>
      <w:r>
        <w:rPr>
          <w:rFonts w:ascii="Times New Roman" w:hAnsi="Times New Roman"/>
          <w:b w:val="0"/>
          <w:i w:val="0"/>
          <w:smallCaps w:val="0"/>
          <w:sz w:val="16"/>
        </w:rPr>
        <w:t>[42]</w:t>
        <w:tab/>
      </w:r>
      <w:r>
        <w:rPr>
          <w:rFonts w:ascii="Times New Roman" w:hAnsi="Times New Roman"/>
          <w:b w:val="0"/>
          <w:i w:val="0"/>
          <w:smallCaps w:val="0"/>
          <w:sz w:val="16"/>
        </w:rPr>
        <w:t xml:space="preserve">T. Fawcett, "An introduction to ROC analysis," </w:t>
      </w:r>
      <w:r>
        <w:rPr>
          <w:rFonts w:ascii="Times New Roman" w:hAnsi="Times New Roman"/>
          <w:b w:val="0"/>
          <w:i/>
          <w:smallCaps w:val="0"/>
          <w:sz w:val="16"/>
        </w:rPr>
        <w:t>Pattern Recognition Letters</w:t>
      </w:r>
      <w:r>
        <w:rPr>
          <w:rFonts w:ascii="Times New Roman" w:hAnsi="Times New Roman"/>
          <w:b w:val="0"/>
          <w:i w:val="0"/>
          <w:smallCaps w:val="0"/>
          <w:sz w:val="16"/>
        </w:rPr>
        <w:t>, vol. 27, no. 8, pp. 861-874, 2006.</w:t>
      </w:r>
    </w:p>
    <w:p>
      <w:pPr>
        <w:tabs>
          <w:tab w:pos="432" w:val="left"/>
        </w:tabs>
        <w:spacing w:after="40" w:before="0" w:line="240" w:lineRule="auto"/>
        <w:ind w:left="432" w:hanging="432"/>
        <w:jc w:val="left"/>
      </w:pPr>
      <w:r>
        <w:rPr>
          <w:rFonts w:ascii="Times New Roman" w:hAnsi="Times New Roman"/>
          <w:b w:val="0"/>
          <w:i w:val="0"/>
          <w:smallCaps w:val="0"/>
          <w:sz w:val="16"/>
        </w:rPr>
        <w:t>[43]</w:t>
        <w:tab/>
      </w:r>
      <w:r>
        <w:rPr>
          <w:rFonts w:ascii="Times New Roman" w:hAnsi="Times New Roman"/>
          <w:b w:val="0"/>
          <w:i w:val="0"/>
          <w:smallCaps w:val="0"/>
          <w:sz w:val="16"/>
        </w:rPr>
        <w:t xml:space="preserve">P. Lewis et al., "Retrieval-augmented generation for knowledge-intensive NLP tasks," in </w:t>
      </w:r>
      <w:r>
        <w:rPr>
          <w:rFonts w:ascii="Times New Roman" w:hAnsi="Times New Roman"/>
          <w:b w:val="0"/>
          <w:i/>
          <w:smallCaps w:val="0"/>
          <w:sz w:val="16"/>
        </w:rPr>
        <w:t>Advances in Neural Information Processing Systems 33</w:t>
      </w:r>
      <w:r>
        <w:rPr>
          <w:rFonts w:ascii="Times New Roman" w:hAnsi="Times New Roman"/>
          <w:b w:val="0"/>
          <w:i w:val="0"/>
          <w:smallCaps w:val="0"/>
          <w:sz w:val="16"/>
        </w:rPr>
        <w:t>, 2020, pp. 9459-9474.</w:t>
      </w:r>
    </w:p>
    <w:p>
      <w:pPr>
        <w:tabs>
          <w:tab w:pos="432" w:val="left"/>
        </w:tabs>
        <w:spacing w:after="40" w:before="0" w:line="240" w:lineRule="auto"/>
        <w:ind w:left="432" w:hanging="432"/>
        <w:jc w:val="left"/>
      </w:pPr>
      <w:r>
        <w:rPr>
          <w:rFonts w:ascii="Times New Roman" w:hAnsi="Times New Roman"/>
          <w:b w:val="0"/>
          <w:i w:val="0"/>
          <w:smallCaps w:val="0"/>
          <w:sz w:val="16"/>
        </w:rPr>
        <w:t>[44]</w:t>
        <w:tab/>
      </w:r>
      <w:r>
        <w:rPr>
          <w:rFonts w:ascii="Times New Roman" w:hAnsi="Times New Roman"/>
          <w:b w:val="0"/>
          <w:i w:val="0"/>
          <w:smallCaps w:val="0"/>
          <w:sz w:val="16"/>
        </w:rPr>
        <w:t xml:space="preserve">Z. Ji et al., "Survey of hallucination in natural language generation," </w:t>
      </w:r>
      <w:r>
        <w:rPr>
          <w:rFonts w:ascii="Times New Roman" w:hAnsi="Times New Roman"/>
          <w:b w:val="0"/>
          <w:i/>
          <w:smallCaps w:val="0"/>
          <w:sz w:val="16"/>
        </w:rPr>
        <w:t>ACM Computing Surveys</w:t>
      </w:r>
      <w:r>
        <w:rPr>
          <w:rFonts w:ascii="Times New Roman" w:hAnsi="Times New Roman"/>
          <w:b w:val="0"/>
          <w:i w:val="0"/>
          <w:smallCaps w:val="0"/>
          <w:sz w:val="16"/>
        </w:rPr>
        <w:t>, vol. 55, no. 12, pp. 1-38, 2023.</w:t>
      </w:r>
    </w:p>
    <w:p>
      <w:pPr>
        <w:tabs>
          <w:tab w:pos="432" w:val="left"/>
        </w:tabs>
        <w:spacing w:after="40" w:before="0" w:line="240" w:lineRule="auto"/>
        <w:ind w:left="432" w:hanging="432"/>
        <w:jc w:val="left"/>
      </w:pPr>
      <w:r>
        <w:rPr>
          <w:rFonts w:ascii="Times New Roman" w:hAnsi="Times New Roman"/>
          <w:b w:val="0"/>
          <w:i w:val="0"/>
          <w:smallCaps w:val="0"/>
          <w:sz w:val="16"/>
        </w:rPr>
        <w:t>[45]</w:t>
        <w:tab/>
      </w:r>
      <w:r>
        <w:rPr>
          <w:rFonts w:ascii="Times New Roman" w:hAnsi="Times New Roman"/>
          <w:b w:val="0"/>
          <w:i w:val="0"/>
          <w:smallCaps w:val="0"/>
          <w:sz w:val="16"/>
        </w:rPr>
        <w:t xml:space="preserve">G. Salton and C. Buckley, "Term-weighting approaches in automatic text retrieval," </w:t>
      </w:r>
      <w:r>
        <w:rPr>
          <w:rFonts w:ascii="Times New Roman" w:hAnsi="Times New Roman"/>
          <w:b w:val="0"/>
          <w:i/>
          <w:smallCaps w:val="0"/>
          <w:sz w:val="16"/>
        </w:rPr>
        <w:t>Information Processing &amp; Management</w:t>
      </w:r>
      <w:r>
        <w:rPr>
          <w:rFonts w:ascii="Times New Roman" w:hAnsi="Times New Roman"/>
          <w:b w:val="0"/>
          <w:i w:val="0"/>
          <w:smallCaps w:val="0"/>
          <w:sz w:val="16"/>
        </w:rPr>
        <w:t>, vol. 24, no. 5, pp. 513-523, 1988.</w:t>
      </w:r>
    </w:p>
    <w:p>
      <w:pPr>
        <w:tabs>
          <w:tab w:pos="432" w:val="left"/>
        </w:tabs>
        <w:spacing w:after="40" w:before="0" w:line="240" w:lineRule="auto"/>
        <w:ind w:left="432" w:hanging="432"/>
        <w:jc w:val="left"/>
      </w:pPr>
      <w:r>
        <w:rPr>
          <w:rFonts w:ascii="Times New Roman" w:hAnsi="Times New Roman"/>
          <w:b w:val="0"/>
          <w:i w:val="0"/>
          <w:smallCaps w:val="0"/>
          <w:sz w:val="16"/>
        </w:rPr>
        <w:t>[46]</w:t>
        <w:tab/>
      </w:r>
      <w:r>
        <w:rPr>
          <w:rFonts w:ascii="Times New Roman" w:hAnsi="Times New Roman"/>
          <w:b w:val="0"/>
          <w:i w:val="0"/>
          <w:smallCaps w:val="0"/>
          <w:sz w:val="16"/>
        </w:rPr>
        <w:t xml:space="preserve">J. Brooke, "SUS: A quick and dirty usability scale," in </w:t>
      </w:r>
      <w:r>
        <w:rPr>
          <w:rFonts w:ascii="Times New Roman" w:hAnsi="Times New Roman"/>
          <w:b w:val="0"/>
          <w:i/>
          <w:smallCaps w:val="0"/>
          <w:sz w:val="16"/>
        </w:rPr>
        <w:t>Usability Evaluation in Industry</w:t>
      </w:r>
      <w:r>
        <w:rPr>
          <w:rFonts w:ascii="Times New Roman" w:hAnsi="Times New Roman"/>
          <w:b w:val="0"/>
          <w:i w:val="0"/>
          <w:smallCaps w:val="0"/>
          <w:sz w:val="16"/>
        </w:rPr>
        <w:t>. London, U.K.: Taylor &amp; Francis, 1996, pp. 189-194.</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