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0528" w14:textId="26ADF6C1" w:rsidR="00A0605A" w:rsidRPr="00A0605A" w:rsidRDefault="00A0605A" w:rsidP="00F40D87">
      <w:pPr>
        <w:pStyle w:val="1"/>
        <w:spacing w:after="156"/>
      </w:pPr>
      <w:r w:rsidRPr="00A0605A">
        <w:t>Literature Review</w:t>
      </w:r>
    </w:p>
    <w:p w14:paraId="031ECE62" w14:textId="77777777" w:rsidR="00F40D87" w:rsidRDefault="00EB2029" w:rsidP="00F40D87">
      <w:pPr>
        <w:spacing w:after="156"/>
        <w:rPr>
          <w:rFonts w:cs="Times New Roman"/>
        </w:rPr>
      </w:pPr>
      <w:r>
        <w:rPr>
          <w:rFonts w:cs="Times New Roman"/>
        </w:rPr>
        <w:t>As we already know Transformer (2017) architecture in class,</w:t>
      </w:r>
      <w:r w:rsidR="00A0605A" w:rsidRPr="00A0605A">
        <w:rPr>
          <w:rFonts w:cs="Times New Roman"/>
        </w:rPr>
        <w:t xml:space="preserve"> </w:t>
      </w:r>
      <w:r>
        <w:rPr>
          <w:rFonts w:cs="Times New Roman"/>
        </w:rPr>
        <w:t>i</w:t>
      </w:r>
      <w:r w:rsidR="00A0605A" w:rsidRPr="00A0605A">
        <w:rPr>
          <w:rFonts w:cs="Times New Roman"/>
        </w:rPr>
        <w:t xml:space="preserve">n Natural Language Processing (NLP), the paradigm was revolutionized by BERT (Devlin et al., 2018), which introduced Masked Language Modeling (MLM). By masking a small portion of the input text and training the model to predict the missing words, BERT demonstrated the immense power of autoencoding for pre-training. </w:t>
      </w:r>
    </w:p>
    <w:p w14:paraId="174B4353" w14:textId="29E9A2FF" w:rsidR="00A0605A" w:rsidRPr="00A0605A" w:rsidRDefault="00A0605A" w:rsidP="00F40D87">
      <w:pPr>
        <w:spacing w:after="156"/>
        <w:rPr>
          <w:rFonts w:cs="Times New Roman"/>
        </w:rPr>
      </w:pPr>
      <w:r w:rsidRPr="00A0605A">
        <w:rPr>
          <w:rFonts w:cs="Times New Roman"/>
        </w:rPr>
        <w:t>However, translating this success to Computer Vision (CV) was initially challenging due to architectural differences and the dense, highly redundant nature of image pixels. The architectural barrier was fundamentally lowered by the Vision Transformer (</w:t>
      </w:r>
      <w:proofErr w:type="spellStart"/>
      <w:r w:rsidRPr="00A0605A">
        <w:rPr>
          <w:rFonts w:cs="Times New Roman"/>
        </w:rPr>
        <w:t>ViT</w:t>
      </w:r>
      <w:proofErr w:type="spellEnd"/>
      <w:r w:rsidRPr="00A0605A">
        <w:rPr>
          <w:rFonts w:cs="Times New Roman"/>
        </w:rPr>
        <w:t>) (</w:t>
      </w:r>
      <w:proofErr w:type="spellStart"/>
      <w:r w:rsidRPr="00A0605A">
        <w:rPr>
          <w:rFonts w:cs="Times New Roman"/>
        </w:rPr>
        <w:t>Dosovitskiy</w:t>
      </w:r>
      <w:proofErr w:type="spellEnd"/>
      <w:r w:rsidRPr="00A0605A">
        <w:rPr>
          <w:rFonts w:cs="Times New Roman"/>
        </w:rPr>
        <w:t xml:space="preserve"> et al., 2020). By dividing an image into a sequence of non-overlapping patches and processing them with a standard Transformer, </w:t>
      </w:r>
      <w:proofErr w:type="spellStart"/>
      <w:r w:rsidRPr="00A0605A">
        <w:rPr>
          <w:rFonts w:cs="Times New Roman"/>
        </w:rPr>
        <w:t>ViT</w:t>
      </w:r>
      <w:proofErr w:type="spellEnd"/>
      <w:r w:rsidRPr="00A0605A">
        <w:rPr>
          <w:rFonts w:cs="Times New Roman"/>
        </w:rPr>
        <w:t xml:space="preserve"> provided a sequence-based representation of images, making NLP-like self-supervised tasks structurally feasible in vision. </w:t>
      </w:r>
    </w:p>
    <w:p w14:paraId="08F58269" w14:textId="15F8FCCC" w:rsidR="00A0605A" w:rsidRPr="00A0605A" w:rsidRDefault="00A0605A" w:rsidP="00F40D87">
      <w:pPr>
        <w:spacing w:after="156"/>
        <w:rPr>
          <w:rFonts w:cs="Times New Roman"/>
        </w:rPr>
      </w:pPr>
      <w:r w:rsidRPr="00A0605A">
        <w:rPr>
          <w:rFonts w:cs="Times New Roman"/>
        </w:rPr>
        <w:t xml:space="preserve">Prior to Masked Image Modeling (MIM), CV </w:t>
      </w:r>
      <w:r w:rsidR="00F40D87" w:rsidRPr="00F40D87">
        <w:rPr>
          <w:rFonts w:cs="Times New Roman"/>
        </w:rPr>
        <w:t>Self-supervised learning (SSL)</w:t>
      </w:r>
      <w:r w:rsidR="00F40D87">
        <w:rPr>
          <w:rFonts w:cs="Times New Roman" w:hint="eastAsia"/>
        </w:rPr>
        <w:t xml:space="preserve"> </w:t>
      </w:r>
      <w:r w:rsidRPr="00A0605A">
        <w:rPr>
          <w:rFonts w:cs="Times New Roman"/>
        </w:rPr>
        <w:t>was heavily dominated by contrastive learning methods</w:t>
      </w:r>
      <w:r w:rsidR="00F40D87">
        <w:rPr>
          <w:rFonts w:cs="Times New Roman" w:hint="eastAsia"/>
        </w:rPr>
        <w:t xml:space="preserve"> that </w:t>
      </w:r>
      <w:r w:rsidR="00F40D87">
        <w:rPr>
          <w:rFonts w:cs="Times New Roman"/>
        </w:rPr>
        <w:t>we have already learned in Lecture 10</w:t>
      </w:r>
      <w:r w:rsidRPr="00A0605A">
        <w:rPr>
          <w:rFonts w:cs="Times New Roman" w:hint="eastAsia"/>
        </w:rPr>
        <w:t>.</w:t>
      </w:r>
      <w:r w:rsidRPr="00A0605A">
        <w:rPr>
          <w:rFonts w:cs="Times New Roman"/>
        </w:rPr>
        <w:t xml:space="preserve"> While effective, these methods relied heavily on carefully engineered, complex data augmentation pipelines to create positive and negative sample pairs. The focus article, Masked Autoencoders (MAE), represents a paradigm shift away from contrastive learning towards generative MIM. As highlighted in the comprehensive survey by Zhang et al. (2022), MAE established a foundational framework that successfully adapted the MLM philosophy to vision, proving that simple reconstruction tasks could yield highly transferrable representations. </w:t>
      </w:r>
    </w:p>
    <w:p w14:paraId="0E45EEA4" w14:textId="1AB5C4F5" w:rsidR="00A0605A" w:rsidRPr="00F40D87" w:rsidRDefault="00A0605A" w:rsidP="00F40D87">
      <w:pPr>
        <w:pStyle w:val="1"/>
        <w:spacing w:after="156"/>
      </w:pPr>
      <w:r w:rsidRPr="00A0605A">
        <w:t>Contributions and Improvements over Existing Methods</w:t>
      </w:r>
    </w:p>
    <w:p w14:paraId="2753D468" w14:textId="77777777" w:rsidR="006B0B9C" w:rsidRDefault="00A0605A" w:rsidP="00F40D87">
      <w:pPr>
        <w:pStyle w:val="a9"/>
        <w:numPr>
          <w:ilvl w:val="0"/>
          <w:numId w:val="1"/>
        </w:numPr>
        <w:spacing w:after="156"/>
        <w:rPr>
          <w:rFonts w:cs="Times New Roman"/>
        </w:rPr>
      </w:pPr>
      <w:r w:rsidRPr="00F40D87">
        <w:rPr>
          <w:rFonts w:cs="Times New Roman"/>
        </w:rPr>
        <w:t>Asymmetric Encoder-Decoder Architecture for Scalability</w:t>
      </w:r>
    </w:p>
    <w:p w14:paraId="45C6455F" w14:textId="037E8227" w:rsidR="00A0605A" w:rsidRPr="00F40D87" w:rsidRDefault="00A0605A" w:rsidP="006B0B9C">
      <w:pPr>
        <w:pStyle w:val="a9"/>
        <w:spacing w:after="156"/>
        <w:ind w:left="360"/>
        <w:rPr>
          <w:rFonts w:cs="Times New Roman"/>
        </w:rPr>
      </w:pPr>
      <w:r w:rsidRPr="00F40D87">
        <w:rPr>
          <w:rFonts w:cs="Times New Roman"/>
        </w:rPr>
        <w:t xml:space="preserve">The most significant architectural contribution of MAE is the decoupling of the encoder and decoder. A lightweight decoder then processes the encoder's latent representations alongside mask tokens to reconstruct the original image. </w:t>
      </w:r>
    </w:p>
    <w:p w14:paraId="0923C91A" w14:textId="77777777" w:rsidR="006B0B9C" w:rsidRDefault="00A0605A" w:rsidP="00F40D87">
      <w:pPr>
        <w:pStyle w:val="a9"/>
        <w:numPr>
          <w:ilvl w:val="0"/>
          <w:numId w:val="1"/>
        </w:numPr>
        <w:spacing w:after="156"/>
        <w:rPr>
          <w:rFonts w:cs="Times New Roman"/>
        </w:rPr>
      </w:pPr>
      <w:r w:rsidRPr="00F40D87">
        <w:rPr>
          <w:rFonts w:cs="Times New Roman"/>
        </w:rPr>
        <w:t>High Masking Ratio Addressing Information Redundancy</w:t>
      </w:r>
    </w:p>
    <w:p w14:paraId="1DFD976E" w14:textId="39F1B7C5" w:rsidR="00A0605A" w:rsidRPr="00F40D87" w:rsidRDefault="00A0605A" w:rsidP="006B0B9C">
      <w:pPr>
        <w:pStyle w:val="a9"/>
        <w:spacing w:after="156"/>
        <w:ind w:left="360"/>
        <w:rPr>
          <w:rFonts w:cs="Times New Roman"/>
        </w:rPr>
      </w:pPr>
      <w:r w:rsidRPr="00F40D87">
        <w:rPr>
          <w:rFonts w:cs="Times New Roman"/>
        </w:rPr>
        <w:t xml:space="preserve">Unlike BERT in NLP, which typically masks only 15% of tokens due to the high information density of language, MAE employs an aggressively high masking ratio of 75%. The authors identified that images are highly redundant; if the masking ratio is too low, the model can solve the task through simple low-level pixel interpolation. </w:t>
      </w:r>
    </w:p>
    <w:p w14:paraId="49571F71" w14:textId="77777777" w:rsidR="006B0B9C" w:rsidRDefault="00A0605A" w:rsidP="00F40D87">
      <w:pPr>
        <w:pStyle w:val="a9"/>
        <w:numPr>
          <w:ilvl w:val="0"/>
          <w:numId w:val="1"/>
        </w:numPr>
        <w:spacing w:after="156"/>
        <w:rPr>
          <w:rFonts w:cs="Times New Roman"/>
        </w:rPr>
      </w:pPr>
      <w:r w:rsidRPr="00F40D87">
        <w:rPr>
          <w:rFonts w:cs="Times New Roman"/>
        </w:rPr>
        <w:t>Simplification of the Pre-training Pipeline</w:t>
      </w:r>
    </w:p>
    <w:p w14:paraId="3421D1D8" w14:textId="705D60CA" w:rsidR="00A0605A" w:rsidRPr="00F40D87" w:rsidRDefault="00A0605A" w:rsidP="006B0B9C">
      <w:pPr>
        <w:pStyle w:val="a9"/>
        <w:spacing w:after="156"/>
        <w:ind w:left="360"/>
        <w:rPr>
          <w:rFonts w:cs="Times New Roman"/>
        </w:rPr>
      </w:pPr>
      <w:r w:rsidRPr="00F40D87">
        <w:rPr>
          <w:rFonts w:cs="Times New Roman"/>
        </w:rPr>
        <w:t>Before MAE, state-of-the-art CV SSL</w:t>
      </w:r>
      <w:r w:rsidR="00F40D87">
        <w:rPr>
          <w:rFonts w:cs="Times New Roman"/>
        </w:rPr>
        <w:t xml:space="preserve"> </w:t>
      </w:r>
      <w:r w:rsidRPr="00F40D87">
        <w:rPr>
          <w:rFonts w:cs="Times New Roman"/>
        </w:rPr>
        <w:t xml:space="preserve">required complex data augmentations, massive batch sizes, and memory banks. MAE completely abandons these requirements. It relies </w:t>
      </w:r>
      <w:r w:rsidRPr="00F40D87">
        <w:rPr>
          <w:rFonts w:cs="Times New Roman"/>
        </w:rPr>
        <w:lastRenderedPageBreak/>
        <w:t xml:space="preserve">on a straightforward generative task—reconstructing raw pixel values using a simple Mean Squared Error (MSE) loss on the masked patches. </w:t>
      </w:r>
    </w:p>
    <w:p w14:paraId="3F81BB83" w14:textId="5F6B0201" w:rsidR="00F40D87" w:rsidRDefault="00F40D87" w:rsidP="00F40D87">
      <w:pPr>
        <w:spacing w:after="156"/>
        <w:rPr>
          <w:rFonts w:cs="Times New Roman"/>
        </w:rPr>
      </w:pPr>
      <w:r w:rsidRPr="00A0605A">
        <w:rPr>
          <w:rFonts w:cs="Times New Roman"/>
        </w:rPr>
        <w:t xml:space="preserve">The profound impact of MAE has inspired numerous extensions. For instance, while the original MAE relies on random patch masking, subsequent works like </w:t>
      </w:r>
      <w:proofErr w:type="spellStart"/>
      <w:r w:rsidRPr="00A0605A">
        <w:rPr>
          <w:rFonts w:cs="Times New Roman"/>
        </w:rPr>
        <w:t>SemMAE</w:t>
      </w:r>
      <w:proofErr w:type="spellEnd"/>
      <w:r w:rsidRPr="00A0605A">
        <w:rPr>
          <w:rFonts w:cs="Times New Roman"/>
        </w:rPr>
        <w:t xml:space="preserve"> (Li et al., 2022) introduced semantic-guided masking strategies. </w:t>
      </w:r>
    </w:p>
    <w:p w14:paraId="0C6D68F8" w14:textId="6D16CEA1" w:rsidR="00210994" w:rsidRPr="00210994" w:rsidRDefault="00210994" w:rsidP="00210994">
      <w:pPr>
        <w:pStyle w:val="1"/>
        <w:spacing w:after="156"/>
      </w:pPr>
      <w:r w:rsidRPr="00210994">
        <w:t>Methodology: From Sequence Processing to Masked Image Modeling</w:t>
      </w:r>
    </w:p>
    <w:p w14:paraId="00893D10" w14:textId="266428A2" w:rsidR="00210994" w:rsidRDefault="00207B19" w:rsidP="00210994">
      <w:pPr>
        <w:spacing w:after="156"/>
        <w:rPr>
          <w:rFonts w:cs="Times New Roman"/>
        </w:rPr>
      </w:pPr>
      <w:r>
        <w:rPr>
          <w:rFonts w:cs="Times New Roman"/>
        </w:rPr>
        <w:t>T</w:t>
      </w:r>
      <w:r w:rsidR="00210994" w:rsidRPr="00210994">
        <w:rPr>
          <w:rFonts w:cs="Times New Roman"/>
        </w:rPr>
        <w:t>he architectur</w:t>
      </w:r>
      <w:r>
        <w:rPr>
          <w:rFonts w:cs="Times New Roman"/>
        </w:rPr>
        <w:t>e follows an interesting route</w:t>
      </w:r>
      <w:r w:rsidR="00210994" w:rsidRPr="00210994">
        <w:rPr>
          <w:rFonts w:cs="Times New Roman"/>
        </w:rPr>
        <w:t xml:space="preserve">: from the original Transformer to the </w:t>
      </w:r>
      <w:proofErr w:type="spellStart"/>
      <w:r w:rsidR="00210994" w:rsidRPr="00210994">
        <w:rPr>
          <w:rFonts w:cs="Times New Roman"/>
        </w:rPr>
        <w:t>ViT</w:t>
      </w:r>
      <w:proofErr w:type="spellEnd"/>
      <w:r w:rsidR="00210994" w:rsidRPr="00210994">
        <w:rPr>
          <w:rFonts w:cs="Times New Roman"/>
        </w:rPr>
        <w:t>, and finally to the MAE framework.</w:t>
      </w:r>
    </w:p>
    <w:tbl>
      <w:tblPr>
        <w:tblStyle w:val="af"/>
        <w:tblW w:w="5000" w:type="pct"/>
        <w:tblBorders>
          <w:insideH w:val="none" w:sz="0" w:space="0" w:color="auto"/>
          <w:insideV w:val="none" w:sz="0" w:space="0" w:color="auto"/>
        </w:tblBorders>
        <w:tblLook w:val="04A0" w:firstRow="1" w:lastRow="0" w:firstColumn="1" w:lastColumn="0" w:noHBand="0" w:noVBand="1"/>
      </w:tblPr>
      <w:tblGrid>
        <w:gridCol w:w="1867"/>
        <w:gridCol w:w="3059"/>
        <w:gridCol w:w="3370"/>
      </w:tblGrid>
      <w:tr w:rsidR="007C2874" w14:paraId="536A79A9" w14:textId="77777777" w:rsidTr="00B92F49">
        <w:trPr>
          <w:trHeight w:val="2475"/>
        </w:trPr>
        <w:tc>
          <w:tcPr>
            <w:tcW w:w="1125" w:type="pct"/>
            <w:vAlign w:val="center"/>
          </w:tcPr>
          <w:p w14:paraId="383A7872" w14:textId="67EC1802" w:rsidR="000719D7" w:rsidRDefault="000719D7" w:rsidP="007C2874">
            <w:pPr>
              <w:spacing w:after="156"/>
              <w:jc w:val="center"/>
              <w:rPr>
                <w:rFonts w:cs="Times New Roman"/>
              </w:rPr>
            </w:pPr>
            <w:r w:rsidRPr="000719D7">
              <w:rPr>
                <w:rFonts w:cs="Times New Roman"/>
                <w:noProof/>
              </w:rPr>
              <w:drawing>
                <wp:inline distT="0" distB="0" distL="0" distR="0" wp14:anchorId="6761FE2F" wp14:editId="74946972">
                  <wp:extent cx="1092200" cy="1447200"/>
                  <wp:effectExtent l="0" t="0" r="0" b="635"/>
                  <wp:docPr id="315939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9681" name=""/>
                          <pic:cNvPicPr/>
                        </pic:nvPicPr>
                        <pic:blipFill rotWithShape="1">
                          <a:blip r:embed="rId5"/>
                          <a:srcRect b="7592"/>
                          <a:stretch>
                            <a:fillRect/>
                          </a:stretch>
                        </pic:blipFill>
                        <pic:spPr bwMode="auto">
                          <a:xfrm>
                            <a:off x="0" y="0"/>
                            <a:ext cx="1151618" cy="1525931"/>
                          </a:xfrm>
                          <a:prstGeom prst="rect">
                            <a:avLst/>
                          </a:prstGeom>
                          <a:ln>
                            <a:noFill/>
                          </a:ln>
                          <a:extLst>
                            <a:ext uri="{53640926-AAD7-44D8-BBD7-CCE9431645EC}">
                              <a14:shadowObscured xmlns:a14="http://schemas.microsoft.com/office/drawing/2010/main"/>
                            </a:ext>
                          </a:extLst>
                        </pic:spPr>
                      </pic:pic>
                    </a:graphicData>
                  </a:graphic>
                </wp:inline>
              </w:drawing>
            </w:r>
          </w:p>
        </w:tc>
        <w:tc>
          <w:tcPr>
            <w:tcW w:w="1844" w:type="pct"/>
            <w:vAlign w:val="center"/>
          </w:tcPr>
          <w:p w14:paraId="362B6EC1" w14:textId="74CA79CC" w:rsidR="000719D7" w:rsidRDefault="000719D7" w:rsidP="007C2874">
            <w:pPr>
              <w:spacing w:after="156"/>
              <w:jc w:val="center"/>
              <w:rPr>
                <w:rFonts w:cs="Times New Roman"/>
              </w:rPr>
            </w:pPr>
            <w:r w:rsidRPr="000719D7">
              <w:rPr>
                <w:rFonts w:cs="Times New Roman"/>
                <w:noProof/>
              </w:rPr>
              <w:drawing>
                <wp:inline distT="0" distB="0" distL="0" distR="0" wp14:anchorId="16AF8A3D" wp14:editId="7A92AC40">
                  <wp:extent cx="1879925" cy="1245615"/>
                  <wp:effectExtent l="0" t="0" r="0" b="0"/>
                  <wp:docPr id="471380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80283" name=""/>
                          <pic:cNvPicPr/>
                        </pic:nvPicPr>
                        <pic:blipFill rotWithShape="1">
                          <a:blip r:embed="rId6"/>
                          <a:srcRect t="6989"/>
                          <a:stretch>
                            <a:fillRect/>
                          </a:stretch>
                        </pic:blipFill>
                        <pic:spPr bwMode="auto">
                          <a:xfrm>
                            <a:off x="0" y="0"/>
                            <a:ext cx="1964822" cy="1301867"/>
                          </a:xfrm>
                          <a:prstGeom prst="rect">
                            <a:avLst/>
                          </a:prstGeom>
                          <a:ln>
                            <a:noFill/>
                          </a:ln>
                          <a:extLst>
                            <a:ext uri="{53640926-AAD7-44D8-BBD7-CCE9431645EC}">
                              <a14:shadowObscured xmlns:a14="http://schemas.microsoft.com/office/drawing/2010/main"/>
                            </a:ext>
                          </a:extLst>
                        </pic:spPr>
                      </pic:pic>
                    </a:graphicData>
                  </a:graphic>
                </wp:inline>
              </w:drawing>
            </w:r>
          </w:p>
        </w:tc>
        <w:tc>
          <w:tcPr>
            <w:tcW w:w="2031" w:type="pct"/>
            <w:vAlign w:val="center"/>
          </w:tcPr>
          <w:p w14:paraId="3B44A493" w14:textId="3274CA32" w:rsidR="000719D7" w:rsidRDefault="007C2874" w:rsidP="007C2874">
            <w:pPr>
              <w:spacing w:after="156"/>
              <w:jc w:val="center"/>
              <w:rPr>
                <w:rFonts w:cs="Times New Roman"/>
              </w:rPr>
            </w:pPr>
            <w:r w:rsidRPr="007C2874">
              <w:rPr>
                <w:rFonts w:cs="Times New Roman"/>
                <w:noProof/>
              </w:rPr>
              <w:drawing>
                <wp:inline distT="0" distB="0" distL="0" distR="0" wp14:anchorId="457DA459" wp14:editId="72ACBDD7">
                  <wp:extent cx="2085821" cy="1079826"/>
                  <wp:effectExtent l="0" t="0" r="0" b="0"/>
                  <wp:docPr id="141" name="图像"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像" descr="图像"/>
                          <pic:cNvPicPr>
                            <a:picLocks noChangeAspect="1"/>
                          </pic:cNvPicPr>
                        </pic:nvPicPr>
                        <pic:blipFill>
                          <a:blip r:embed="rId7"/>
                          <a:stretch>
                            <a:fillRect/>
                          </a:stretch>
                        </pic:blipFill>
                        <pic:spPr>
                          <a:xfrm>
                            <a:off x="0" y="0"/>
                            <a:ext cx="2220419" cy="1149507"/>
                          </a:xfrm>
                          <a:prstGeom prst="rect">
                            <a:avLst/>
                          </a:prstGeom>
                          <a:ln w="12700">
                            <a:miter lim="400000"/>
                          </a:ln>
                        </pic:spPr>
                      </pic:pic>
                    </a:graphicData>
                  </a:graphic>
                </wp:inline>
              </w:drawing>
            </w:r>
          </w:p>
        </w:tc>
      </w:tr>
      <w:tr w:rsidR="007C2874" w14:paraId="2D3B9B16" w14:textId="77777777" w:rsidTr="00B92F49">
        <w:tc>
          <w:tcPr>
            <w:tcW w:w="1125" w:type="pct"/>
            <w:vAlign w:val="center"/>
          </w:tcPr>
          <w:p w14:paraId="36CA3591" w14:textId="339DC7B0" w:rsidR="000719D7" w:rsidRDefault="007C2874" w:rsidP="007C2874">
            <w:pPr>
              <w:spacing w:after="156"/>
              <w:jc w:val="center"/>
              <w:rPr>
                <w:rFonts w:cs="Times New Roman"/>
              </w:rPr>
            </w:pPr>
            <w:r>
              <w:rPr>
                <w:rFonts w:cs="Times New Roman"/>
              </w:rPr>
              <w:t>T</w:t>
            </w:r>
            <w:r>
              <w:rPr>
                <w:rFonts w:cs="Times New Roman" w:hint="eastAsia"/>
              </w:rPr>
              <w:t>ransformer</w:t>
            </w:r>
          </w:p>
        </w:tc>
        <w:tc>
          <w:tcPr>
            <w:tcW w:w="1844" w:type="pct"/>
            <w:vAlign w:val="center"/>
          </w:tcPr>
          <w:p w14:paraId="0675C81B" w14:textId="59BBCBB3" w:rsidR="000719D7" w:rsidRDefault="007C2874" w:rsidP="007C2874">
            <w:pPr>
              <w:spacing w:after="156"/>
              <w:jc w:val="center"/>
              <w:rPr>
                <w:rFonts w:cs="Times New Roman"/>
              </w:rPr>
            </w:pPr>
            <w:r>
              <w:rPr>
                <w:rFonts w:cs="Times New Roman" w:hint="eastAsia"/>
              </w:rPr>
              <w:t>Vision Transformer</w:t>
            </w:r>
          </w:p>
        </w:tc>
        <w:tc>
          <w:tcPr>
            <w:tcW w:w="2031" w:type="pct"/>
            <w:vAlign w:val="center"/>
          </w:tcPr>
          <w:p w14:paraId="6F8A71C6" w14:textId="38C1A7D0" w:rsidR="000719D7" w:rsidRDefault="007C2874" w:rsidP="007C2874">
            <w:pPr>
              <w:spacing w:after="156"/>
              <w:jc w:val="center"/>
              <w:rPr>
                <w:rFonts w:cs="Times New Roman"/>
              </w:rPr>
            </w:pPr>
            <w:r>
              <w:rPr>
                <w:rFonts w:cs="Times New Roman" w:hint="eastAsia"/>
              </w:rPr>
              <w:t>MAE</w:t>
            </w:r>
          </w:p>
        </w:tc>
      </w:tr>
    </w:tbl>
    <w:p w14:paraId="2BF843F0" w14:textId="1515251A" w:rsidR="00210994" w:rsidRPr="00210994" w:rsidRDefault="00210994" w:rsidP="00210994">
      <w:pPr>
        <w:pStyle w:val="2"/>
        <w:spacing w:after="156"/>
      </w:pPr>
      <w:r w:rsidRPr="00210994">
        <w:t xml:space="preserve">The Conceptual Bridge: From Transformers to </w:t>
      </w:r>
      <w:proofErr w:type="spellStart"/>
      <w:r w:rsidRPr="00210994">
        <w:t>ViT</w:t>
      </w:r>
      <w:proofErr w:type="spellEnd"/>
    </w:p>
    <w:p w14:paraId="05F46013" w14:textId="56AB2FF0" w:rsidR="00210994" w:rsidRPr="00210994" w:rsidRDefault="00210994" w:rsidP="00210994">
      <w:pPr>
        <w:spacing w:after="156"/>
        <w:rPr>
          <w:rFonts w:cs="Times New Roman"/>
        </w:rPr>
      </w:pPr>
      <w:r w:rsidRPr="00210994">
        <w:rPr>
          <w:rFonts w:cs="Times New Roman"/>
        </w:rPr>
        <w:t>The Transformer architecture was originally designed for</w:t>
      </w:r>
      <w:r>
        <w:rPr>
          <w:rFonts w:cs="Times New Roman"/>
        </w:rPr>
        <w:t xml:space="preserve"> </w:t>
      </w:r>
      <w:r w:rsidRPr="00210994">
        <w:rPr>
          <w:rFonts w:cs="Times New Roman"/>
        </w:rPr>
        <w:t xml:space="preserve">NLP to process sequential data (words) using a self-attention mechanism, which excels at capturing long-range global dependencies. However, translating this to images was historically difficult because images are grids of pixels, not 1D sequences. </w:t>
      </w:r>
    </w:p>
    <w:p w14:paraId="77F7C382" w14:textId="698346D8" w:rsidR="00210994" w:rsidRPr="00210994" w:rsidRDefault="00210994" w:rsidP="00210994">
      <w:pPr>
        <w:spacing w:after="156"/>
        <w:rPr>
          <w:rFonts w:cs="Times New Roman"/>
        </w:rPr>
      </w:pPr>
      <w:r w:rsidRPr="00210994">
        <w:rPr>
          <w:rFonts w:cs="Times New Roman"/>
        </w:rPr>
        <w:t xml:space="preserve">The </w:t>
      </w:r>
      <w:proofErr w:type="spellStart"/>
      <w:r w:rsidRPr="00210994">
        <w:rPr>
          <w:rFonts w:cs="Times New Roman"/>
        </w:rPr>
        <w:t>ViT</w:t>
      </w:r>
      <w:proofErr w:type="spellEnd"/>
      <w:r w:rsidRPr="00210994">
        <w:rPr>
          <w:rFonts w:cs="Times New Roman"/>
        </w:rPr>
        <w:t xml:space="preserve"> bridged this gap by treating an image exactly like a sentence. An image of size </w:t>
      </w:r>
      <m:oMath>
        <m:r>
          <w:rPr>
            <w:rFonts w:ascii="Cambria Math" w:hAnsi="Cambria Math" w:cs="Times New Roman"/>
          </w:rPr>
          <m:t xml:space="preserve">H </m:t>
        </m:r>
        <m:r>
          <m:rPr>
            <m:sty m:val="p"/>
          </m:rPr>
          <w:rPr>
            <w:rFonts w:ascii="Cambria Math" w:hAnsi="Cambria Math" w:cs="Times New Roman" w:hint="eastAsia"/>
          </w:rPr>
          <m:t>×</m:t>
        </m:r>
        <m:r>
          <w:rPr>
            <w:rFonts w:ascii="Cambria Math" w:hAnsi="Cambria Math" w:cs="Times New Roman"/>
          </w:rPr>
          <m:t xml:space="preserve">W </m:t>
        </m:r>
        <m:r>
          <m:rPr>
            <m:sty m:val="p"/>
          </m:rPr>
          <w:rPr>
            <w:rFonts w:ascii="Cambria Math" w:hAnsi="Cambria Math" w:cs="Times New Roman" w:hint="eastAsia"/>
          </w:rPr>
          <m:t>×</m:t>
        </m:r>
        <m:r>
          <w:rPr>
            <w:rFonts w:ascii="Cambria Math" w:hAnsi="Cambria Math" w:cs="Times New Roman"/>
          </w:rPr>
          <m:t>C</m:t>
        </m:r>
      </m:oMath>
      <w:r w:rsidRPr="00210994">
        <w:rPr>
          <w:rFonts w:cs="Times New Roman"/>
        </w:rPr>
        <w:t xml:space="preserve"> is divided into a grid of non-overlapping patches (</w:t>
      </w:r>
      <m:oMath>
        <m:r>
          <w:rPr>
            <w:rFonts w:ascii="Cambria Math" w:hAnsi="Cambria Math" w:cs="Times New Roman"/>
          </w:rPr>
          <m:t xml:space="preserve">16 </m:t>
        </m:r>
        <m:r>
          <m:rPr>
            <m:sty m:val="p"/>
          </m:rPr>
          <w:rPr>
            <w:rFonts w:ascii="Cambria Math" w:hAnsi="Cambria Math" w:cs="Times New Roman" w:hint="eastAsia"/>
          </w:rPr>
          <m:t>×</m:t>
        </m:r>
        <m:r>
          <w:rPr>
            <w:rFonts w:ascii="Cambria Math" w:hAnsi="Cambria Math" w:cs="Times New Roman"/>
          </w:rPr>
          <m:t>16</m:t>
        </m:r>
      </m:oMath>
      <w:r w:rsidRPr="00210994">
        <w:rPr>
          <w:rFonts w:cs="Times New Roman"/>
        </w:rPr>
        <w:t xml:space="preserve"> pixels per patch</w:t>
      </w:r>
      <w:r w:rsidR="00BB6231">
        <w:rPr>
          <w:rFonts w:cs="Times New Roman" w:hint="eastAsia"/>
        </w:rPr>
        <w:t xml:space="preserve"> in paper example</w:t>
      </w:r>
      <w:r w:rsidRPr="00210994">
        <w:rPr>
          <w:rFonts w:cs="Times New Roman"/>
        </w:rPr>
        <w:t>). These patches are linearly projected into 1D vectors called "Patch Embeddings". Because the self-attention mechanism is permutation-invariant, Positional Embeddings are added to these patches to retain spatial information. This flattened sequence of patches is then fed into a standard Transformer block.</w:t>
      </w:r>
    </w:p>
    <w:p w14:paraId="77144DA1" w14:textId="71011E25" w:rsidR="00210994" w:rsidRPr="00210994" w:rsidRDefault="00210994" w:rsidP="00210994">
      <w:pPr>
        <w:pStyle w:val="2"/>
        <w:spacing w:after="156"/>
      </w:pPr>
      <w:r w:rsidRPr="00210994">
        <w:t>The MAE Architecture: Asymmetric Autoencoding</w:t>
      </w:r>
    </w:p>
    <w:p w14:paraId="2332BEFB" w14:textId="6498AD9F" w:rsidR="00210994" w:rsidRPr="00210994" w:rsidRDefault="00210994" w:rsidP="00210994">
      <w:pPr>
        <w:spacing w:after="156"/>
        <w:rPr>
          <w:rFonts w:cs="Times New Roman"/>
        </w:rPr>
      </w:pPr>
      <w:r w:rsidRPr="00210994">
        <w:rPr>
          <w:rFonts w:cs="Times New Roman"/>
        </w:rPr>
        <w:t xml:space="preserve">Building upon the </w:t>
      </w:r>
      <w:proofErr w:type="spellStart"/>
      <w:r w:rsidRPr="00210994">
        <w:rPr>
          <w:rFonts w:cs="Times New Roman"/>
        </w:rPr>
        <w:t>ViT</w:t>
      </w:r>
      <w:proofErr w:type="spellEnd"/>
      <w:r w:rsidRPr="00210994">
        <w:rPr>
          <w:rFonts w:cs="Times New Roman"/>
        </w:rPr>
        <w:t xml:space="preserve"> backbone, the focus article introduces MAE. The methodology operates through a highly optimized, asymmetric encode-decode process:</w:t>
      </w:r>
    </w:p>
    <w:p w14:paraId="515D655C" w14:textId="77777777" w:rsidR="00207B19" w:rsidRDefault="00210994" w:rsidP="00210994">
      <w:pPr>
        <w:pStyle w:val="a9"/>
        <w:numPr>
          <w:ilvl w:val="0"/>
          <w:numId w:val="2"/>
        </w:numPr>
        <w:spacing w:after="156"/>
        <w:rPr>
          <w:rFonts w:cs="Times New Roman"/>
        </w:rPr>
      </w:pPr>
      <w:r w:rsidRPr="00207B19">
        <w:rPr>
          <w:rFonts w:cs="Times New Roman"/>
        </w:rPr>
        <w:t>Step 1: Aggressive Random Masking</w:t>
      </w:r>
    </w:p>
    <w:p w14:paraId="389AAA7D" w14:textId="5609CF2A" w:rsidR="00210994" w:rsidRPr="00207B19" w:rsidRDefault="00210994" w:rsidP="00207B19">
      <w:pPr>
        <w:pStyle w:val="a9"/>
        <w:spacing w:after="156"/>
        <w:ind w:left="360"/>
        <w:rPr>
          <w:rFonts w:cs="Times New Roman"/>
        </w:rPr>
      </w:pPr>
      <w:r w:rsidRPr="00207B19">
        <w:rPr>
          <w:rFonts w:cs="Times New Roman"/>
        </w:rPr>
        <w:lastRenderedPageBreak/>
        <w:t xml:space="preserve">The input image is divided into patches following the </w:t>
      </w:r>
      <w:proofErr w:type="spellStart"/>
      <w:r w:rsidRPr="00207B19">
        <w:rPr>
          <w:rFonts w:cs="Times New Roman"/>
        </w:rPr>
        <w:t>ViT</w:t>
      </w:r>
      <w:proofErr w:type="spellEnd"/>
      <w:r w:rsidRPr="00207B19">
        <w:rPr>
          <w:rFonts w:cs="Times New Roman"/>
        </w:rPr>
        <w:t xml:space="preserve"> approach. A remarkably high proportion—typically 75%—of these patches are randomly masked out. This high masking ratio is a critical working detail: unlike text, images contain heavy spatial redundancy. If only a few patches are masked, the model can "cheat" by interpolating nearby pixel values. Masking 75% forces the model to learn deep, holistic semantic representations of the objects to reconstruct the missing parts.</w:t>
      </w:r>
    </w:p>
    <w:p w14:paraId="43459FE2" w14:textId="77777777" w:rsidR="00207B19" w:rsidRDefault="00210994" w:rsidP="00210994">
      <w:pPr>
        <w:pStyle w:val="a9"/>
        <w:numPr>
          <w:ilvl w:val="0"/>
          <w:numId w:val="2"/>
        </w:numPr>
        <w:spacing w:after="156"/>
        <w:rPr>
          <w:rFonts w:cs="Times New Roman"/>
        </w:rPr>
      </w:pPr>
      <w:r w:rsidRPr="00207B19">
        <w:rPr>
          <w:rFonts w:cs="Times New Roman"/>
        </w:rPr>
        <w:t>Step 2: The Heavyweight Encoder</w:t>
      </w:r>
    </w:p>
    <w:p w14:paraId="0436460A" w14:textId="4694531F" w:rsidR="00210994" w:rsidRPr="00207B19" w:rsidRDefault="00210994" w:rsidP="00207B19">
      <w:pPr>
        <w:pStyle w:val="a9"/>
        <w:spacing w:after="156"/>
        <w:ind w:left="360"/>
        <w:rPr>
          <w:rFonts w:cs="Times New Roman"/>
        </w:rPr>
      </w:pPr>
      <w:r w:rsidRPr="00207B19">
        <w:rPr>
          <w:rFonts w:cs="Times New Roman"/>
        </w:rPr>
        <w:t xml:space="preserve">The MAE Encoder is a standard, large-scale </w:t>
      </w:r>
      <w:proofErr w:type="spellStart"/>
      <w:r w:rsidRPr="00207B19">
        <w:rPr>
          <w:rFonts w:cs="Times New Roman"/>
        </w:rPr>
        <w:t>ViT</w:t>
      </w:r>
      <w:proofErr w:type="spellEnd"/>
      <w:r w:rsidRPr="00207B19">
        <w:rPr>
          <w:rFonts w:cs="Times New Roman"/>
        </w:rPr>
        <w:t xml:space="preserve">. However, it operates strictly on the 25% visible, unmasked patches. This is the core engine of MAE's scalability. By ignoring the masked tokens entirely, the computation and memory footprint are reduced to a fraction of a standard </w:t>
      </w:r>
      <w:proofErr w:type="spellStart"/>
      <w:r w:rsidRPr="00207B19">
        <w:rPr>
          <w:rFonts w:cs="Times New Roman"/>
        </w:rPr>
        <w:t>ViT</w:t>
      </w:r>
      <w:proofErr w:type="spellEnd"/>
      <w:r w:rsidRPr="00207B19">
        <w:rPr>
          <w:rFonts w:cs="Times New Roman"/>
        </w:rPr>
        <w:t>, allowing for the training of massive models efficiently. The encoder maps these visible patches into rich latent representations.</w:t>
      </w:r>
    </w:p>
    <w:p w14:paraId="371C9C7D" w14:textId="77777777" w:rsidR="00207B19" w:rsidRDefault="00210994" w:rsidP="00210994">
      <w:pPr>
        <w:pStyle w:val="a9"/>
        <w:numPr>
          <w:ilvl w:val="0"/>
          <w:numId w:val="2"/>
        </w:numPr>
        <w:spacing w:after="156"/>
        <w:rPr>
          <w:rFonts w:cs="Times New Roman"/>
        </w:rPr>
      </w:pPr>
      <w:r w:rsidRPr="00207B19">
        <w:rPr>
          <w:rFonts w:cs="Times New Roman"/>
        </w:rPr>
        <w:t>Step 3: The Lightweight Decoder</w:t>
      </w:r>
    </w:p>
    <w:p w14:paraId="2749E77F" w14:textId="30A14D3B" w:rsidR="00210994" w:rsidRPr="00207B19" w:rsidRDefault="00210994" w:rsidP="00207B19">
      <w:pPr>
        <w:pStyle w:val="a9"/>
        <w:spacing w:after="156"/>
        <w:ind w:left="360"/>
        <w:rPr>
          <w:rFonts w:cs="Times New Roman"/>
        </w:rPr>
      </w:pPr>
      <w:r w:rsidRPr="00207B19">
        <w:rPr>
          <w:rFonts w:cs="Times New Roman"/>
        </w:rPr>
        <w:t xml:space="preserve">The decoder's job is to reconstruct the original image. Its input consists of the encoded visible patches and Mask Tokens. </w:t>
      </w:r>
    </w:p>
    <w:p w14:paraId="51156C56" w14:textId="77777777" w:rsidR="00207B19" w:rsidRDefault="00210994" w:rsidP="00207B19">
      <w:pPr>
        <w:pStyle w:val="a9"/>
        <w:numPr>
          <w:ilvl w:val="0"/>
          <w:numId w:val="2"/>
        </w:numPr>
        <w:spacing w:after="156"/>
        <w:rPr>
          <w:rFonts w:cs="Times New Roman"/>
        </w:rPr>
      </w:pPr>
      <w:r w:rsidRPr="00207B19">
        <w:rPr>
          <w:rFonts w:cs="Times New Roman"/>
        </w:rPr>
        <w:t>Additional Detail</w:t>
      </w:r>
    </w:p>
    <w:p w14:paraId="5942CA6D" w14:textId="7FFE126A" w:rsidR="00210994" w:rsidRPr="00207B19" w:rsidRDefault="00210994" w:rsidP="00207B19">
      <w:pPr>
        <w:pStyle w:val="a9"/>
        <w:spacing w:after="156"/>
        <w:ind w:left="360"/>
        <w:rPr>
          <w:rFonts w:cs="Times New Roman"/>
        </w:rPr>
      </w:pPr>
      <w:r w:rsidRPr="00207B19">
        <w:rPr>
          <w:rFonts w:cs="Times New Roman"/>
        </w:rPr>
        <w:t xml:space="preserve">A mask token is a shared, learnable vector that indicates the presence of a missing patch to be predicted. Crucially, full positional embeddings are added to all tokens in this decoder phase. Without this, the mask tokens would have no information about their original location in the image grid. </w:t>
      </w:r>
    </w:p>
    <w:p w14:paraId="67C7FEE1" w14:textId="371C36E6" w:rsidR="00210994" w:rsidRPr="00210994" w:rsidRDefault="00210994" w:rsidP="00210994">
      <w:pPr>
        <w:spacing w:after="156"/>
        <w:rPr>
          <w:rFonts w:cs="Times New Roman"/>
        </w:rPr>
      </w:pPr>
      <w:r w:rsidRPr="00210994">
        <w:rPr>
          <w:rFonts w:cs="Times New Roman"/>
        </w:rPr>
        <w:t>Since the decoder only performs the reconstruction task during pre-training, it can be designed to be much narrower and shallower than the encoder, further significantly reducing computation time.</w:t>
      </w:r>
    </w:p>
    <w:p w14:paraId="7E89E5A9" w14:textId="6F09B796" w:rsidR="00210994" w:rsidRPr="00210994" w:rsidRDefault="00210994" w:rsidP="00210994">
      <w:pPr>
        <w:pStyle w:val="2"/>
        <w:spacing w:after="156"/>
      </w:pPr>
      <w:r w:rsidRPr="00210994">
        <w:t>Reconstruction Target and Loss Function</w:t>
      </w:r>
    </w:p>
    <w:p w14:paraId="2B58D786" w14:textId="2E5E07D8" w:rsidR="00210994" w:rsidRPr="00210994" w:rsidRDefault="00210994" w:rsidP="00210994">
      <w:pPr>
        <w:spacing w:after="156"/>
        <w:rPr>
          <w:rFonts w:cs="Times New Roman"/>
        </w:rPr>
      </w:pPr>
      <w:r w:rsidRPr="00210994">
        <w:rPr>
          <w:rFonts w:cs="Times New Roman"/>
        </w:rPr>
        <w:t>The output of the decoder is a tensor representing the predicted pixel values for each patch. The loss function computes the Mean Squared Error (MSE) between the reconstructed pixels and the original image pixels:</w:t>
      </w:r>
      <w:r w:rsidR="006B0B9C">
        <w:rPr>
          <w:rFonts w:cs="Times New Roman"/>
        </w:rPr>
        <w:t xml:space="preserve"> </w:t>
      </w:r>
    </w:p>
    <w:p w14:paraId="5F3803E5" w14:textId="4CF7FBAF" w:rsidR="00210994" w:rsidRPr="00210994" w:rsidRDefault="00210994" w:rsidP="00210994">
      <w:pPr>
        <w:spacing w:after="156"/>
        <w:rPr>
          <w:rFonts w:cs="Times New Roman"/>
        </w:rPr>
      </w:pPr>
      <m:oMathPara>
        <m:oMath>
          <m:r>
            <w:rPr>
              <w:rFonts w:ascii="Cambria Math" w:hAnsi="Cambria Math" w:cs="Times New Roman"/>
            </w:rPr>
            <m:t>MSE=</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M</m:t>
              </m:r>
              <m:ctrlPr>
                <w:rPr>
                  <w:rFonts w:ascii="Cambria Math" w:hAnsi="Cambria Math" w:cs="Times New Roman"/>
                  <w:i/>
                </w:rPr>
              </m:ctrlPr>
            </m:den>
          </m:f>
          <m:nary>
            <m:naryPr>
              <m:chr m:val="∑"/>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hint="eastAsia"/>
                </w:rPr>
                <m:t>∈</m:t>
              </m:r>
              <m:r>
                <m:rPr>
                  <m:nor/>
                </m:rPr>
                <w:rPr>
                  <w:rFonts w:ascii="Cambria Math" w:hAnsi="Cambria Math" w:cs="Times New Roman"/>
                </w:rPr>
                <m:t>masked</m:t>
              </m:r>
              <m:ctrlPr>
                <w:rPr>
                  <w:rFonts w:ascii="Cambria Math" w:hAnsi="Cambria Math" w:cs="Times New Roman"/>
                  <w:i/>
                </w:rPr>
              </m:ctrlPr>
            </m:sub>
            <m:sup>
              <m:ctrlPr>
                <w:rPr>
                  <w:rFonts w:ascii="Cambria Math" w:hAnsi="Cambria Math" w:cs="Times New Roman"/>
                  <w:i/>
                </w:rPr>
              </m:ctrlP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i</m:t>
                              </m:r>
                            </m:sub>
                          </m:sSub>
                        </m:e>
                      </m:acc>
                    </m:e>
                  </m:d>
                </m:e>
                <m:sup>
                  <m:r>
                    <w:rPr>
                      <w:rFonts w:ascii="Cambria Math" w:hAnsi="Cambria Math" w:cs="Times New Roman"/>
                    </w:rPr>
                    <m:t>2</m:t>
                  </m:r>
                </m:sup>
              </m:sSup>
              <m:ctrlPr>
                <w:rPr>
                  <w:rFonts w:ascii="Cambria Math" w:hAnsi="Cambria Math" w:cs="Times New Roman"/>
                  <w:i/>
                </w:rPr>
              </m:ctrlPr>
            </m:e>
          </m:nary>
        </m:oMath>
      </m:oMathPara>
    </w:p>
    <w:p w14:paraId="3A35D206" w14:textId="19EFE0DE" w:rsidR="00210994" w:rsidRDefault="00210994" w:rsidP="00210994">
      <w:pPr>
        <w:spacing w:after="156"/>
        <w:rPr>
          <w:rFonts w:cs="Times New Roman"/>
        </w:rPr>
      </w:pPr>
      <w:r w:rsidRPr="00210994">
        <w:rPr>
          <w:rFonts w:cs="Times New Roman"/>
        </w:rPr>
        <w:t xml:space="preserve">Where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210994">
        <w:rPr>
          <w:rFonts w:cs="Times New Roman"/>
        </w:rPr>
        <w:t xml:space="preserve"> represents the original pixel values and </w:t>
      </w:r>
      <m:oMath>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i</m:t>
                </m:r>
              </m:sub>
            </m:sSub>
          </m:e>
        </m:acc>
      </m:oMath>
      <w:r w:rsidRPr="00210994">
        <w:rPr>
          <w:rFonts w:cs="Times New Roman"/>
        </w:rPr>
        <w:t xml:space="preserve"> represents the predicted pixel values. A vital methodological detail is that the loss is calculated only on the masked patches, identical to BERT's logic. Computing loss on the visible patches would encourage the model to waste capacity memorizing the input rather than learning to predict the unseen.</w:t>
      </w:r>
    </w:p>
    <w:p w14:paraId="260F4ED2" w14:textId="44F76FA0" w:rsidR="00B95833" w:rsidRDefault="00B95833" w:rsidP="00B95833">
      <w:pPr>
        <w:pStyle w:val="1"/>
        <w:spacing w:after="156"/>
      </w:pPr>
      <w:r>
        <w:lastRenderedPageBreak/>
        <w:t>E</w:t>
      </w:r>
      <w:r>
        <w:rPr>
          <w:rFonts w:hint="eastAsia"/>
        </w:rPr>
        <w:t>xample</w:t>
      </w:r>
      <w:r w:rsidR="00323B38">
        <w:rPr>
          <w:rFonts w:hint="eastAsia"/>
        </w:rPr>
        <w:t>s</w:t>
      </w:r>
    </w:p>
    <w:tbl>
      <w:tblPr>
        <w:tblStyle w:val="af"/>
        <w:tblW w:w="0" w:type="auto"/>
        <w:tblBorders>
          <w:insideH w:val="none" w:sz="0" w:space="0" w:color="auto"/>
          <w:insideV w:val="none" w:sz="0" w:space="0" w:color="auto"/>
        </w:tblBorders>
        <w:tblLook w:val="04A0" w:firstRow="1" w:lastRow="0" w:firstColumn="1" w:lastColumn="0" w:noHBand="0" w:noVBand="1"/>
      </w:tblPr>
      <w:tblGrid>
        <w:gridCol w:w="8296"/>
      </w:tblGrid>
      <w:tr w:rsidR="00323B38" w14:paraId="19FE7B1E" w14:textId="77777777" w:rsidTr="00357BBA">
        <w:tc>
          <w:tcPr>
            <w:tcW w:w="0" w:type="auto"/>
            <w:tcBorders>
              <w:top w:val="single" w:sz="4" w:space="0" w:color="auto"/>
              <w:bottom w:val="single" w:sz="4" w:space="0" w:color="auto"/>
            </w:tcBorders>
          </w:tcPr>
          <w:p w14:paraId="16A02D81" w14:textId="1BD2CE05" w:rsidR="00323B38" w:rsidRDefault="00323B38" w:rsidP="00323B38">
            <w:pPr>
              <w:spacing w:after="156"/>
            </w:pPr>
            <w:r w:rsidRPr="00323B38">
              <w:rPr>
                <w:noProof/>
              </w:rPr>
              <w:drawing>
                <wp:inline distT="0" distB="0" distL="0" distR="0" wp14:anchorId="01364FBD" wp14:editId="4446B6F2">
                  <wp:extent cx="5154930" cy="1267941"/>
                  <wp:effectExtent l="0" t="0" r="1270" b="2540"/>
                  <wp:docPr id="1633323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23361" name=""/>
                          <pic:cNvPicPr/>
                        </pic:nvPicPr>
                        <pic:blipFill>
                          <a:blip r:embed="rId8"/>
                          <a:stretch>
                            <a:fillRect/>
                          </a:stretch>
                        </pic:blipFill>
                        <pic:spPr>
                          <a:xfrm>
                            <a:off x="0" y="0"/>
                            <a:ext cx="5178995" cy="1273860"/>
                          </a:xfrm>
                          <a:prstGeom prst="rect">
                            <a:avLst/>
                          </a:prstGeom>
                        </pic:spPr>
                      </pic:pic>
                    </a:graphicData>
                  </a:graphic>
                </wp:inline>
              </w:drawing>
            </w:r>
          </w:p>
        </w:tc>
      </w:tr>
      <w:tr w:rsidR="00323B38" w14:paraId="0DF37F93" w14:textId="77777777" w:rsidTr="00357BBA">
        <w:tc>
          <w:tcPr>
            <w:tcW w:w="0" w:type="auto"/>
            <w:tcBorders>
              <w:top w:val="single" w:sz="4" w:space="0" w:color="auto"/>
            </w:tcBorders>
          </w:tcPr>
          <w:p w14:paraId="52C5EBCA" w14:textId="5248EE72" w:rsidR="00323B38" w:rsidRDefault="00B92F49" w:rsidP="00323B38">
            <w:pPr>
              <w:spacing w:after="156"/>
            </w:pPr>
            <w:r w:rsidRPr="00B92F49">
              <w:rPr>
                <w:noProof/>
              </w:rPr>
              <w:drawing>
                <wp:inline distT="0" distB="0" distL="0" distR="0" wp14:anchorId="52F06780" wp14:editId="3516DE78">
                  <wp:extent cx="5155474" cy="1235179"/>
                  <wp:effectExtent l="0" t="0" r="1270" b="0"/>
                  <wp:docPr id="1381565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65672" name=""/>
                          <pic:cNvPicPr/>
                        </pic:nvPicPr>
                        <pic:blipFill>
                          <a:blip r:embed="rId9"/>
                          <a:stretch>
                            <a:fillRect/>
                          </a:stretch>
                        </pic:blipFill>
                        <pic:spPr>
                          <a:xfrm>
                            <a:off x="0" y="0"/>
                            <a:ext cx="5186528" cy="1242619"/>
                          </a:xfrm>
                          <a:prstGeom prst="rect">
                            <a:avLst/>
                          </a:prstGeom>
                        </pic:spPr>
                      </pic:pic>
                    </a:graphicData>
                  </a:graphic>
                </wp:inline>
              </w:drawing>
            </w:r>
          </w:p>
        </w:tc>
      </w:tr>
    </w:tbl>
    <w:p w14:paraId="129F2919" w14:textId="78A51A85" w:rsidR="00323B38" w:rsidRDefault="00B92F49" w:rsidP="00323B38">
      <w:pPr>
        <w:spacing w:after="156"/>
      </w:pPr>
      <w:r>
        <w:rPr>
          <w:rFonts w:hint="eastAsia"/>
        </w:rPr>
        <w:t>From the code</w:t>
      </w:r>
      <w:r>
        <w:t xml:space="preserve"> demo provided by the paper team in </w:t>
      </w:r>
      <w:hyperlink r:id="rId10" w:history="1">
        <w:r w:rsidRPr="00B92F49">
          <w:rPr>
            <w:rStyle w:val="af0"/>
          </w:rPr>
          <w:t>Github</w:t>
        </w:r>
      </w:hyperlink>
      <w:r>
        <w:t xml:space="preserve">, we can </w:t>
      </w:r>
      <w:r w:rsidR="00357BBA">
        <w:t>run and output</w:t>
      </w:r>
      <w:r>
        <w:t xml:space="preserve"> two examples</w:t>
      </w:r>
      <w:r w:rsidR="00357BBA">
        <w:t xml:space="preserve"> as listed above.</w:t>
      </w:r>
    </w:p>
    <w:p w14:paraId="572754AC" w14:textId="63811305" w:rsidR="00B92F49" w:rsidRDefault="00B92F49" w:rsidP="00B92F49">
      <w:pPr>
        <w:pStyle w:val="a9"/>
        <w:numPr>
          <w:ilvl w:val="0"/>
          <w:numId w:val="4"/>
        </w:numPr>
        <w:spacing w:after="156"/>
      </w:pPr>
      <w:r>
        <w:t>Original: 100% real picture, the whole picture.</w:t>
      </w:r>
    </w:p>
    <w:p w14:paraId="11642292" w14:textId="608DB0B3" w:rsidR="00B92F49" w:rsidRDefault="00B92F49" w:rsidP="00B92F49">
      <w:pPr>
        <w:pStyle w:val="a9"/>
        <w:numPr>
          <w:ilvl w:val="0"/>
          <w:numId w:val="4"/>
        </w:numPr>
        <w:spacing w:after="156"/>
      </w:pPr>
      <w:r>
        <w:t>Masked: the visible part for encoders to input, which means the model uses 25% to predict the remaining 75% part.</w:t>
      </w:r>
    </w:p>
    <w:p w14:paraId="319D5BA1" w14:textId="6A558666" w:rsidR="00B92F49" w:rsidRDefault="00B92F49" w:rsidP="00B92F49">
      <w:pPr>
        <w:pStyle w:val="a9"/>
        <w:numPr>
          <w:ilvl w:val="0"/>
          <w:numId w:val="4"/>
        </w:numPr>
        <w:spacing w:after="156"/>
      </w:pPr>
      <w:r>
        <w:t xml:space="preserve">Reconstruction: the output from the decoders. </w:t>
      </w:r>
    </w:p>
    <w:p w14:paraId="7D4B97A3" w14:textId="5DD967D0" w:rsidR="00B92F49" w:rsidRDefault="00B92F49" w:rsidP="00B92F49">
      <w:pPr>
        <w:pStyle w:val="a9"/>
        <w:numPr>
          <w:ilvl w:val="0"/>
          <w:numId w:val="4"/>
        </w:numPr>
        <w:spacing w:after="156"/>
      </w:pPr>
      <w:r>
        <w:t>Reconstruction</w:t>
      </w:r>
      <w:r w:rsidR="00357BBA">
        <w:t xml:space="preserve"> </w:t>
      </w:r>
      <w:r>
        <w:t>+</w:t>
      </w:r>
      <w:r w:rsidR="00357BBA">
        <w:t xml:space="preserve"> </w:t>
      </w:r>
      <w:r>
        <w:t>Visible: 25% part used in encoder + 75</w:t>
      </w:r>
      <w:r w:rsidR="00357BBA">
        <w:t>%</w:t>
      </w:r>
      <w:r>
        <w:t xml:space="preserve"> part from the decoder.</w:t>
      </w:r>
    </w:p>
    <w:p w14:paraId="1B70EBAD" w14:textId="1E566ACE" w:rsidR="00B92F49" w:rsidRPr="00B92F49" w:rsidRDefault="00B92F49" w:rsidP="00B92F49">
      <w:pPr>
        <w:spacing w:after="156"/>
      </w:pPr>
      <w:r>
        <w:t xml:space="preserve">Using the pre-trained model provide in </w:t>
      </w:r>
      <w:proofErr w:type="spellStart"/>
      <w:r>
        <w:t>Github</w:t>
      </w:r>
      <w:proofErr w:type="spellEnd"/>
      <w:r>
        <w:t>, we can</w:t>
      </w:r>
      <w:r>
        <w:rPr>
          <w:rFonts w:hint="eastAsia"/>
        </w:rPr>
        <w:t xml:space="preserve"> see</w:t>
      </w:r>
      <w:r>
        <w:t xml:space="preserve"> clearly that the method is very po</w:t>
      </w:r>
      <w:r w:rsidR="00357BBA">
        <w:t>w</w:t>
      </w:r>
      <w:r>
        <w:t>erful.</w:t>
      </w:r>
      <w:r w:rsidR="00357BBA">
        <w:rPr>
          <w:rFonts w:hint="eastAsia"/>
        </w:rPr>
        <w:t xml:space="preserve"> The </w:t>
      </w:r>
      <w:r w:rsidR="00357BBA">
        <w:t>model is well trained and the prediction accuracy for the unmasked parts is very high.</w:t>
      </w:r>
    </w:p>
    <w:p w14:paraId="19E15916" w14:textId="3CB3CA2B" w:rsidR="00A0605A" w:rsidRDefault="00A0605A" w:rsidP="00F40D87">
      <w:pPr>
        <w:pStyle w:val="1"/>
        <w:spacing w:after="156"/>
      </w:pPr>
      <w:r>
        <w:t>L</w:t>
      </w:r>
      <w:r>
        <w:rPr>
          <w:rFonts w:hint="eastAsia"/>
        </w:rPr>
        <w:t>iterature involved</w:t>
      </w:r>
    </w:p>
    <w:p w14:paraId="6B9D480C" w14:textId="55162687" w:rsidR="00A0605A" w:rsidRDefault="00A0605A" w:rsidP="00F40D87">
      <w:pPr>
        <w:spacing w:after="156"/>
      </w:pPr>
      <w:r>
        <w:t>1. Devlin, J., Chang, M.-W., Lee, K. and Toutanova, K. (2019). BERT: Pre-training of deep bidirectional transformers for language understanding. Proceedings of the 2019 Conference of the North American Chapter of the Association for Computational Linguistics: Human Language Technologies, Volume 1, pp. 4171–4186.</w:t>
      </w:r>
    </w:p>
    <w:p w14:paraId="0BE1DC10" w14:textId="61A84941" w:rsidR="00A0605A" w:rsidRDefault="00A0605A" w:rsidP="00F40D87">
      <w:pPr>
        <w:spacing w:after="156"/>
      </w:pPr>
      <w:r>
        <w:t xml:space="preserve">2. </w:t>
      </w:r>
      <w:proofErr w:type="spellStart"/>
      <w:r>
        <w:t>Dosovitskiy</w:t>
      </w:r>
      <w:proofErr w:type="spellEnd"/>
      <w:r>
        <w:t xml:space="preserve">, A., Beyer, L., Kolesnikov, A., Weissenborn, D., Zhai, X., </w:t>
      </w:r>
      <w:proofErr w:type="spellStart"/>
      <w:r>
        <w:t>Unterthiner</w:t>
      </w:r>
      <w:proofErr w:type="spellEnd"/>
      <w:r>
        <w:t xml:space="preserve">, T., Dehghani, M., </w:t>
      </w:r>
      <w:proofErr w:type="spellStart"/>
      <w:r>
        <w:t>Minderer</w:t>
      </w:r>
      <w:proofErr w:type="spellEnd"/>
      <w:r>
        <w:t xml:space="preserve">, M., </w:t>
      </w:r>
      <w:proofErr w:type="spellStart"/>
      <w:r>
        <w:t>Heigold</w:t>
      </w:r>
      <w:proofErr w:type="spellEnd"/>
      <w:r>
        <w:t xml:space="preserve">, G., Gelly, S., </w:t>
      </w:r>
      <w:proofErr w:type="spellStart"/>
      <w:r>
        <w:t>Uszkoreit</w:t>
      </w:r>
      <w:proofErr w:type="spellEnd"/>
      <w:r>
        <w:t xml:space="preserve">, J. and </w:t>
      </w:r>
      <w:proofErr w:type="spellStart"/>
      <w:r>
        <w:t>Houlsby</w:t>
      </w:r>
      <w:proofErr w:type="spellEnd"/>
      <w:r>
        <w:t>, N. (2021). An image is worth 16x16 words: Transformers for image recognition at scale. Ninth International Conference on Learning Representations.</w:t>
      </w:r>
    </w:p>
    <w:p w14:paraId="72C41445" w14:textId="31F97AD4" w:rsidR="00A0605A" w:rsidRDefault="00A0605A" w:rsidP="00F40D87">
      <w:pPr>
        <w:spacing w:after="156"/>
      </w:pPr>
      <w:r>
        <w:t xml:space="preserve">3. He, K., Chen, X., Xie, S., Li, Y., </w:t>
      </w:r>
      <w:proofErr w:type="spellStart"/>
      <w:r>
        <w:t>Dollár</w:t>
      </w:r>
      <w:proofErr w:type="spellEnd"/>
      <w:r>
        <w:t xml:space="preserve">, P. and </w:t>
      </w:r>
      <w:proofErr w:type="spellStart"/>
      <w:r>
        <w:t>Girshick</w:t>
      </w:r>
      <w:proofErr w:type="spellEnd"/>
      <w:r>
        <w:t>, R. (2022). Masked autoencoders are scalable vision learners. Proceedings of the IEEE/CVF Conference on Computer Vision and Pattern Recognition, pp. 16000–16009.</w:t>
      </w:r>
    </w:p>
    <w:p w14:paraId="674A9FB0" w14:textId="1C65A7EA" w:rsidR="00A0605A" w:rsidRDefault="00A0605A" w:rsidP="00F40D87">
      <w:pPr>
        <w:spacing w:after="156"/>
      </w:pPr>
      <w:r>
        <w:lastRenderedPageBreak/>
        <w:t xml:space="preserve">4. Li, G., Zheng, H., Liu, D., Wang, C., Su, B. and Zheng, C. (2022). </w:t>
      </w:r>
      <w:proofErr w:type="spellStart"/>
      <w:r>
        <w:t>SemMAE</w:t>
      </w:r>
      <w:proofErr w:type="spellEnd"/>
      <w:r>
        <w:t>: Semantic-guided masking for learning masked autoencoders. Advances in Neural Information Processing Systems, 35, pp. 14290–14303.</w:t>
      </w:r>
    </w:p>
    <w:p w14:paraId="693500B7" w14:textId="04EBCB5E" w:rsidR="00A0605A" w:rsidRPr="00A0605A" w:rsidRDefault="00A0605A" w:rsidP="00F40D87">
      <w:pPr>
        <w:spacing w:after="156"/>
      </w:pPr>
      <w:r>
        <w:t>5. Zhang, C., Zhang, C., Song, J., Yi, J. S. K., Zhang, K. and Kweon, I. S. (2022). A survey on masked autoencoder for self-supervised learning in vision and beyond. Proceedings of the 31st International Joint Conference on Artificial Intelligence, pp. 5664–5671.</w:t>
      </w:r>
    </w:p>
    <w:sectPr w:rsidR="00A0605A" w:rsidRPr="00A060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078CC"/>
    <w:multiLevelType w:val="hybridMultilevel"/>
    <w:tmpl w:val="B0982F5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F37740C"/>
    <w:multiLevelType w:val="hybridMultilevel"/>
    <w:tmpl w:val="EBFCDF6C"/>
    <w:lvl w:ilvl="0" w:tplc="C1BCC974">
      <w:start w:val="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BA15897"/>
    <w:multiLevelType w:val="hybridMultilevel"/>
    <w:tmpl w:val="CEB812EA"/>
    <w:lvl w:ilvl="0" w:tplc="0CB24B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2253D7C"/>
    <w:multiLevelType w:val="hybridMultilevel"/>
    <w:tmpl w:val="672C79E6"/>
    <w:lvl w:ilvl="0" w:tplc="F2F690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6041503">
    <w:abstractNumId w:val="2"/>
  </w:num>
  <w:num w:numId="2" w16cid:durableId="1402948355">
    <w:abstractNumId w:val="3"/>
  </w:num>
  <w:num w:numId="3" w16cid:durableId="1946037062">
    <w:abstractNumId w:val="1"/>
  </w:num>
  <w:num w:numId="4" w16cid:durableId="1060443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5A"/>
    <w:rsid w:val="000719D7"/>
    <w:rsid w:val="000A698C"/>
    <w:rsid w:val="00207B19"/>
    <w:rsid w:val="00210994"/>
    <w:rsid w:val="00323B38"/>
    <w:rsid w:val="00357BBA"/>
    <w:rsid w:val="006B0B9C"/>
    <w:rsid w:val="007C2874"/>
    <w:rsid w:val="00870FE0"/>
    <w:rsid w:val="00A0605A"/>
    <w:rsid w:val="00B85270"/>
    <w:rsid w:val="00B92F49"/>
    <w:rsid w:val="00B95833"/>
    <w:rsid w:val="00BB6231"/>
    <w:rsid w:val="00EB2029"/>
    <w:rsid w:val="00F40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5023"/>
  <w15:chartTrackingRefBased/>
  <w15:docId w15:val="{9B30C2D1-4D3B-AD4E-B091-A062F2350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0D87"/>
    <w:pPr>
      <w:widowControl w:val="0"/>
      <w:spacing w:afterLines="50" w:after="50" w:line="240" w:lineRule="auto"/>
    </w:pPr>
    <w:rPr>
      <w:rFonts w:ascii="Times New Roman" w:hAnsi="Times New Roman"/>
    </w:rPr>
  </w:style>
  <w:style w:type="paragraph" w:styleId="1">
    <w:name w:val="heading 1"/>
    <w:basedOn w:val="a"/>
    <w:next w:val="a"/>
    <w:link w:val="10"/>
    <w:uiPriority w:val="9"/>
    <w:qFormat/>
    <w:rsid w:val="00A060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060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60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60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605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605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60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60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060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60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060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60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605A"/>
    <w:rPr>
      <w:rFonts w:cstheme="majorBidi"/>
      <w:color w:val="0F4761" w:themeColor="accent1" w:themeShade="BF"/>
      <w:sz w:val="28"/>
      <w:szCs w:val="28"/>
    </w:rPr>
  </w:style>
  <w:style w:type="character" w:customStyle="1" w:styleId="50">
    <w:name w:val="标题 5 字符"/>
    <w:basedOn w:val="a0"/>
    <w:link w:val="5"/>
    <w:uiPriority w:val="9"/>
    <w:semiHidden/>
    <w:rsid w:val="00A0605A"/>
    <w:rPr>
      <w:rFonts w:cstheme="majorBidi"/>
      <w:color w:val="0F4761" w:themeColor="accent1" w:themeShade="BF"/>
      <w:sz w:val="24"/>
    </w:rPr>
  </w:style>
  <w:style w:type="character" w:customStyle="1" w:styleId="60">
    <w:name w:val="标题 6 字符"/>
    <w:basedOn w:val="a0"/>
    <w:link w:val="6"/>
    <w:uiPriority w:val="9"/>
    <w:semiHidden/>
    <w:rsid w:val="00A0605A"/>
    <w:rPr>
      <w:rFonts w:cstheme="majorBidi"/>
      <w:b/>
      <w:bCs/>
      <w:color w:val="0F4761" w:themeColor="accent1" w:themeShade="BF"/>
    </w:rPr>
  </w:style>
  <w:style w:type="character" w:customStyle="1" w:styleId="70">
    <w:name w:val="标题 7 字符"/>
    <w:basedOn w:val="a0"/>
    <w:link w:val="7"/>
    <w:uiPriority w:val="9"/>
    <w:semiHidden/>
    <w:rsid w:val="00A0605A"/>
    <w:rPr>
      <w:rFonts w:cstheme="majorBidi"/>
      <w:b/>
      <w:bCs/>
      <w:color w:val="595959" w:themeColor="text1" w:themeTint="A6"/>
    </w:rPr>
  </w:style>
  <w:style w:type="character" w:customStyle="1" w:styleId="80">
    <w:name w:val="标题 8 字符"/>
    <w:basedOn w:val="a0"/>
    <w:link w:val="8"/>
    <w:uiPriority w:val="9"/>
    <w:semiHidden/>
    <w:rsid w:val="00A0605A"/>
    <w:rPr>
      <w:rFonts w:cstheme="majorBidi"/>
      <w:color w:val="595959" w:themeColor="text1" w:themeTint="A6"/>
    </w:rPr>
  </w:style>
  <w:style w:type="character" w:customStyle="1" w:styleId="90">
    <w:name w:val="标题 9 字符"/>
    <w:basedOn w:val="a0"/>
    <w:link w:val="9"/>
    <w:uiPriority w:val="9"/>
    <w:semiHidden/>
    <w:rsid w:val="00A0605A"/>
    <w:rPr>
      <w:rFonts w:eastAsiaTheme="majorEastAsia" w:cstheme="majorBidi"/>
      <w:color w:val="595959" w:themeColor="text1" w:themeTint="A6"/>
    </w:rPr>
  </w:style>
  <w:style w:type="paragraph" w:styleId="a3">
    <w:name w:val="Title"/>
    <w:basedOn w:val="a"/>
    <w:next w:val="a"/>
    <w:link w:val="a4"/>
    <w:uiPriority w:val="10"/>
    <w:qFormat/>
    <w:rsid w:val="00A060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60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60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60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605A"/>
    <w:pPr>
      <w:spacing w:before="160"/>
      <w:jc w:val="center"/>
    </w:pPr>
    <w:rPr>
      <w:i/>
      <w:iCs/>
      <w:color w:val="404040" w:themeColor="text1" w:themeTint="BF"/>
    </w:rPr>
  </w:style>
  <w:style w:type="character" w:customStyle="1" w:styleId="a8">
    <w:name w:val="引用 字符"/>
    <w:basedOn w:val="a0"/>
    <w:link w:val="a7"/>
    <w:uiPriority w:val="29"/>
    <w:rsid w:val="00A0605A"/>
    <w:rPr>
      <w:i/>
      <w:iCs/>
      <w:color w:val="404040" w:themeColor="text1" w:themeTint="BF"/>
    </w:rPr>
  </w:style>
  <w:style w:type="paragraph" w:styleId="a9">
    <w:name w:val="List Paragraph"/>
    <w:basedOn w:val="a"/>
    <w:uiPriority w:val="34"/>
    <w:qFormat/>
    <w:rsid w:val="00A0605A"/>
    <w:pPr>
      <w:ind w:left="720"/>
      <w:contextualSpacing/>
    </w:pPr>
  </w:style>
  <w:style w:type="character" w:styleId="aa">
    <w:name w:val="Intense Emphasis"/>
    <w:basedOn w:val="a0"/>
    <w:uiPriority w:val="21"/>
    <w:qFormat/>
    <w:rsid w:val="00A0605A"/>
    <w:rPr>
      <w:i/>
      <w:iCs/>
      <w:color w:val="0F4761" w:themeColor="accent1" w:themeShade="BF"/>
    </w:rPr>
  </w:style>
  <w:style w:type="paragraph" w:styleId="ab">
    <w:name w:val="Intense Quote"/>
    <w:basedOn w:val="a"/>
    <w:next w:val="a"/>
    <w:link w:val="ac"/>
    <w:uiPriority w:val="30"/>
    <w:qFormat/>
    <w:rsid w:val="00A06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605A"/>
    <w:rPr>
      <w:i/>
      <w:iCs/>
      <w:color w:val="0F4761" w:themeColor="accent1" w:themeShade="BF"/>
    </w:rPr>
  </w:style>
  <w:style w:type="character" w:styleId="ad">
    <w:name w:val="Intense Reference"/>
    <w:basedOn w:val="a0"/>
    <w:uiPriority w:val="32"/>
    <w:qFormat/>
    <w:rsid w:val="00A0605A"/>
    <w:rPr>
      <w:b/>
      <w:bCs/>
      <w:smallCaps/>
      <w:color w:val="0F4761" w:themeColor="accent1" w:themeShade="BF"/>
      <w:spacing w:val="5"/>
    </w:rPr>
  </w:style>
  <w:style w:type="paragraph" w:styleId="ae">
    <w:name w:val="Revision"/>
    <w:hidden/>
    <w:uiPriority w:val="99"/>
    <w:semiHidden/>
    <w:rsid w:val="00EB2029"/>
    <w:pPr>
      <w:spacing w:after="0" w:line="240" w:lineRule="auto"/>
    </w:pPr>
  </w:style>
  <w:style w:type="table" w:styleId="af">
    <w:name w:val="Table Grid"/>
    <w:basedOn w:val="a1"/>
    <w:uiPriority w:val="39"/>
    <w:rsid w:val="00071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B92F49"/>
    <w:rPr>
      <w:color w:val="467886" w:themeColor="hyperlink"/>
      <w:u w:val="single"/>
    </w:rPr>
  </w:style>
  <w:style w:type="character" w:styleId="af1">
    <w:name w:val="Unresolved Mention"/>
    <w:basedOn w:val="a0"/>
    <w:uiPriority w:val="99"/>
    <w:semiHidden/>
    <w:unhideWhenUsed/>
    <w:rsid w:val="00B92F49"/>
    <w:rPr>
      <w:color w:val="605E5C"/>
      <w:shd w:val="clear" w:color="auto" w:fill="E1DFDD"/>
    </w:rPr>
  </w:style>
  <w:style w:type="character" w:styleId="af2">
    <w:name w:val="Placeholder Text"/>
    <w:basedOn w:val="a0"/>
    <w:uiPriority w:val="99"/>
    <w:semiHidden/>
    <w:rsid w:val="006B0B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facebookresearch/mae/tree/main/demo"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1266</Words>
  <Characters>7269</Characters>
  <Application>Microsoft Office Word</Application>
  <DocSecurity>0</DocSecurity>
  <Lines>132</Lines>
  <Paragraphs>56</Paragraphs>
  <ScaleCrop>false</ScaleCrop>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 Demin</dc:creator>
  <cp:keywords/>
  <dc:description/>
  <cp:lastModifiedBy>Gao Demin</cp:lastModifiedBy>
  <cp:revision>9</cp:revision>
  <dcterms:created xsi:type="dcterms:W3CDTF">2026-03-30T09:39:00Z</dcterms:created>
  <dcterms:modified xsi:type="dcterms:W3CDTF">2026-03-30T11:23:00Z</dcterms:modified>
</cp:coreProperties>
</file>