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Arial" w:cs="Arial" w:eastAsia="Arial" w:hAnsi="Arial"/>
          <w:sz w:val="22"/>
          <w:szCs w:val="22"/>
        </w:rPr>
        <w:t xml:space="preserve">  </w:t>
      </w:r>
    </w:p>
    <w:p>
      <w:pPr>
        <w:spacing w:after="80" w:before="800"/>
        <w:jc w:val="center"/>
      </w:pPr>
      <w:r>
        <w:rPr>
          <w:rFonts w:ascii="Arial" w:cs="Arial" w:eastAsia="Arial" w:hAnsi="Arial"/>
          <w:b/>
          <w:bCs/>
          <w:color w:val="0A1628"/>
          <w:sz w:val="72"/>
          <w:szCs w:val="72"/>
        </w:rPr>
        <w:t xml:space="preserve">UDHAAR</w:t>
      </w:r>
    </w:p>
    <w:p>
      <w:pPr>
        <w:spacing w:after="80" w:before="0"/>
        <w:jc w:val="center"/>
      </w:pPr>
      <w:r>
        <w:rPr>
          <w:rFonts w:ascii="Arial" w:cs="Arial" w:eastAsia="Arial" w:hAnsi="Arial"/>
          <w:b/>
          <w:bCs/>
          <w:color w:val="1A7C4F"/>
          <w:sz w:val="72"/>
          <w:szCs w:val="72"/>
        </w:rPr>
        <w:t xml:space="preserve">CLEAR</w:t>
      </w:r>
    </w:p>
    <w:p>
      <w:pPr>
        <w:spacing w:after="300" w:before="80"/>
        <w:jc w:val="center"/>
      </w:pPr>
      <w:r>
        <w:rPr>
          <w:rFonts w:ascii="Arial" w:cs="Arial" w:eastAsia="Arial" w:hAnsi="Arial"/>
          <w:color w:val="374151"/>
          <w:sz w:val="28"/>
          <w:szCs w:val="28"/>
        </w:rPr>
        <w:t xml:space="preserve">India's MSME Payment Recovery Platform</w:t>
      </w:r>
    </w:p>
    <w:p>
      <w:pPr>
        <w:spacing w:after="80" w:before="0"/>
        <w:jc w:val="center"/>
      </w:pPr>
      <w:r>
        <w:rPr>
          <w:rFonts w:ascii="Arial" w:cs="Arial" w:eastAsia="Arial" w:hAnsi="Arial"/>
          <w:b/>
          <w:bCs/>
          <w:color w:val="B8860B"/>
          <w:sz w:val="26"/>
          <w:szCs w:val="26"/>
        </w:rPr>
        <w:t xml:space="preserve">Ramesh owes you Rs 50,000. We get it back.</w:t>
      </w:r>
    </w:p>
    <w:p>
      <w:pPr>
        <w:spacing w:after="0" w:before="0"/>
      </w:pPr>
      <w:r>
        <w:rPr>
          <w:rFonts w:ascii="Arial" w:cs="Arial" w:eastAsia="Arial" w:hAnsi="Arial"/>
          <w:sz w:val="22"/>
          <w:szCs w:val="22"/>
        </w:rPr>
        <w:t xml:space="preserve">    </w:t>
      </w:r>
    </w:p>
    <w:p>
      <w:pPr>
        <w:spacing w:after="60" w:before="500"/>
        <w:jc w:val="center"/>
      </w:pPr>
      <w:r>
        <w:rPr>
          <w:rFonts w:ascii="Arial" w:cs="Arial" w:eastAsia="Arial" w:hAnsi="Arial"/>
          <w:color w:val="374151"/>
          <w:sz w:val="22"/>
          <w:szCs w:val="22"/>
        </w:rPr>
        <w:t xml:space="preserve">Comprehensive Product, Strategy &amp; Competitive Overview</w:t>
      </w:r>
    </w:p>
    <w:p>
      <w:pPr>
        <w:spacing w:after="60" w:before="0"/>
        <w:jc w:val="center"/>
      </w:pPr>
      <w:r>
        <w:rPr>
          <w:rFonts w:ascii="Arial" w:cs="Arial" w:eastAsia="Arial" w:hAnsi="Arial"/>
          <w:color w:val="AAAAAA"/>
          <w:sz w:val="20"/>
          <w:szCs w:val="20"/>
        </w:rPr>
        <w:t xml:space="preserve">Version 1.0  |  June 2026  |  Confidential</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rPr>
          <w:rFonts w:ascii="Arial" w:cs="Arial" w:eastAsia="Arial" w:hAnsi="Arial"/>
          <w:b/>
          <w:bCs/>
          <w:color w:val="0A1628"/>
          <w:sz w:val="36"/>
          <w:szCs w:val="36"/>
        </w:rPr>
        <w:t xml:space="preserve">1. Executive Summary</w:t>
      </w:r>
    </w:p>
    <w:p>
      <w:pPr>
        <w:spacing w:after="60" w:before="60"/>
      </w:pPr>
      <w:r>
        <w:rPr>
          <w:rFonts w:ascii="Arial" w:cs="Arial" w:eastAsia="Arial" w:hAnsi="Arial"/>
          <w:color w:val="111827"/>
          <w:sz w:val="22"/>
          <w:szCs w:val="22"/>
        </w:rPr>
        <w:t xml:space="preserve">UdhaarClear is a B2B SaaS payment recovery platform built exclusively for Indian MSMEs. It automates the entire debt-collection lifecycle — from polite WhatsApp reminders to firm escalation notices — so that small business owners never have to personally chase customers for money again.</w:t>
      </w:r>
    </w:p>
    <w:p>
      <w:pPr>
        <w:spacing w:after="0" w:before="0"/>
      </w:pPr>
      <w:r>
        <w:rPr>
          <w:rFonts w:ascii="Arial" w:cs="Arial" w:eastAsia="Arial" w:hAnsi="Arial"/>
          <w:sz w:val="22"/>
          <w:szCs w:val="22"/>
        </w:rPr>
        <w:t xml:space="preserve"> </w:t>
      </w:r>
    </w:p>
    <w:p>
      <w:pPr>
        <w:spacing w:after="60" w:before="60"/>
      </w:pPr>
      <w:r>
        <w:rPr>
          <w:rFonts w:ascii="Arial" w:cs="Arial" w:eastAsia="Arial" w:hAnsi="Arial"/>
          <w:color w:val="111827"/>
          <w:sz w:val="22"/>
          <w:szCs w:val="22"/>
        </w:rPr>
        <w:t xml:space="preserve">India has 63 million MSMEs generating over Rs 60 lakh crore in annual trade. Of this, an estimated Rs 10-15 lakh crore is trapped in unpaid invoices at any given time. The existing tools (Khatabook, OkCredit, Tally) record the debt but offer zero recovery capability. UdhaarClear fills this gap.</w:t>
      </w:r>
    </w:p>
    <w:p>
      <w:pPr>
        <w:spacing w:after="0" w:before="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tcPr>
          <w:p>
            <w:r>
              <w:rPr>
                <w:rFonts w:ascii="Arial" w:cs="Arial" w:eastAsia="Arial" w:hAnsi="Arial"/>
                <w:b/>
                <w:bCs/>
                <w:color w:val="FFFFFF"/>
                <w:sz w:val="21"/>
                <w:szCs w:val="21"/>
              </w:rPr>
              <w:t xml:space="preserve">Metric</w:t>
            </w:r>
          </w:p>
        </w:tc>
        <w:tc>
          <w:tcPr>
            <w:tcW w:type="dxa" w:w="576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tcPr>
          <w:p>
            <w:r>
              <w:rPr>
                <w:rFonts w:ascii="Arial" w:cs="Arial" w:eastAsia="Arial" w:hAnsi="Arial"/>
                <w:b/>
                <w:bCs/>
                <w:color w:val="FFFFFF"/>
                <w:sz w:val="21"/>
                <w:szCs w:val="21"/>
              </w:rPr>
              <w:t xml:space="preserve">Value</w:t>
            </w:r>
          </w:p>
        </w:tc>
      </w:tr>
      <w:tr>
        <w:trPr>
          <w:tblHeader w:val="false"/>
        </w:trP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Target market</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63 million Indian MSMEs</w:t>
            </w:r>
          </w:p>
        </w:tc>
      </w:tr>
      <w:tr>
        <w:trPr>
          <w:tblHeader w:val="false"/>
        </w:trP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Core problem solved</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Rs 10-15 lakh crore stuck in unpaid B2B invoices</w:t>
            </w:r>
          </w:p>
        </w:tc>
      </w:tr>
      <w:tr>
        <w:trPr>
          <w:tblHeader w:val="false"/>
        </w:trP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Primary delivery channel</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WhatsApp (500 million+ Indian users)</w:t>
            </w:r>
          </w:p>
        </w:tc>
      </w:tr>
      <w:tr>
        <w:trPr>
          <w:tblHeader w:val="false"/>
        </w:trP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Core innovation</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5-phase tonal escalation + buyer-side payment experience</w:t>
            </w:r>
          </w:p>
        </w:tc>
      </w:tr>
      <w:tr>
        <w:trPr>
          <w:tblHeader w:val="false"/>
        </w:trP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Revenue model</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SaaS subscription (Rs 399 / Rs 999 / Rs 9,999 per month)</w:t>
            </w:r>
          </w:p>
        </w:tc>
      </w:tr>
      <w:tr>
        <w:trPr>
          <w:tblHeader w:val="false"/>
        </w:trP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Gross margin target</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73-86% (standard SaaS level)</w:t>
            </w:r>
          </w:p>
        </w:tc>
      </w:tr>
      <w:tr>
        <w:trPr>
          <w:tblHeader w:val="false"/>
        </w:trP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Key differentiator</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Competitors RECORD debt. UdhaarClear RECOVERS it.</w:t>
            </w:r>
          </w:p>
        </w:tc>
      </w:tr>
      <w:tr>
        <w:trPr>
          <w:tblHeader w:val="false"/>
        </w:trP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Secondary channel</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CA partner program — 6 lakh chartered accountants in India</w:t>
            </w:r>
          </w:p>
        </w:tc>
      </w:tr>
    </w:tbl>
    <w:p>
      <w:pPr>
        <w:spacing w:after="0" w:before="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1A7C4F" w:val="clear"/>
            <w:tcMar>
              <w:top w:type="dxa" w:w="100"/>
              <w:left w:type="dxa" w:w="100"/>
              <w:bottom w:type="dxa" w:w="100"/>
              <w:right w:type="dxa" w:w="100"/>
            </w:tcMar>
          </w:tcPr>
          <w:p>
            <w:r>
              <w:rPr>
                <w:rFonts w:ascii="Arial" w:cs="Arial" w:eastAsia="Arial" w:hAnsi="Arial"/>
                <w:sz w:val="22"/>
                <w:szCs w:val="22"/>
              </w:rPr>
              <w:t xml:space="preserve"/>
            </w:r>
          </w:p>
        </w:tc>
        <w:tc>
          <w:tcPr>
            <w:tcW w:type="dxa" w:w="9000"/>
            <w:tcBorders>
              <w:top w:val="none" w:color="FFFFFF" w:sz="0"/>
              <w:left w:val="none" w:color="FFFFFF" w:sz="0"/>
              <w:bottom w:val="none" w:color="FFFFFF" w:sz="0"/>
              <w:right w:val="none" w:color="FFFFFF" w:sz="0"/>
            </w:tcBorders>
            <w:shd w:fill="F0FDF4" w:val="clear"/>
            <w:tcMar>
              <w:top w:type="dxa" w:w="100"/>
              <w:left w:type="dxa" w:w="200"/>
              <w:bottom w:type="dxa" w:w="100"/>
              <w:right w:type="dxa" w:w="100"/>
            </w:tcMar>
          </w:tcPr>
          <w:p>
            <w:pPr>
              <w:spacing w:after="0" w:before="0"/>
            </w:pPr>
            <w:r>
              <w:rPr>
                <w:rFonts w:ascii="Arial" w:cs="Arial" w:eastAsia="Arial" w:hAnsi="Arial"/>
                <w:b/>
                <w:bCs/>
                <w:color w:val="1A7C4F"/>
                <w:sz w:val="22"/>
                <w:szCs w:val="22"/>
              </w:rPr>
              <w:t xml:space="preserve">Why now? </w:t>
            </w:r>
            <w:r>
              <w:rPr>
                <w:rFonts w:ascii="Arial" w:cs="Arial" w:eastAsia="Arial" w:hAnsi="Arial"/>
                <w:color w:val="374151"/>
                <w:sz w:val="22"/>
                <w:szCs w:val="22"/>
              </w:rPr>
              <w:t xml:space="preserve">Post-GST formalization means invoices are now digitally traceable. WhatsApp Business API is widely available. UPI has normalized digital payments for even smallest businesses. The infrastructure for this product did not exist 5 years ago.</w:t>
            </w:r>
          </w:p>
        </w:tc>
      </w:tr>
    </w:tbl>
    <w:p>
      <w:r>
        <w:br w:type="page"/>
      </w:r>
    </w:p>
    <w:p>
      <w:pPr>
        <w:pStyle w:val="Heading1"/>
        <w:spacing w:after="180" w:before="360"/>
      </w:pPr>
      <w:r>
        <w:rPr>
          <w:rFonts w:ascii="Arial" w:cs="Arial" w:eastAsia="Arial" w:hAnsi="Arial"/>
          <w:b/>
          <w:bCs/>
          <w:color w:val="0A1628"/>
          <w:sz w:val="36"/>
          <w:szCs w:val="36"/>
        </w:rPr>
        <w:t xml:space="preserve">2. The Problem — Rs 15 Lakh Crore Stuck</w:t>
      </w:r>
    </w:p>
    <w:p>
      <w:pPr>
        <w:pStyle w:val="Heading2"/>
        <w:spacing w:after="120" w:before="280"/>
      </w:pPr>
      <w:r>
        <w:rPr>
          <w:rFonts w:ascii="Arial" w:cs="Arial" w:eastAsia="Arial" w:hAnsi="Arial"/>
          <w:b/>
          <w:bCs/>
          <w:color w:val="1A7C4F"/>
          <w:sz w:val="28"/>
          <w:szCs w:val="28"/>
        </w:rPr>
        <w:t xml:space="preserve">2.1 The Core Pain</w:t>
      </w:r>
    </w:p>
    <w:p>
      <w:pPr>
        <w:spacing w:after="60" w:before="60"/>
      </w:pPr>
      <w:r>
        <w:rPr>
          <w:rFonts w:ascii="Arial" w:cs="Arial" w:eastAsia="Arial" w:hAnsi="Arial"/>
          <w:color w:val="111827"/>
          <w:sz w:val="22"/>
          <w:szCs w:val="22"/>
        </w:rPr>
        <w:t xml:space="preserve">Every Indian MSME owner knows the feeling: you delivered the goods, raised the invoice, and now it's day 45 and Ramesh still hasn't paid. You call. He says "kal pakka bhai." You call again on day 52. He doesn't answer. You send his salesman. The salesman says "sir paisa aa jayega." This cycle costs Indian businesses billions of rupees per year — not in bad debt, but in delayed payment that destroys cash flow.</w:t>
      </w:r>
    </w:p>
    <w:p>
      <w:pPr>
        <w:spacing w:after="0" w:before="0"/>
      </w:pPr>
      <w:r>
        <w:rPr>
          <w:rFonts w:ascii="Arial" w:cs="Arial" w:eastAsia="Arial" w:hAnsi="Arial"/>
          <w:sz w:val="22"/>
          <w:szCs w:val="22"/>
        </w:rPr>
        <w:t xml:space="preserve"> </w:t>
      </w:r>
    </w:p>
    <w:p>
      <w:pPr>
        <w:pStyle w:val="Heading2"/>
        <w:spacing w:after="120" w:before="280"/>
      </w:pPr>
      <w:r>
        <w:rPr>
          <w:rFonts w:ascii="Arial" w:cs="Arial" w:eastAsia="Arial" w:hAnsi="Arial"/>
          <w:b/>
          <w:bCs/>
          <w:color w:val="1A7C4F"/>
          <w:sz w:val="28"/>
          <w:szCs w:val="28"/>
        </w:rPr>
        <w:t xml:space="preserve">2.2 By the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tcPr>
          <w:p>
            <w:r>
              <w:rPr>
                <w:rFonts w:ascii="Arial" w:cs="Arial" w:eastAsia="Arial" w:hAnsi="Arial"/>
                <w:b/>
                <w:bCs/>
                <w:color w:val="FFFFFF"/>
                <w:sz w:val="21"/>
                <w:szCs w:val="21"/>
              </w:rPr>
              <w:t xml:space="preserve">Data Point</w:t>
            </w:r>
          </w:p>
        </w:tc>
        <w:tc>
          <w:tcPr>
            <w:tcW w:type="dxa" w:w="576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tcPr>
          <w:p>
            <w:r>
              <w:rPr>
                <w:rFonts w:ascii="Arial" w:cs="Arial" w:eastAsia="Arial" w:hAnsi="Arial"/>
                <w:b/>
                <w:bCs/>
                <w:color w:val="FFFFFF"/>
                <w:sz w:val="21"/>
                <w:szCs w:val="21"/>
              </w:rPr>
              <w:t xml:space="preserve">Figure</w:t>
            </w:r>
          </w:p>
        </w:tc>
      </w:tr>
      <w:tr>
        <w:trPr>
          <w:tblHeader w:val="false"/>
        </w:trP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MSMEs in India</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63 million (MSME Ministry, 2024)</w:t>
            </w:r>
          </w:p>
        </w:tc>
      </w:tr>
      <w:tr>
        <w:trPr>
          <w:tblHeader w:val="false"/>
        </w:trP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Average payment delay (B2B)</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45-90 days past due date</w:t>
            </w:r>
          </w:p>
        </w:tc>
      </w:tr>
      <w:tr>
        <w:trPr>
          <w:tblHeader w:val="false"/>
        </w:trP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Total unpaid B2B invoices</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Rs 10-15 lakh crore at any time</w:t>
            </w:r>
          </w:p>
        </w:tc>
      </w:tr>
      <w:tr>
        <w:trPr>
          <w:tblHeader w:val="false"/>
        </w:trP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MSMEs citing delayed payment as top challenge</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67% (SIDBI survey)</w:t>
            </w:r>
          </w:p>
        </w:tc>
      </w:tr>
      <w:tr>
        <w:trPr>
          <w:tblHeader w:val="false"/>
        </w:trP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Average outstanding for a Rs 2 Cr turnover business</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Rs 20-50 lakh</w:t>
            </w:r>
          </w:p>
        </w:tc>
      </w:tr>
      <w:tr>
        <w:trPr>
          <w:tblHeader w:val="false"/>
        </w:trP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Businesses that ever hire a collection agent</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Less than 2%</w:t>
            </w:r>
          </w:p>
        </w:tc>
      </w:tr>
      <w:tr>
        <w:trPr>
          <w:tblHeader w:val="false"/>
        </w:trP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Legal recovery success rate</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Less than 18% (and takes 3-5 years)</w:t>
            </w:r>
          </w:p>
        </w:tc>
      </w:tr>
      <w:tr>
        <w:trPr>
          <w:tblHeader w:val="false"/>
        </w:trP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Cost of a typical collection call (manual)</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Rs 200-500 per call</w:t>
            </w:r>
          </w:p>
        </w:tc>
      </w:tr>
    </w:tbl>
    <w:p>
      <w:pPr>
        <w:spacing w:after="0" w:before="0"/>
      </w:pPr>
      <w:r>
        <w:rPr>
          <w:rFonts w:ascii="Arial" w:cs="Arial" w:eastAsia="Arial" w:hAnsi="Arial"/>
          <w:sz w:val="22"/>
          <w:szCs w:val="22"/>
        </w:rPr>
        <w:t xml:space="preserve"> </w:t>
      </w:r>
    </w:p>
    <w:p>
      <w:pPr>
        <w:pStyle w:val="Heading2"/>
        <w:spacing w:after="120" w:before="280"/>
      </w:pPr>
      <w:r>
        <w:rPr>
          <w:rFonts w:ascii="Arial" w:cs="Arial" w:eastAsia="Arial" w:hAnsi="Arial"/>
          <w:b/>
          <w:bCs/>
          <w:color w:val="1A7C4F"/>
          <w:sz w:val="28"/>
          <w:szCs w:val="28"/>
        </w:rPr>
        <w:t xml:space="preserve">2.3 Why Existing Tools Fail</w:t>
      </w:r>
    </w:p>
    <w:p>
      <w:pPr>
        <w:pStyle w:val="ListParagraph"/>
        <w:numPr>
          <w:ilvl w:val="0"/>
          <w:numId w:val="2"/>
        </w:numPr>
        <w:spacing w:after="40" w:before="40"/>
      </w:pPr>
      <w:r>
        <w:rPr>
          <w:rFonts w:ascii="Arial" w:cs="Arial" w:eastAsia="Arial" w:hAnsi="Arial"/>
          <w:b/>
          <w:bCs/>
          <w:color w:val="111827"/>
          <w:sz w:val="22"/>
          <w:szCs w:val="22"/>
        </w:rPr>
        <w:t xml:space="preserve"> Record who owes you money. Send a one-time reminder SMS. That is all. They are digital khata (ledger) apps, not collection tools.</w:t>
      </w:r>
      <w:r>
        <w:rPr>
          <w:rFonts w:ascii="Arial" w:cs="Arial" w:eastAsia="Arial" w:hAnsi="Arial"/>
          <w:color w:val="111827"/>
          <w:sz w:val="22"/>
          <w:szCs w:val="22"/>
        </w:rPr>
        <w:t xml:space="preserve">Khatabook / OkCredit:</w:t>
      </w:r>
    </w:p>
    <w:p>
      <w:pPr>
        <w:pStyle w:val="ListParagraph"/>
        <w:numPr>
          <w:ilvl w:val="0"/>
          <w:numId w:val="2"/>
        </w:numPr>
        <w:spacing w:after="40" w:before="40"/>
      </w:pPr>
      <w:r>
        <w:rPr>
          <w:rFonts w:ascii="Arial" w:cs="Arial" w:eastAsia="Arial" w:hAnsi="Arial"/>
          <w:b/>
          <w:bCs/>
          <w:color w:val="111827"/>
          <w:sz w:val="22"/>
          <w:szCs w:val="22"/>
        </w:rPr>
        <w:t xml:space="preserve"> Desktop accounting software. Has no outbound communication, no buyer-facing payment page, no escalation logic.</w:t>
      </w:r>
      <w:r>
        <w:rPr>
          <w:rFonts w:ascii="Arial" w:cs="Arial" w:eastAsia="Arial" w:hAnsi="Arial"/>
          <w:color w:val="111827"/>
          <w:sz w:val="22"/>
          <w:szCs w:val="22"/>
        </w:rPr>
        <w:t xml:space="preserve">Tally ERP:</w:t>
      </w:r>
    </w:p>
    <w:p>
      <w:pPr>
        <w:pStyle w:val="ListParagraph"/>
        <w:numPr>
          <w:ilvl w:val="0"/>
          <w:numId w:val="2"/>
        </w:numPr>
        <w:spacing w:after="40" w:before="40"/>
      </w:pPr>
      <w:r>
        <w:rPr>
          <w:rFonts w:ascii="Arial" w:cs="Arial" w:eastAsia="Arial" w:hAnsi="Arial"/>
          <w:b/>
          <w:bCs/>
          <w:color w:val="111827"/>
          <w:sz w:val="22"/>
          <w:szCs w:val="22"/>
        </w:rPr>
        <w:t xml:space="preserve"> Time-consuming, emotionally exhausting, and inconsistent. Owners avoid it because it feels awkward to ask for money personally.</w:t>
      </w:r>
      <w:r>
        <w:rPr>
          <w:rFonts w:ascii="Arial" w:cs="Arial" w:eastAsia="Arial" w:hAnsi="Arial"/>
          <w:color w:val="111827"/>
          <w:sz w:val="22"/>
          <w:szCs w:val="22"/>
        </w:rPr>
        <w:t xml:space="preserve">WhatsApp manual follow-up:</w:t>
      </w:r>
    </w:p>
    <w:p>
      <w:pPr>
        <w:pStyle w:val="ListParagraph"/>
        <w:numPr>
          <w:ilvl w:val="0"/>
          <w:numId w:val="2"/>
        </w:numPr>
        <w:spacing w:after="40" w:before="40"/>
      </w:pPr>
      <w:r>
        <w:rPr>
          <w:rFonts w:ascii="Arial" w:cs="Arial" w:eastAsia="Arial" w:hAnsi="Arial"/>
          <w:b/>
          <w:bCs/>
          <w:color w:val="111827"/>
          <w:sz w:val="22"/>
          <w:szCs w:val="22"/>
        </w:rPr>
        <w:t xml:space="preserve"> Expensive (10-30% of recovered amount), slow, and destroy the business relationship permanently.</w:t>
      </w:r>
      <w:r>
        <w:rPr>
          <w:rFonts w:ascii="Arial" w:cs="Arial" w:eastAsia="Arial" w:hAnsi="Arial"/>
          <w:color w:val="111827"/>
          <w:sz w:val="22"/>
          <w:szCs w:val="22"/>
        </w:rPr>
        <w:t xml:space="preserve">Lawyers / recovery agents:</w:t>
      </w:r>
    </w:p>
    <w:p>
      <w:pPr>
        <w:spacing w:after="0" w:before="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B8860B" w:val="clear"/>
            <w:tcMar>
              <w:top w:type="dxa" w:w="100"/>
              <w:left w:type="dxa" w:w="100"/>
              <w:bottom w:type="dxa" w:w="100"/>
              <w:right w:type="dxa" w:w="100"/>
            </w:tcMar>
          </w:tcPr>
          <w:p>
            <w:r>
              <w:rPr>
                <w:rFonts w:ascii="Arial" w:cs="Arial" w:eastAsia="Arial" w:hAnsi="Arial"/>
                <w:sz w:val="22"/>
                <w:szCs w:val="22"/>
              </w:rPr>
              <w:t xml:space="preserve"/>
            </w:r>
          </w:p>
        </w:tc>
        <w:tc>
          <w:tcPr>
            <w:tcW w:type="dxa" w:w="9000"/>
            <w:tcBorders>
              <w:top w:val="none" w:color="FFFFFF" w:sz="0"/>
              <w:left w:val="none" w:color="FFFFFF" w:sz="0"/>
              <w:bottom w:val="none" w:color="FFFFFF" w:sz="0"/>
              <w:right w:val="none" w:color="FFFFFF" w:sz="0"/>
            </w:tcBorders>
            <w:shd w:fill="F0FDF4" w:val="clear"/>
            <w:tcMar>
              <w:top w:type="dxa" w:w="100"/>
              <w:left w:type="dxa" w:w="200"/>
              <w:bottom w:type="dxa" w:w="100"/>
              <w:right w:type="dxa" w:w="100"/>
            </w:tcMar>
          </w:tcPr>
          <w:p>
            <w:pPr>
              <w:spacing w:after="0" w:before="0"/>
            </w:pPr>
            <w:r>
              <w:rPr>
                <w:rFonts w:ascii="Arial" w:cs="Arial" w:eastAsia="Arial" w:hAnsi="Arial"/>
                <w:b/>
                <w:bCs/>
                <w:color w:val="B8860B"/>
                <w:sz w:val="22"/>
                <w:szCs w:val="22"/>
              </w:rPr>
              <w:t xml:space="preserve">The insight: </w:t>
            </w:r>
            <w:r>
              <w:rPr>
                <w:rFonts w:ascii="Arial" w:cs="Arial" w:eastAsia="Arial" w:hAnsi="Arial"/>
                <w:color w:val="374151"/>
                <w:sz w:val="22"/>
                <w:szCs w:val="22"/>
              </w:rPr>
              <w:t xml:space="preserve">The problem is not that Indian businesses do not want to collect. The problem is that they lack a system that does it automatically, at the right tone, at the right time, without burning the relationship.</w:t>
            </w:r>
          </w:p>
        </w:tc>
      </w:tr>
    </w:tbl>
    <w:p>
      <w:r>
        <w:br w:type="page"/>
      </w:r>
    </w:p>
    <w:p>
      <w:pPr>
        <w:pStyle w:val="Heading1"/>
        <w:spacing w:after="180" w:before="360"/>
      </w:pPr>
      <w:r>
        <w:rPr>
          <w:rFonts w:ascii="Arial" w:cs="Arial" w:eastAsia="Arial" w:hAnsi="Arial"/>
          <w:b/>
          <w:bCs/>
          <w:color w:val="0A1628"/>
          <w:sz w:val="36"/>
          <w:szCs w:val="36"/>
        </w:rPr>
        <w:t xml:space="preserve">3. Product Overview</w:t>
      </w:r>
    </w:p>
    <w:p>
      <w:pPr>
        <w:pStyle w:val="Heading2"/>
        <w:spacing w:after="120" w:before="280"/>
      </w:pPr>
      <w:r>
        <w:rPr>
          <w:rFonts w:ascii="Arial" w:cs="Arial" w:eastAsia="Arial" w:hAnsi="Arial"/>
          <w:b/>
          <w:bCs/>
          <w:color w:val="1A7C4F"/>
          <w:sz w:val="28"/>
          <w:szCs w:val="28"/>
        </w:rPr>
        <w:t xml:space="preserve">3.1 What UdhaarClear Does</w:t>
      </w:r>
    </w:p>
    <w:p>
      <w:pPr>
        <w:spacing w:after="60" w:before="60"/>
      </w:pPr>
      <w:r>
        <w:rPr>
          <w:rFonts w:ascii="Arial" w:cs="Arial" w:eastAsia="Arial" w:hAnsi="Arial"/>
          <w:color w:val="111827"/>
          <w:sz w:val="22"/>
          <w:szCs w:val="22"/>
        </w:rPr>
        <w:t xml:space="preserve">UdhaarClear is a three-sided system: a seller dashboard, a buyer payment experience, and an intelligent automation engine that connects them.</w:t>
      </w:r>
    </w:p>
    <w:p>
      <w:pPr>
        <w:spacing w:after="0" w:before="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tcPr>
          <w:p>
            <w:r>
              <w:rPr>
                <w:rFonts w:ascii="Arial" w:cs="Arial" w:eastAsia="Arial" w:hAnsi="Arial"/>
                <w:b/>
                <w:bCs/>
                <w:color w:val="FFFFFF"/>
                <w:sz w:val="21"/>
                <w:szCs w:val="21"/>
              </w:rPr>
              <w:t xml:space="preserve">Layer</w:t>
            </w:r>
          </w:p>
        </w:tc>
        <w:tc>
          <w:tcPr>
            <w:tcW w:type="dxa" w:w="576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tcPr>
          <w:p>
            <w:r>
              <w:rPr>
                <w:rFonts w:ascii="Arial" w:cs="Arial" w:eastAsia="Arial" w:hAnsi="Arial"/>
                <w:b/>
                <w:bCs/>
                <w:color w:val="FFFFFF"/>
                <w:sz w:val="21"/>
                <w:szCs w:val="21"/>
              </w:rPr>
              <w:t xml:space="preserve">What It Does</w:t>
            </w:r>
          </w:p>
        </w:tc>
      </w:tr>
      <w:tr>
        <w:trPr>
          <w:tblHeader w:val="false"/>
        </w:trP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Seller Dashboard (Web + WhatsApp)</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Onboard invoices, monitor recovery status, approve escalations, view analytics</w:t>
            </w:r>
          </w:p>
        </w:tc>
      </w:tr>
      <w:tr>
        <w:trPr>
          <w:tblHeader w:val="false"/>
        </w:trP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Buyer Payment Page</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A clean, branded payment link the buyer receives via WhatsApp — one tap to pay via UPI, card, or net banking</w:t>
            </w:r>
          </w:p>
        </w:tc>
      </w:tr>
      <w:tr>
        <w:trPr>
          <w:tblHeader w:val="false"/>
        </w:trP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Automation Engine</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5-phase WhatsApp message sequences with tonal escalation, scheduled reminders, and human gate at Day 28+</w:t>
            </w:r>
          </w:p>
        </w:tc>
      </w:tr>
      <w:tr>
        <w:trPr>
          <w:tblHeader w:val="false"/>
        </w:trP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CA Partner Portal</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Chartered accountants register, refer clients, track earnings, and receive monthly payouts</w:t>
            </w:r>
          </w:p>
        </w:tc>
      </w:tr>
      <w:tr>
        <w:trPr>
          <w:tblHeader w:val="false"/>
        </w:trP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UdhaarClear Score</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India's first B2B trade credit score for MSMEs based on payment behaviour</w:t>
            </w:r>
          </w:p>
        </w:tc>
      </w:tr>
      <w:tr>
        <w:trPr>
          <w:tblHeader w:val="false"/>
        </w:trP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Analytics &amp; Reporting</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Recovery rate, outstanding ageing, debtor risk profiles, export to Tally/Excel</w:t>
            </w:r>
          </w:p>
        </w:tc>
      </w:tr>
    </w:tbl>
    <w:p>
      <w:pPr>
        <w:spacing w:after="0" w:before="0"/>
      </w:pPr>
      <w:r>
        <w:rPr>
          <w:rFonts w:ascii="Arial" w:cs="Arial" w:eastAsia="Arial" w:hAnsi="Arial"/>
          <w:sz w:val="22"/>
          <w:szCs w:val="22"/>
        </w:rPr>
        <w:t xml:space="preserve"> </w:t>
      </w:r>
    </w:p>
    <w:p>
      <w:pPr>
        <w:pStyle w:val="Heading2"/>
        <w:spacing w:after="120" w:before="280"/>
      </w:pPr>
      <w:r>
        <w:rPr>
          <w:rFonts w:ascii="Arial" w:cs="Arial" w:eastAsia="Arial" w:hAnsi="Arial"/>
          <w:b/>
          <w:bCs/>
          <w:color w:val="1A7C4F"/>
          <w:sz w:val="28"/>
          <w:szCs w:val="28"/>
        </w:rPr>
        <w:t xml:space="preserve">3.2 The 5-Phase Tonal Ladder</w:t>
      </w:r>
    </w:p>
    <w:p>
      <w:pPr>
        <w:spacing w:after="60" w:before="60"/>
      </w:pPr>
      <w:r>
        <w:rPr>
          <w:rFonts w:ascii="Arial" w:cs="Arial" w:eastAsia="Arial" w:hAnsi="Arial"/>
          <w:color w:val="111827"/>
          <w:sz w:val="22"/>
          <w:szCs w:val="22"/>
        </w:rPr>
        <w:t xml:space="preserve">This is the core product mechanic and the primary competitive moat. Every outbound WhatsApp message is calibrated to the exact number of days overdue, maintaining the business relationship while progressively increasing urgency.</w:t>
      </w:r>
    </w:p>
    <w:p>
      <w:pPr>
        <w:spacing w:after="0" w:before="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rPr>
          <w:tblHeader/>
        </w:trPr>
        <w:tc>
          <w:tcPr>
            <w:tcW w:type="dxa" w:w="2000"/>
            <w:tcBorders>
              <w:top w:val="single" w:color="D1D5DB" w:sz="1"/>
              <w:left w:val="single" w:color="D1D5DB" w:sz="1"/>
              <w:bottom w:val="single" w:color="D1D5DB" w:sz="1"/>
              <w:right w:val="single" w:color="D1D5DB" w:sz="1"/>
            </w:tcBorders>
            <w:shd w:fill="0A1628" w:val="clear"/>
            <w:tcMar>
              <w:top w:type="dxa" w:w="80"/>
              <w:left w:type="dxa" w:w="100"/>
              <w:bottom w:type="dxa" w:w="80"/>
              <w:right w:type="dxa" w:w="100"/>
            </w:tcMar>
          </w:tcPr>
          <w:p>
            <w:r>
              <w:rPr>
                <w:rFonts w:ascii="Arial" w:cs="Arial" w:eastAsia="Arial" w:hAnsi="Arial"/>
                <w:b/>
                <w:bCs/>
                <w:color w:val="FFFFFF"/>
                <w:sz w:val="20"/>
                <w:szCs w:val="20"/>
              </w:rPr>
              <w:t xml:space="preserve">Phase</w:t>
            </w:r>
          </w:p>
        </w:tc>
        <w:tc>
          <w:tcPr>
            <w:tcW w:type="dxa" w:w="2200"/>
            <w:tcBorders>
              <w:top w:val="single" w:color="D1D5DB" w:sz="1"/>
              <w:left w:val="single" w:color="D1D5DB" w:sz="1"/>
              <w:bottom w:val="single" w:color="D1D5DB" w:sz="1"/>
              <w:right w:val="single" w:color="D1D5DB" w:sz="1"/>
            </w:tcBorders>
            <w:shd w:fill="0A1628" w:val="clear"/>
            <w:tcMar>
              <w:top w:type="dxa" w:w="80"/>
              <w:left w:type="dxa" w:w="100"/>
              <w:bottom w:type="dxa" w:w="80"/>
              <w:right w:type="dxa" w:w="100"/>
            </w:tcMar>
          </w:tcPr>
          <w:p>
            <w:r>
              <w:rPr>
                <w:rFonts w:ascii="Arial" w:cs="Arial" w:eastAsia="Arial" w:hAnsi="Arial"/>
                <w:b/>
                <w:bCs/>
                <w:color w:val="FFFFFF"/>
                <w:sz w:val="20"/>
                <w:szCs w:val="20"/>
              </w:rPr>
              <w:t xml:space="preserve">Days Overdue</w:t>
            </w:r>
          </w:p>
        </w:tc>
        <w:tc>
          <w:tcPr>
            <w:tcW w:type="dxa" w:w="2600"/>
            <w:tcBorders>
              <w:top w:val="single" w:color="D1D5DB" w:sz="1"/>
              <w:left w:val="single" w:color="D1D5DB" w:sz="1"/>
              <w:bottom w:val="single" w:color="D1D5DB" w:sz="1"/>
              <w:right w:val="single" w:color="D1D5DB" w:sz="1"/>
            </w:tcBorders>
            <w:shd w:fill="0A1628" w:val="clear"/>
            <w:tcMar>
              <w:top w:type="dxa" w:w="80"/>
              <w:left w:type="dxa" w:w="100"/>
              <w:bottom w:type="dxa" w:w="80"/>
              <w:right w:type="dxa" w:w="100"/>
            </w:tcMar>
          </w:tcPr>
          <w:p>
            <w:r>
              <w:rPr>
                <w:rFonts w:ascii="Arial" w:cs="Arial" w:eastAsia="Arial" w:hAnsi="Arial"/>
                <w:b/>
                <w:bCs/>
                <w:color w:val="FFFFFF"/>
                <w:sz w:val="20"/>
                <w:szCs w:val="20"/>
              </w:rPr>
              <w:t xml:space="preserve">Tone</w:t>
            </w:r>
          </w:p>
        </w:tc>
        <w:tc>
          <w:tcPr>
            <w:tcW w:type="dxa" w:w="2560"/>
            <w:tcBorders>
              <w:top w:val="single" w:color="D1D5DB" w:sz="1"/>
              <w:left w:val="single" w:color="D1D5DB" w:sz="1"/>
              <w:bottom w:val="single" w:color="D1D5DB" w:sz="1"/>
              <w:right w:val="single" w:color="D1D5DB" w:sz="1"/>
            </w:tcBorders>
            <w:shd w:fill="0A1628" w:val="clear"/>
            <w:tcMar>
              <w:top w:type="dxa" w:w="80"/>
              <w:left w:type="dxa" w:w="100"/>
              <w:bottom w:type="dxa" w:w="80"/>
              <w:right w:type="dxa" w:w="100"/>
            </w:tcMar>
          </w:tcPr>
          <w:p>
            <w:r>
              <w:rPr>
                <w:rFonts w:ascii="Arial" w:cs="Arial" w:eastAsia="Arial" w:hAnsi="Arial"/>
                <w:b/>
                <w:bCs/>
                <w:color w:val="FFFFFF"/>
                <w:sz w:val="20"/>
                <w:szCs w:val="20"/>
              </w:rPr>
              <w:t xml:space="preserve">Example Message</w:t>
            </w:r>
          </w:p>
        </w:tc>
      </w:tr>
      <w:tr>
        <w:trPr>
          <w:tblHeader w:val="false"/>
        </w:trPr>
        <w:tc>
          <w:tcPr>
            <w:tcW w:type="dxa" w:w="20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b w:val="false"/>
                <w:bCs w:val="false"/>
                <w:color w:val="374151"/>
                <w:sz w:val="20"/>
                <w:szCs w:val="20"/>
              </w:rPr>
              <w:t xml:space="preserve">Phase 1</w:t>
            </w:r>
          </w:p>
        </w:tc>
        <w:tc>
          <w:tcPr>
            <w:tcW w:type="dxa" w:w="2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11827"/>
                <w:sz w:val="20"/>
                <w:szCs w:val="20"/>
              </w:rPr>
              <w:t xml:space="preserve">Day 1-3</w:t>
            </w:r>
          </w:p>
        </w:tc>
        <w:tc>
          <w:tcPr>
            <w:tcW w:type="dxa" w:w="26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11827"/>
                <w:sz w:val="20"/>
                <w:szCs w:val="20"/>
              </w:rPr>
              <w:t xml:space="preserve">Polite reminder</w:t>
            </w:r>
          </w:p>
        </w:tc>
        <w:tc>
          <w:tcPr>
            <w:tcW w:type="dxa" w:w="25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11827"/>
                <w:sz w:val="20"/>
                <w:szCs w:val="20"/>
              </w:rPr>
              <w:t xml:space="preserve">"Hi Ramesh bhai, invoice #102 of Rs 15,000 was due today. Please pay at your convenience. [Pay Now]"</w:t>
            </w:r>
          </w:p>
        </w:tc>
      </w:tr>
      <w:tr>
        <w:trPr>
          <w:tblHeader w:val="false"/>
        </w:trPr>
        <w:tc>
          <w:tcPr>
            <w:tcW w:type="dxa" w:w="20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b w:val="false"/>
                <w:bCs w:val="false"/>
                <w:color w:val="374151"/>
                <w:sz w:val="20"/>
                <w:szCs w:val="20"/>
              </w:rPr>
              <w:t xml:space="preserve">Phase 2</w:t>
            </w:r>
          </w:p>
        </w:tc>
        <w:tc>
          <w:tcPr>
            <w:tcW w:type="dxa" w:w="2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11827"/>
                <w:sz w:val="20"/>
                <w:szCs w:val="20"/>
              </w:rPr>
              <w:t xml:space="preserve">Day 7-10</w:t>
            </w:r>
          </w:p>
        </w:tc>
        <w:tc>
          <w:tcPr>
            <w:tcW w:type="dxa" w:w="26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11827"/>
                <w:sz w:val="20"/>
                <w:szCs w:val="20"/>
              </w:rPr>
              <w:t xml:space="preserve">Gentle nudge</w:t>
            </w:r>
          </w:p>
        </w:tc>
        <w:tc>
          <w:tcPr>
            <w:tcW w:type="dxa" w:w="25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11827"/>
                <w:sz w:val="20"/>
                <w:szCs w:val="20"/>
              </w:rPr>
              <w:t xml:space="preserve">"Ramesh bhai, just a gentle reminder about Rs 15,000 pending since 7 days. We value our relationship. [Pay Now]"</w:t>
            </w:r>
          </w:p>
        </w:tc>
      </w:tr>
      <w:tr>
        <w:trPr>
          <w:tblHeader w:val="false"/>
        </w:trPr>
        <w:tc>
          <w:tcPr>
            <w:tcW w:type="dxa" w:w="20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b w:val="false"/>
                <w:bCs w:val="false"/>
                <w:color w:val="374151"/>
                <w:sz w:val="20"/>
                <w:szCs w:val="20"/>
              </w:rPr>
              <w:t xml:space="preserve">Phase 3</w:t>
            </w:r>
          </w:p>
        </w:tc>
        <w:tc>
          <w:tcPr>
            <w:tcW w:type="dxa" w:w="2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11827"/>
                <w:sz w:val="20"/>
                <w:szCs w:val="20"/>
              </w:rPr>
              <w:t xml:space="preserve">Day 14-18</w:t>
            </w:r>
          </w:p>
        </w:tc>
        <w:tc>
          <w:tcPr>
            <w:tcW w:type="dxa" w:w="26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11827"/>
                <w:sz w:val="20"/>
                <w:szCs w:val="20"/>
              </w:rPr>
              <w:t xml:space="preserve">Firm follow-up</w:t>
            </w:r>
          </w:p>
        </w:tc>
        <w:tc>
          <w:tcPr>
            <w:tcW w:type="dxa" w:w="25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11827"/>
                <w:sz w:val="20"/>
                <w:szCs w:val="20"/>
              </w:rPr>
              <w:t xml:space="preserve">"Ramesh bhai, invoice #102 is now 14 days overdue. Please settle Rs 15,000 at the earliest to avoid any disruption. [Pay Now]"</w:t>
            </w:r>
          </w:p>
        </w:tc>
      </w:tr>
      <w:tr>
        <w:trPr>
          <w:tblHeader w:val="false"/>
        </w:trPr>
        <w:tc>
          <w:tcPr>
            <w:tcW w:type="dxa" w:w="20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b w:val="false"/>
                <w:bCs w:val="false"/>
                <w:color w:val="374151"/>
                <w:sz w:val="20"/>
                <w:szCs w:val="20"/>
              </w:rPr>
              <w:t xml:space="preserve">Phase 4</w:t>
            </w:r>
          </w:p>
        </w:tc>
        <w:tc>
          <w:tcPr>
            <w:tcW w:type="dxa" w:w="2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11827"/>
                <w:sz w:val="20"/>
                <w:szCs w:val="20"/>
              </w:rPr>
              <w:t xml:space="preserve">Day 21-27</w:t>
            </w:r>
          </w:p>
        </w:tc>
        <w:tc>
          <w:tcPr>
            <w:tcW w:type="dxa" w:w="26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11827"/>
                <w:sz w:val="20"/>
                <w:szCs w:val="20"/>
              </w:rPr>
              <w:t xml:space="preserve">Serious notice</w:t>
            </w:r>
          </w:p>
        </w:tc>
        <w:tc>
          <w:tcPr>
            <w:tcW w:type="dxa" w:w="25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11827"/>
                <w:sz w:val="20"/>
                <w:szCs w:val="20"/>
              </w:rPr>
              <w:t xml:space="preserve">"Dear Ramesh, this is a formal reminder. Invoice #102 of Rs 15,000 is 21 days overdue. Immediate payment is required. [Pay Now]"</w:t>
            </w:r>
          </w:p>
        </w:tc>
      </w:tr>
      <w:tr>
        <w:trPr>
          <w:tblHeader w:val="false"/>
        </w:trPr>
        <w:tc>
          <w:tcPr>
            <w:tcW w:type="dxa" w:w="20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b w:val="false"/>
                <w:bCs w:val="false"/>
                <w:color w:val="374151"/>
                <w:sz w:val="20"/>
                <w:szCs w:val="20"/>
              </w:rPr>
              <w:t xml:space="preserve">Phase 5 — Human Gate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11827"/>
                <w:sz w:val="20"/>
                <w:szCs w:val="20"/>
              </w:rPr>
              <w:t xml:space="preserve">Day 28+</w:t>
            </w:r>
          </w:p>
        </w:tc>
        <w:tc>
          <w:tcPr>
            <w:tcW w:type="dxa" w:w="26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11827"/>
                <w:sz w:val="20"/>
                <w:szCs w:val="20"/>
              </w:rPr>
              <w:t xml:space="preserve">Owner decides</w:t>
            </w:r>
          </w:p>
        </w:tc>
        <w:tc>
          <w:tcPr>
            <w:tcW w:type="dxa" w:w="25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11827"/>
                <w:sz w:val="20"/>
                <w:szCs w:val="20"/>
              </w:rPr>
              <w:t xml:space="preserve">System WhatsApps owner: "Ramesh has not paid for 28 days. Proceed with legal notice? [Yes] [No] [Snooze 7 days]"</w:t>
            </w:r>
          </w:p>
        </w:tc>
      </w:tr>
    </w:tbl>
    <w:p>
      <w:pPr>
        <w:spacing w:after="0" w:before="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B91C1C" w:val="clear"/>
            <w:tcMar>
              <w:top w:type="dxa" w:w="100"/>
              <w:left w:type="dxa" w:w="100"/>
              <w:bottom w:type="dxa" w:w="100"/>
              <w:right w:type="dxa" w:w="100"/>
            </w:tcMar>
          </w:tcPr>
          <w:p>
            <w:r>
              <w:rPr>
                <w:rFonts w:ascii="Arial" w:cs="Arial" w:eastAsia="Arial" w:hAnsi="Arial"/>
                <w:sz w:val="22"/>
                <w:szCs w:val="22"/>
              </w:rPr>
              <w:t xml:space="preserve"/>
            </w:r>
          </w:p>
        </w:tc>
        <w:tc>
          <w:tcPr>
            <w:tcW w:type="dxa" w:w="9000"/>
            <w:tcBorders>
              <w:top w:val="none" w:color="FFFFFF" w:sz="0"/>
              <w:left w:val="none" w:color="FFFFFF" w:sz="0"/>
              <w:bottom w:val="none" w:color="FFFFFF" w:sz="0"/>
              <w:right w:val="none" w:color="FFFFFF" w:sz="0"/>
            </w:tcBorders>
            <w:shd w:fill="F0FDF4" w:val="clear"/>
            <w:tcMar>
              <w:top w:type="dxa" w:w="100"/>
              <w:left w:type="dxa" w:w="200"/>
              <w:bottom w:type="dxa" w:w="100"/>
              <w:right w:type="dxa" w:w="100"/>
            </w:tcMar>
          </w:tcPr>
          <w:p>
            <w:pPr>
              <w:spacing w:after="0" w:before="0"/>
            </w:pPr>
            <w:r>
              <w:rPr>
                <w:rFonts w:ascii="Arial" w:cs="Arial" w:eastAsia="Arial" w:hAnsi="Arial"/>
                <w:b/>
                <w:bCs/>
                <w:color w:val="B91C1C"/>
                <w:sz w:val="22"/>
                <w:szCs w:val="22"/>
              </w:rPr>
              <w:t xml:space="preserve">CRITICAL — Human Gate: </w:t>
            </w:r>
            <w:r>
              <w:rPr>
                <w:rFonts w:ascii="Arial" w:cs="Arial" w:eastAsia="Arial" w:hAnsi="Arial"/>
                <w:color w:val="374151"/>
                <w:sz w:val="22"/>
                <w:szCs w:val="22"/>
              </w:rPr>
              <w:t xml:space="preserve">UdhaarClear NEVER auto-fires a legal notice. At Day 28, the system pauses and asks the business owner for permission. The owner can proceed, skip, or snooze. This protects relationships and prevents legal liability. This is a non-negotiable product principle.</w:t>
            </w:r>
          </w:p>
        </w:tc>
      </w:tr>
    </w:tbl>
    <w:p>
      <w:pPr>
        <w:spacing w:after="0" w:before="0"/>
      </w:pPr>
      <w:r>
        <w:rPr>
          <w:rFonts w:ascii="Arial" w:cs="Arial" w:eastAsia="Arial" w:hAnsi="Arial"/>
          <w:sz w:val="22"/>
          <w:szCs w:val="22"/>
        </w:rPr>
        <w:t xml:space="preserve"> </w:t>
      </w:r>
    </w:p>
    <w:p>
      <w:pPr>
        <w:pStyle w:val="Heading2"/>
        <w:spacing w:after="120" w:before="280"/>
      </w:pPr>
      <w:r>
        <w:rPr>
          <w:rFonts w:ascii="Arial" w:cs="Arial" w:eastAsia="Arial" w:hAnsi="Arial"/>
          <w:b/>
          <w:bCs/>
          <w:color w:val="1A7C4F"/>
          <w:sz w:val="28"/>
          <w:szCs w:val="28"/>
        </w:rPr>
        <w:t xml:space="preserve">3.3 WhatsApp Bot Commands (Seller Interface)</w:t>
      </w:r>
    </w:p>
    <w:p>
      <w:pPr>
        <w:spacing w:after="60" w:before="60"/>
      </w:pPr>
      <w:r>
        <w:rPr>
          <w:rFonts w:ascii="Arial" w:cs="Arial" w:eastAsia="Arial" w:hAnsi="Arial"/>
          <w:color w:val="111827"/>
          <w:sz w:val="22"/>
          <w:szCs w:val="22"/>
        </w:rPr>
        <w:t xml:space="preserve">Sellers can control UdhaarClear entirely from WhatsApp — no app needed for day-to-day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tcPr>
          <w:p>
            <w:r>
              <w:rPr>
                <w:rFonts w:ascii="Arial" w:cs="Arial" w:eastAsia="Arial" w:hAnsi="Arial"/>
                <w:b/>
                <w:bCs/>
                <w:color w:val="FFFFFF"/>
                <w:sz w:val="21"/>
                <w:szCs w:val="21"/>
              </w:rPr>
              <w:t xml:space="preserve">Command</w:t>
            </w:r>
          </w:p>
        </w:tc>
        <w:tc>
          <w:tcPr>
            <w:tcW w:type="dxa" w:w="576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tcPr>
          <w:p>
            <w:r>
              <w:rPr>
                <w:rFonts w:ascii="Arial" w:cs="Arial" w:eastAsia="Arial" w:hAnsi="Arial"/>
                <w:b/>
                <w:bCs/>
                <w:color w:val="FFFFFF"/>
                <w:sz w:val="21"/>
                <w:szCs w:val="21"/>
              </w:rPr>
              <w:t xml:space="preserve">Action</w:t>
            </w:r>
          </w:p>
        </w:tc>
      </w:tr>
      <w:tr>
        <w:trPr>
          <w:tblHeader w:val="false"/>
        </w:trP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"New invoice [name] [amount] [date]"</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Create a new invoice and start the recovery sequence</w:t>
            </w:r>
          </w:p>
        </w:tc>
      </w:tr>
      <w:tr>
        <w:trPr>
          <w:tblHeader w:val="false"/>
        </w:trP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"Status"</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Get a summary of all outstanding invoices and their current phase</w:t>
            </w:r>
          </w:p>
        </w:tc>
      </w:tr>
      <w:tr>
        <w:trPr>
          <w:tblHeader w:val="false"/>
        </w:trP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"[Name] paid Rs [amount]"</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Mark an invoice as paid and stop all reminders</w:t>
            </w:r>
          </w:p>
        </w:tc>
      </w:tr>
      <w:tr>
        <w:trPr>
          <w:tblHeader w:val="false"/>
        </w:trP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"Pause [name]"</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Pause recovery for a specific customer (e.g., during a dispute)</w:t>
            </w:r>
          </w:p>
        </w:tc>
      </w:tr>
      <w:tr>
        <w:trPr>
          <w:tblHeader w:val="false"/>
        </w:trP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"Report"</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Receive a PDF summary of the month's recovery performance</w:t>
            </w:r>
          </w:p>
        </w:tc>
      </w:tr>
    </w:tbl>
    <w:p>
      <w:pPr>
        <w:spacing w:after="0" w:before="0"/>
      </w:pPr>
      <w:r>
        <w:rPr>
          <w:rFonts w:ascii="Arial" w:cs="Arial" w:eastAsia="Arial" w:hAnsi="Arial"/>
          <w:sz w:val="22"/>
          <w:szCs w:val="22"/>
        </w:rPr>
        <w:t xml:space="preserve"> </w:t>
      </w:r>
    </w:p>
    <w:p>
      <w:pPr>
        <w:pStyle w:val="Heading2"/>
        <w:spacing w:after="120" w:before="280"/>
      </w:pPr>
      <w:r>
        <w:rPr>
          <w:rFonts w:ascii="Arial" w:cs="Arial" w:eastAsia="Arial" w:hAnsi="Arial"/>
          <w:b/>
          <w:bCs/>
          <w:color w:val="1A7C4F"/>
          <w:sz w:val="28"/>
          <w:szCs w:val="28"/>
        </w:rPr>
        <w:t xml:space="preserve">3.4 Buyer Payment Experience</w:t>
      </w:r>
    </w:p>
    <w:p>
      <w:pPr>
        <w:spacing w:after="60" w:before="60"/>
      </w:pPr>
      <w:r>
        <w:rPr>
          <w:rFonts w:ascii="Arial" w:cs="Arial" w:eastAsia="Arial" w:hAnsi="Arial"/>
          <w:color w:val="111827"/>
          <w:sz w:val="22"/>
          <w:szCs w:val="22"/>
        </w:rPr>
        <w:t xml:space="preserve">The buyer receives a WhatsApp message with a branded payment link. The payment page shows: business name and logo, invoice details, amount due, and payment options (UPI, card, net banking). After payment, both buyer and seller get a confirmation WhatsApp. The buyer then sees a CTA: "Do YOUR customers owe you money? Try UdhaarClear free." — this is the viral loop.</w:t>
      </w:r>
    </w:p>
    <w:p>
      <w:pPr>
        <w:spacing w:after="0" w:before="0"/>
      </w:pPr>
      <w:r>
        <w:rPr>
          <w:rFonts w:ascii="Arial" w:cs="Arial" w:eastAsia="Arial" w:hAnsi="Arial"/>
          <w:sz w:val="22"/>
          <w:szCs w:val="22"/>
        </w:rPr>
        <w:t xml:space="preserve"> </w:t>
      </w:r>
    </w:p>
    <w:p>
      <w:pPr>
        <w:pStyle w:val="Heading2"/>
        <w:spacing w:after="120" w:before="280"/>
      </w:pPr>
      <w:r>
        <w:rPr>
          <w:rFonts w:ascii="Arial" w:cs="Arial" w:eastAsia="Arial" w:hAnsi="Arial"/>
          <w:b/>
          <w:bCs/>
          <w:color w:val="1A7C4F"/>
          <w:sz w:val="28"/>
          <w:szCs w:val="28"/>
        </w:rPr>
        <w:t xml:space="preserve">3.5 UdhaarClear Score</w:t>
      </w:r>
    </w:p>
    <w:p>
      <w:pPr>
        <w:spacing w:after="60" w:before="60"/>
      </w:pPr>
      <w:r>
        <w:rPr>
          <w:rFonts w:ascii="Arial" w:cs="Arial" w:eastAsia="Arial" w:hAnsi="Arial"/>
          <w:color w:val="111827"/>
          <w:sz w:val="22"/>
          <w:szCs w:val="22"/>
        </w:rPr>
        <w:t xml:space="preserve">India's first B2B trade credit score for informal MSMEs. Calculated from payment behaviour across all UdhaarClear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tcPr>
          <w:p>
            <w:r>
              <w:rPr>
                <w:rFonts w:ascii="Arial" w:cs="Arial" w:eastAsia="Arial" w:hAnsi="Arial"/>
                <w:b/>
                <w:bCs/>
                <w:color w:val="FFFFFF"/>
                <w:sz w:val="21"/>
                <w:szCs w:val="21"/>
              </w:rPr>
              <w:t xml:space="preserve">Score Component</w:t>
            </w:r>
          </w:p>
        </w:tc>
        <w:tc>
          <w:tcPr>
            <w:tcW w:type="dxa" w:w="576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tcPr>
          <w:p>
            <w:r>
              <w:rPr>
                <w:rFonts w:ascii="Arial" w:cs="Arial" w:eastAsia="Arial" w:hAnsi="Arial"/>
                <w:b/>
                <w:bCs/>
                <w:color w:val="FFFFFF"/>
                <w:sz w:val="21"/>
                <w:szCs w:val="21"/>
              </w:rPr>
              <w:t xml:space="preserve">Weight</w:t>
            </w:r>
          </w:p>
        </w:tc>
      </w:tr>
      <w:tr>
        <w:trPr>
          <w:tblHeader w:val="false"/>
        </w:trP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Payment delay (average days late)</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35%</w:t>
            </w:r>
          </w:p>
        </w:tc>
      </w:tr>
      <w:tr>
        <w:trPr>
          <w:tblHeader w:val="false"/>
        </w:trP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Invoice completion rate (% invoices paid)</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30%</w:t>
            </w:r>
          </w:p>
        </w:tc>
      </w:tr>
      <w:tr>
        <w:trPr>
          <w:tblHeader w:val="false"/>
        </w:trP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Dispute rate (% invoices disputed)</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15%</w:t>
            </w:r>
          </w:p>
        </w:tc>
      </w:tr>
      <w:tr>
        <w:trPr>
          <w:tblHeader w:val="false"/>
        </w:trP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Tenure (how long on platform)</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10%</w:t>
            </w:r>
          </w:p>
        </w:tc>
      </w:tr>
      <w:tr>
        <w:trPr>
          <w:tblHeader w:val="false"/>
        </w:trP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Response rate (responses to reminders)</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10%</w:t>
            </w:r>
          </w:p>
        </w:tc>
      </w:tr>
    </w:tbl>
    <w:p>
      <w:pPr>
        <w:spacing w:after="60" w:before="60"/>
      </w:pPr>
      <w:r>
        <w:rPr>
          <w:rFonts w:ascii="Arial" w:cs="Arial" w:eastAsia="Arial" w:hAnsi="Arial"/>
          <w:color w:val="111827"/>
          <w:sz w:val="22"/>
          <w:szCs w:val="22"/>
        </w:rPr>
        <w:t xml:space="preserve">Sellers can see a buyer's score before extending credit. Buyers with good scores can unlock BNPL (Buy Now Pay Later) credit via NBFC partnerships. This turns UdhaarClear from a collection tool into India's first informal B2B credit bureau.</w:t>
      </w:r>
    </w:p>
    <w:p>
      <w:r>
        <w:br w:type="page"/>
      </w:r>
    </w:p>
    <w:p>
      <w:pPr>
        <w:pStyle w:val="Heading1"/>
        <w:spacing w:after="180" w:before="360"/>
      </w:pPr>
      <w:r>
        <w:rPr>
          <w:rFonts w:ascii="Arial" w:cs="Arial" w:eastAsia="Arial" w:hAnsi="Arial"/>
          <w:b/>
          <w:bCs/>
          <w:color w:val="0A1628"/>
          <w:sz w:val="36"/>
          <w:szCs w:val="36"/>
        </w:rPr>
        <w:t xml:space="preserve">4. Complete Feature List</w:t>
      </w:r>
    </w:p>
    <w:p>
      <w:pPr>
        <w:pStyle w:val="Heading2"/>
        <w:spacing w:after="120" w:before="280"/>
      </w:pPr>
      <w:r>
        <w:rPr>
          <w:rFonts w:ascii="Arial" w:cs="Arial" w:eastAsia="Arial" w:hAnsi="Arial"/>
          <w:b/>
          <w:bCs/>
          <w:color w:val="1A7C4F"/>
          <w:sz w:val="28"/>
          <w:szCs w:val="28"/>
        </w:rPr>
        <w:t xml:space="preserve">4.1 Core Recovery Features</w:t>
      </w:r>
    </w:p>
    <w:p>
      <w:pPr>
        <w:pStyle w:val="ListParagraph"/>
        <w:numPr>
          <w:ilvl w:val="0"/>
          <w:numId w:val="2"/>
        </w:numPr>
        <w:spacing w:after="40" w:before="40"/>
      </w:pPr>
      <w:r>
        <w:rPr>
          <w:rFonts w:ascii="Arial" w:cs="Arial" w:eastAsia="Arial" w:hAnsi="Arial"/>
          <w:color w:val="111827"/>
          <w:sz w:val="22"/>
          <w:szCs w:val="22"/>
        </w:rPr>
        <w:t xml:space="preserve">Invoice creation via web dashboard or WhatsApp bot</w:t>
      </w:r>
    </w:p>
    <w:p>
      <w:pPr>
        <w:pStyle w:val="ListParagraph"/>
        <w:numPr>
          <w:ilvl w:val="0"/>
          <w:numId w:val="2"/>
        </w:numPr>
        <w:spacing w:after="40" w:before="40"/>
      </w:pPr>
      <w:r>
        <w:rPr>
          <w:rFonts w:ascii="Arial" w:cs="Arial" w:eastAsia="Arial" w:hAnsi="Arial"/>
          <w:color w:val="111827"/>
          <w:sz w:val="22"/>
          <w:szCs w:val="22"/>
        </w:rPr>
        <w:t xml:space="preserve">Tally / Excel import for bulk invoice onboarding</w:t>
      </w:r>
    </w:p>
    <w:p>
      <w:pPr>
        <w:pStyle w:val="ListParagraph"/>
        <w:numPr>
          <w:ilvl w:val="0"/>
          <w:numId w:val="2"/>
        </w:numPr>
        <w:spacing w:after="40" w:before="40"/>
      </w:pPr>
      <w:r>
        <w:rPr>
          <w:rFonts w:ascii="Arial" w:cs="Arial" w:eastAsia="Arial" w:hAnsi="Arial"/>
          <w:color w:val="111827"/>
          <w:sz w:val="22"/>
          <w:szCs w:val="22"/>
        </w:rPr>
        <w:t xml:space="preserve">Automatic 5-phase WhatsApp reminder sequences (Meta WABA)</w:t>
      </w:r>
    </w:p>
    <w:p>
      <w:pPr>
        <w:pStyle w:val="ListParagraph"/>
        <w:numPr>
          <w:ilvl w:val="0"/>
          <w:numId w:val="2"/>
        </w:numPr>
        <w:spacing w:after="40" w:before="40"/>
      </w:pPr>
      <w:r>
        <w:rPr>
          <w:rFonts w:ascii="Arial" w:cs="Arial" w:eastAsia="Arial" w:hAnsi="Arial"/>
          <w:color w:val="111827"/>
          <w:sz w:val="22"/>
          <w:szCs w:val="22"/>
        </w:rPr>
        <w:t xml:space="preserve">Branded buyer payment page (UPI, card, net banking via Razorpay)</w:t>
      </w:r>
    </w:p>
    <w:p>
      <w:pPr>
        <w:pStyle w:val="ListParagraph"/>
        <w:numPr>
          <w:ilvl w:val="0"/>
          <w:numId w:val="2"/>
        </w:numPr>
        <w:spacing w:after="40" w:before="40"/>
      </w:pPr>
      <w:r>
        <w:rPr>
          <w:rFonts w:ascii="Arial" w:cs="Arial" w:eastAsia="Arial" w:hAnsi="Arial"/>
          <w:color w:val="111827"/>
          <w:sz w:val="22"/>
          <w:szCs w:val="22"/>
        </w:rPr>
        <w:t xml:space="preserve">Instant payment confirmation to both buyer and seller via WhatsApp</w:t>
      </w:r>
    </w:p>
    <w:p>
      <w:pPr>
        <w:pStyle w:val="ListParagraph"/>
        <w:numPr>
          <w:ilvl w:val="0"/>
          <w:numId w:val="2"/>
        </w:numPr>
        <w:spacing w:after="40" w:before="40"/>
      </w:pPr>
      <w:r>
        <w:rPr>
          <w:rFonts w:ascii="Arial" w:cs="Arial" w:eastAsia="Arial" w:hAnsi="Arial"/>
          <w:color w:val="111827"/>
          <w:sz w:val="22"/>
          <w:szCs w:val="22"/>
        </w:rPr>
        <w:t xml:space="preserve">Human gate at Day 28 — no auto legal notices, ever</w:t>
      </w:r>
    </w:p>
    <w:p>
      <w:pPr>
        <w:pStyle w:val="ListParagraph"/>
        <w:numPr>
          <w:ilvl w:val="0"/>
          <w:numId w:val="2"/>
        </w:numPr>
        <w:spacing w:after="40" w:before="40"/>
      </w:pPr>
      <w:r>
        <w:rPr>
          <w:rFonts w:ascii="Arial" w:cs="Arial" w:eastAsia="Arial" w:hAnsi="Arial"/>
          <w:color w:val="111827"/>
          <w:sz w:val="22"/>
          <w:szCs w:val="22"/>
        </w:rPr>
        <w:t xml:space="preserve">Pause, snooze, or skip recovery for any specific customer</w:t>
      </w:r>
    </w:p>
    <w:p>
      <w:pPr>
        <w:pStyle w:val="ListParagraph"/>
        <w:numPr>
          <w:ilvl w:val="0"/>
          <w:numId w:val="2"/>
        </w:numPr>
        <w:spacing w:after="40" w:before="40"/>
      </w:pPr>
      <w:r>
        <w:rPr>
          <w:rFonts w:ascii="Arial" w:cs="Arial" w:eastAsia="Arial" w:hAnsi="Arial"/>
          <w:color w:val="111827"/>
          <w:sz w:val="22"/>
          <w:szCs w:val="22"/>
        </w:rPr>
        <w:t xml:space="preserve">Dispute flagging — mark an invoice under dispute to pause automation</w:t>
      </w:r>
    </w:p>
    <w:p>
      <w:pPr>
        <w:pStyle w:val="ListParagraph"/>
        <w:numPr>
          <w:ilvl w:val="0"/>
          <w:numId w:val="2"/>
        </w:numPr>
        <w:spacing w:after="40" w:before="40"/>
      </w:pPr>
      <w:r>
        <w:rPr>
          <w:rFonts w:ascii="Arial" w:cs="Arial" w:eastAsia="Arial" w:hAnsi="Arial"/>
          <w:color w:val="111827"/>
          <w:sz w:val="22"/>
          <w:szCs w:val="22"/>
        </w:rPr>
        <w:t xml:space="preserve">Partial payment recording and tracking</w:t>
      </w:r>
    </w:p>
    <w:p>
      <w:pPr>
        <w:pStyle w:val="ListParagraph"/>
        <w:numPr>
          <w:ilvl w:val="0"/>
          <w:numId w:val="2"/>
        </w:numPr>
        <w:spacing w:after="40" w:before="40"/>
      </w:pPr>
      <w:r>
        <w:rPr>
          <w:rFonts w:ascii="Arial" w:cs="Arial" w:eastAsia="Arial" w:hAnsi="Arial"/>
          <w:color w:val="111827"/>
          <w:sz w:val="22"/>
          <w:szCs w:val="22"/>
        </w:rPr>
        <w:t xml:space="preserve">Bulk payment reminders (send to all overdue at once)</w:t>
      </w:r>
    </w:p>
    <w:p>
      <w:pPr>
        <w:spacing w:after="0" w:before="0"/>
      </w:pPr>
      <w:r>
        <w:rPr>
          <w:rFonts w:ascii="Arial" w:cs="Arial" w:eastAsia="Arial" w:hAnsi="Arial"/>
          <w:sz w:val="22"/>
          <w:szCs w:val="22"/>
        </w:rPr>
        <w:t xml:space="preserve"> </w:t>
      </w:r>
    </w:p>
    <w:p>
      <w:pPr>
        <w:pStyle w:val="Heading2"/>
        <w:spacing w:after="120" w:before="280"/>
      </w:pPr>
      <w:r>
        <w:rPr>
          <w:rFonts w:ascii="Arial" w:cs="Arial" w:eastAsia="Arial" w:hAnsi="Arial"/>
          <w:b/>
          <w:bCs/>
          <w:color w:val="1A7C4F"/>
          <w:sz w:val="28"/>
          <w:szCs w:val="28"/>
        </w:rPr>
        <w:t xml:space="preserve">4.2 Analytics &amp; Reporting</w:t>
      </w:r>
    </w:p>
    <w:p>
      <w:pPr>
        <w:pStyle w:val="ListParagraph"/>
        <w:numPr>
          <w:ilvl w:val="0"/>
          <w:numId w:val="2"/>
        </w:numPr>
        <w:spacing w:after="40" w:before="40"/>
      </w:pPr>
      <w:r>
        <w:rPr>
          <w:rFonts w:ascii="Arial" w:cs="Arial" w:eastAsia="Arial" w:hAnsi="Arial"/>
          <w:color w:val="111827"/>
          <w:sz w:val="22"/>
          <w:szCs w:val="22"/>
        </w:rPr>
        <w:t xml:space="preserve">Real-time dashboard: total outstanding, recovered this month, collection rate</w:t>
      </w:r>
    </w:p>
    <w:p>
      <w:pPr>
        <w:pStyle w:val="ListParagraph"/>
        <w:numPr>
          <w:ilvl w:val="0"/>
          <w:numId w:val="2"/>
        </w:numPr>
        <w:spacing w:after="40" w:before="40"/>
      </w:pPr>
      <w:r>
        <w:rPr>
          <w:rFonts w:ascii="Arial" w:cs="Arial" w:eastAsia="Arial" w:hAnsi="Arial"/>
          <w:color w:val="111827"/>
          <w:sz w:val="22"/>
          <w:szCs w:val="22"/>
        </w:rPr>
        <w:t xml:space="preserve">Invoice ageing report (0-30 / 31-60 / 61-90 / 90+ days buckets)</w:t>
      </w:r>
    </w:p>
    <w:p>
      <w:pPr>
        <w:pStyle w:val="ListParagraph"/>
        <w:numPr>
          <w:ilvl w:val="0"/>
          <w:numId w:val="2"/>
        </w:numPr>
        <w:spacing w:after="40" w:before="40"/>
      </w:pPr>
      <w:r>
        <w:rPr>
          <w:rFonts w:ascii="Arial" w:cs="Arial" w:eastAsia="Arial" w:hAnsi="Arial"/>
          <w:color w:val="111827"/>
          <w:sz w:val="22"/>
          <w:szCs w:val="22"/>
        </w:rPr>
        <w:t xml:space="preserve">Debtor risk profiles — flagging chronic late payers</w:t>
      </w:r>
    </w:p>
    <w:p>
      <w:pPr>
        <w:pStyle w:val="ListParagraph"/>
        <w:numPr>
          <w:ilvl w:val="0"/>
          <w:numId w:val="2"/>
        </w:numPr>
        <w:spacing w:after="40" w:before="40"/>
      </w:pPr>
      <w:r>
        <w:rPr>
          <w:rFonts w:ascii="Arial" w:cs="Arial" w:eastAsia="Arial" w:hAnsi="Arial"/>
          <w:color w:val="111827"/>
          <w:sz w:val="22"/>
          <w:szCs w:val="22"/>
        </w:rPr>
        <w:t xml:space="preserve">Recovery trend charts (monthly, quarterly)</w:t>
      </w:r>
    </w:p>
    <w:p>
      <w:pPr>
        <w:pStyle w:val="ListParagraph"/>
        <w:numPr>
          <w:ilvl w:val="0"/>
          <w:numId w:val="2"/>
        </w:numPr>
        <w:spacing w:after="40" w:before="40"/>
      </w:pPr>
      <w:r>
        <w:rPr>
          <w:rFonts w:ascii="Arial" w:cs="Arial" w:eastAsia="Arial" w:hAnsi="Arial"/>
          <w:color w:val="111827"/>
          <w:sz w:val="22"/>
          <w:szCs w:val="22"/>
        </w:rPr>
        <w:t xml:space="preserve">Shareable recovery stat card (WhatsApp-optimised image for social sharing)</w:t>
      </w:r>
    </w:p>
    <w:p>
      <w:pPr>
        <w:pStyle w:val="ListParagraph"/>
        <w:numPr>
          <w:ilvl w:val="0"/>
          <w:numId w:val="2"/>
        </w:numPr>
        <w:spacing w:after="40" w:before="40"/>
      </w:pPr>
      <w:r>
        <w:rPr>
          <w:rFonts w:ascii="Arial" w:cs="Arial" w:eastAsia="Arial" w:hAnsi="Arial"/>
          <w:color w:val="111827"/>
          <w:sz w:val="22"/>
          <w:szCs w:val="22"/>
        </w:rPr>
        <w:t xml:space="preserve">PDF report export (monthly summary, auditor-ready)</w:t>
      </w:r>
    </w:p>
    <w:p>
      <w:pPr>
        <w:pStyle w:val="ListParagraph"/>
        <w:numPr>
          <w:ilvl w:val="0"/>
          <w:numId w:val="2"/>
        </w:numPr>
        <w:spacing w:after="40" w:before="40"/>
      </w:pPr>
      <w:r>
        <w:rPr>
          <w:rFonts w:ascii="Arial" w:cs="Arial" w:eastAsia="Arial" w:hAnsi="Arial"/>
          <w:color w:val="111827"/>
          <w:sz w:val="22"/>
          <w:szCs w:val="22"/>
        </w:rPr>
        <w:t xml:space="preserve">Excel / CSV export of all invoice data</w:t>
      </w:r>
    </w:p>
    <w:p>
      <w:pPr>
        <w:spacing w:after="0" w:before="0"/>
      </w:pPr>
      <w:r>
        <w:rPr>
          <w:rFonts w:ascii="Arial" w:cs="Arial" w:eastAsia="Arial" w:hAnsi="Arial"/>
          <w:sz w:val="22"/>
          <w:szCs w:val="22"/>
        </w:rPr>
        <w:t xml:space="preserve"> </w:t>
      </w:r>
    </w:p>
    <w:p>
      <w:pPr>
        <w:pStyle w:val="Heading2"/>
        <w:spacing w:after="120" w:before="280"/>
      </w:pPr>
      <w:r>
        <w:rPr>
          <w:rFonts w:ascii="Arial" w:cs="Arial" w:eastAsia="Arial" w:hAnsi="Arial"/>
          <w:b/>
          <w:bCs/>
          <w:color w:val="1A7C4F"/>
          <w:sz w:val="28"/>
          <w:szCs w:val="28"/>
        </w:rPr>
        <w:t xml:space="preserve">4.3 CA Partner System</w:t>
      </w:r>
    </w:p>
    <w:p>
      <w:pPr>
        <w:pStyle w:val="ListParagraph"/>
        <w:numPr>
          <w:ilvl w:val="0"/>
          <w:numId w:val="2"/>
        </w:numPr>
        <w:spacing w:after="40" w:before="40"/>
      </w:pPr>
      <w:r>
        <w:rPr>
          <w:rFonts w:ascii="Arial" w:cs="Arial" w:eastAsia="Arial" w:hAnsi="Arial"/>
          <w:color w:val="111827"/>
          <w:sz w:val="22"/>
          <w:szCs w:val="22"/>
        </w:rPr>
        <w:t xml:space="preserve">CA registration with ICAI membership number + COP number verification</w:t>
      </w:r>
    </w:p>
    <w:p>
      <w:pPr>
        <w:pStyle w:val="ListParagraph"/>
        <w:numPr>
          <w:ilvl w:val="0"/>
          <w:numId w:val="2"/>
        </w:numPr>
        <w:spacing w:after="40" w:before="40"/>
      </w:pPr>
      <w:r>
        <w:rPr>
          <w:rFonts w:ascii="Arial" w:cs="Arial" w:eastAsia="Arial" w:hAnsi="Arial"/>
          <w:color w:val="111827"/>
          <w:sz w:val="22"/>
          <w:szCs w:val="22"/>
        </w:rPr>
        <w:t xml:space="preserve">Real-time verification against ICAI directory + OTP on mobile</w:t>
      </w:r>
    </w:p>
    <w:p>
      <w:pPr>
        <w:pStyle w:val="ListParagraph"/>
        <w:numPr>
          <w:ilvl w:val="0"/>
          <w:numId w:val="2"/>
        </w:numPr>
        <w:spacing w:after="40" w:before="40"/>
      </w:pPr>
      <w:r>
        <w:rPr>
          <w:rFonts w:ascii="Arial" w:cs="Arial" w:eastAsia="Arial" w:hAnsi="Arial"/>
          <w:color w:val="111827"/>
          <w:sz w:val="22"/>
          <w:szCs w:val="22"/>
        </w:rPr>
        <w:t xml:space="preserve">Unique referral link per CA (last-touch attribution, locked at signup forever)</w:t>
      </w:r>
    </w:p>
    <w:p>
      <w:pPr>
        <w:pStyle w:val="ListParagraph"/>
        <w:numPr>
          <w:ilvl w:val="0"/>
          <w:numId w:val="2"/>
        </w:numPr>
        <w:spacing w:after="40" w:before="40"/>
      </w:pPr>
      <w:r>
        <w:rPr>
          <w:rFonts w:ascii="Arial" w:cs="Arial" w:eastAsia="Arial" w:hAnsi="Arial"/>
          <w:color w:val="111827"/>
          <w:sz w:val="22"/>
          <w:szCs w:val="22"/>
        </w:rPr>
        <w:t xml:space="preserve">CA dashboard: active clients, monthly earnings, payout history</w:t>
      </w:r>
    </w:p>
    <w:p>
      <w:pPr>
        <w:pStyle w:val="ListParagraph"/>
        <w:numPr>
          <w:ilvl w:val="0"/>
          <w:numId w:val="2"/>
        </w:numPr>
        <w:spacing w:after="40" w:before="40"/>
      </w:pPr>
      <w:r>
        <w:rPr>
          <w:rFonts w:ascii="Arial" w:cs="Arial" w:eastAsia="Arial" w:hAnsi="Arial"/>
          <w:color w:val="111827"/>
          <w:sz w:val="22"/>
          <w:szCs w:val="22"/>
        </w:rPr>
        <w:t xml:space="preserve">Monthly automated payouts via Razorpay Route (NEFT to CA's bank account)</w:t>
      </w:r>
    </w:p>
    <w:p>
      <w:pPr>
        <w:pStyle w:val="ListParagraph"/>
        <w:numPr>
          <w:ilvl w:val="0"/>
          <w:numId w:val="2"/>
        </w:numPr>
        <w:spacing w:after="40" w:before="40"/>
      </w:pPr>
      <w:r>
        <w:rPr>
          <w:rFonts w:ascii="Arial" w:cs="Arial" w:eastAsia="Arial" w:hAnsi="Arial"/>
          <w:color w:val="111827"/>
          <w:sz w:val="22"/>
          <w:szCs w:val="22"/>
        </w:rPr>
        <w:t xml:space="preserve">TDS deduction at 10% above Rs 30,000/year (Section 194H compliance)</w:t>
      </w:r>
    </w:p>
    <w:p>
      <w:pPr>
        <w:pStyle w:val="ListParagraph"/>
        <w:numPr>
          <w:ilvl w:val="0"/>
          <w:numId w:val="2"/>
        </w:numPr>
        <w:spacing w:after="40" w:before="40"/>
      </w:pPr>
      <w:r>
        <w:rPr>
          <w:rFonts w:ascii="Arial" w:cs="Arial" w:eastAsia="Arial" w:hAnsi="Arial"/>
          <w:color w:val="111827"/>
          <w:sz w:val="22"/>
          <w:szCs w:val="22"/>
        </w:rPr>
        <w:t xml:space="preserve">CA earnings: Rs 100/month (Starter), Rs 300/month (Pro), Rs 2,000/month (Enterprise)</w:t>
      </w:r>
    </w:p>
    <w:p>
      <w:pPr>
        <w:pStyle w:val="ListParagraph"/>
        <w:numPr>
          <w:ilvl w:val="0"/>
          <w:numId w:val="2"/>
        </w:numPr>
        <w:spacing w:after="40" w:before="40"/>
      </w:pPr>
      <w:r>
        <w:rPr>
          <w:rFonts w:ascii="Arial" w:cs="Arial" w:eastAsia="Arial" w:hAnsi="Arial"/>
          <w:color w:val="111827"/>
          <w:sz w:val="22"/>
          <w:szCs w:val="22"/>
        </w:rPr>
        <w:t xml:space="preserve">A CA with 20 Pro clients earns Rs 6,000/month passively</w:t>
      </w:r>
    </w:p>
    <w:p>
      <w:pPr>
        <w:spacing w:after="0" w:before="0"/>
      </w:pPr>
      <w:r>
        <w:rPr>
          <w:rFonts w:ascii="Arial" w:cs="Arial" w:eastAsia="Arial" w:hAnsi="Arial"/>
          <w:sz w:val="22"/>
          <w:szCs w:val="22"/>
        </w:rPr>
        <w:t xml:space="preserve"> </w:t>
      </w:r>
    </w:p>
    <w:p>
      <w:pPr>
        <w:pStyle w:val="Heading2"/>
        <w:spacing w:after="120" w:before="280"/>
      </w:pPr>
      <w:r>
        <w:rPr>
          <w:rFonts w:ascii="Arial" w:cs="Arial" w:eastAsia="Arial" w:hAnsi="Arial"/>
          <w:b/>
          <w:bCs/>
          <w:color w:val="1A7C4F"/>
          <w:sz w:val="28"/>
          <w:szCs w:val="28"/>
        </w:rPr>
        <w:t xml:space="preserve">4.4 Integrations</w:t>
      </w:r>
    </w:p>
    <w:p>
      <w:pPr>
        <w:pStyle w:val="ListParagraph"/>
        <w:numPr>
          <w:ilvl w:val="0"/>
          <w:numId w:val="2"/>
        </w:numPr>
        <w:spacing w:after="40" w:before="40"/>
      </w:pPr>
      <w:r>
        <w:rPr>
          <w:rFonts w:ascii="Arial" w:cs="Arial" w:eastAsia="Arial" w:hAnsi="Arial"/>
          <w:color w:val="111827"/>
          <w:sz w:val="22"/>
          <w:szCs w:val="22"/>
        </w:rPr>
        <w:t xml:space="preserve">Tally ERP — import invoices directly</w:t>
      </w:r>
    </w:p>
    <w:p>
      <w:pPr>
        <w:pStyle w:val="ListParagraph"/>
        <w:numPr>
          <w:ilvl w:val="0"/>
          <w:numId w:val="2"/>
        </w:numPr>
        <w:spacing w:after="40" w:before="40"/>
      </w:pPr>
      <w:r>
        <w:rPr>
          <w:rFonts w:ascii="Arial" w:cs="Arial" w:eastAsia="Arial" w:hAnsi="Arial"/>
          <w:color w:val="111827"/>
          <w:sz w:val="22"/>
          <w:szCs w:val="22"/>
        </w:rPr>
        <w:t xml:space="preserve">Razorpay — subscriptions + buyer payments + CA payouts</w:t>
      </w:r>
    </w:p>
    <w:p>
      <w:pPr>
        <w:pStyle w:val="ListParagraph"/>
        <w:numPr>
          <w:ilvl w:val="0"/>
          <w:numId w:val="2"/>
        </w:numPr>
        <w:spacing w:after="40" w:before="40"/>
      </w:pPr>
      <w:r>
        <w:rPr>
          <w:rFonts w:ascii="Arial" w:cs="Arial" w:eastAsia="Arial" w:hAnsi="Arial"/>
          <w:color w:val="111827"/>
          <w:sz w:val="22"/>
          <w:szCs w:val="22"/>
        </w:rPr>
        <w:t xml:space="preserve">WhatsApp Business API (Meta WABA) — all outbound messages</w:t>
      </w:r>
    </w:p>
    <w:p>
      <w:pPr>
        <w:pStyle w:val="ListParagraph"/>
        <w:numPr>
          <w:ilvl w:val="0"/>
          <w:numId w:val="2"/>
        </w:numPr>
        <w:spacing w:after="40" w:before="40"/>
      </w:pPr>
      <w:r>
        <w:rPr>
          <w:rFonts w:ascii="Arial" w:cs="Arial" w:eastAsia="Arial" w:hAnsi="Arial"/>
          <w:color w:val="111827"/>
          <w:sz w:val="22"/>
          <w:szCs w:val="22"/>
        </w:rPr>
        <w:t xml:space="preserve">Resend — transactional email fallback</w:t>
      </w:r>
    </w:p>
    <w:p>
      <w:pPr>
        <w:pStyle w:val="ListParagraph"/>
        <w:numPr>
          <w:ilvl w:val="0"/>
          <w:numId w:val="2"/>
        </w:numPr>
        <w:spacing w:after="40" w:before="40"/>
      </w:pPr>
      <w:r>
        <w:rPr>
          <w:rFonts w:ascii="Arial" w:cs="Arial" w:eastAsia="Arial" w:hAnsi="Arial"/>
          <w:color w:val="111827"/>
          <w:sz w:val="22"/>
          <w:szCs w:val="22"/>
        </w:rPr>
        <w:t xml:space="preserve">Supabase — database + auth + real-time</w:t>
      </w:r>
    </w:p>
    <w:p>
      <w:pPr>
        <w:pStyle w:val="ListParagraph"/>
        <w:numPr>
          <w:ilvl w:val="0"/>
          <w:numId w:val="2"/>
        </w:numPr>
        <w:spacing w:after="40" w:before="40"/>
      </w:pPr>
      <w:r>
        <w:rPr>
          <w:rFonts w:ascii="Arial" w:cs="Arial" w:eastAsia="Arial" w:hAnsi="Arial"/>
          <w:color w:val="111827"/>
          <w:sz w:val="22"/>
          <w:szCs w:val="22"/>
        </w:rPr>
        <w:t xml:space="preserve">BullMQ + Upstash Redis — job queue for scheduled messages</w:t>
      </w:r>
    </w:p>
    <w:p>
      <w:pPr>
        <w:pStyle w:val="ListParagraph"/>
        <w:numPr>
          <w:ilvl w:val="0"/>
          <w:numId w:val="2"/>
        </w:numPr>
        <w:spacing w:after="40" w:before="40"/>
      </w:pPr>
      <w:r>
        <w:rPr>
          <w:rFonts w:ascii="Arial" w:cs="Arial" w:eastAsia="Arial" w:hAnsi="Arial"/>
          <w:color w:val="111827"/>
          <w:sz w:val="22"/>
          <w:szCs w:val="22"/>
        </w:rPr>
        <w:t xml:space="preserve">Sentry — error monitoring</w:t>
      </w:r>
    </w:p>
    <w:p>
      <w:pPr>
        <w:spacing w:after="0" w:before="0"/>
      </w:pPr>
      <w:r>
        <w:rPr>
          <w:rFonts w:ascii="Arial" w:cs="Arial" w:eastAsia="Arial" w:hAnsi="Arial"/>
          <w:sz w:val="22"/>
          <w:szCs w:val="22"/>
        </w:rPr>
        <w:t xml:space="preserve"> </w:t>
      </w:r>
    </w:p>
    <w:p>
      <w:pPr>
        <w:pStyle w:val="Heading2"/>
        <w:spacing w:after="120" w:before="280"/>
      </w:pPr>
      <w:r>
        <w:rPr>
          <w:rFonts w:ascii="Arial" w:cs="Arial" w:eastAsia="Arial" w:hAnsi="Arial"/>
          <w:b/>
          <w:bCs/>
          <w:color w:val="1A7C4F"/>
          <w:sz w:val="28"/>
          <w:szCs w:val="28"/>
        </w:rPr>
        <w:t xml:space="preserve">4.5 Planned Features (Month 3-6)</w:t>
      </w:r>
    </w:p>
    <w:p>
      <w:pPr>
        <w:pStyle w:val="ListParagraph"/>
        <w:numPr>
          <w:ilvl w:val="0"/>
          <w:numId w:val="2"/>
        </w:numPr>
        <w:spacing w:after="40" w:before="40"/>
      </w:pPr>
      <w:r>
        <w:rPr>
          <w:rFonts w:ascii="Arial" w:cs="Arial" w:eastAsia="Arial" w:hAnsi="Arial"/>
          <w:color w:val="111827"/>
          <w:sz w:val="22"/>
          <w:szCs w:val="22"/>
        </w:rPr>
        <w:t xml:space="preserve">Multi-language support: Hindi, Gujarati, Marathi, Punjabi, Tamil, Telugu</w:t>
      </w:r>
    </w:p>
    <w:p>
      <w:pPr>
        <w:pStyle w:val="ListParagraph"/>
        <w:numPr>
          <w:ilvl w:val="0"/>
          <w:numId w:val="2"/>
        </w:numPr>
        <w:spacing w:after="40" w:before="40"/>
      </w:pPr>
      <w:r>
        <w:rPr>
          <w:rFonts w:ascii="Arial" w:cs="Arial" w:eastAsia="Arial" w:hAnsi="Arial"/>
          <w:color w:val="111827"/>
          <w:sz w:val="22"/>
          <w:szCs w:val="22"/>
        </w:rPr>
        <w:t xml:space="preserve">UdhaarClear Score dashboard (public-facing credit score)</w:t>
      </w:r>
    </w:p>
    <w:p>
      <w:pPr>
        <w:pStyle w:val="ListParagraph"/>
        <w:numPr>
          <w:ilvl w:val="0"/>
          <w:numId w:val="2"/>
        </w:numPr>
        <w:spacing w:after="40" w:before="40"/>
      </w:pPr>
      <w:r>
        <w:rPr>
          <w:rFonts w:ascii="Arial" w:cs="Arial" w:eastAsia="Arial" w:hAnsi="Arial"/>
          <w:color w:val="111827"/>
          <w:sz w:val="22"/>
          <w:szCs w:val="22"/>
        </w:rPr>
        <w:t xml:space="preserve">NBFC BNPL integration — buyer credit approval at payment page</w:t>
      </w:r>
    </w:p>
    <w:p>
      <w:pPr>
        <w:pStyle w:val="ListParagraph"/>
        <w:numPr>
          <w:ilvl w:val="0"/>
          <w:numId w:val="2"/>
        </w:numPr>
        <w:spacing w:after="40" w:before="40"/>
      </w:pPr>
      <w:r>
        <w:rPr>
          <w:rFonts w:ascii="Arial" w:cs="Arial" w:eastAsia="Arial" w:hAnsi="Arial"/>
          <w:color w:val="111827"/>
          <w:sz w:val="22"/>
          <w:szCs w:val="22"/>
        </w:rPr>
        <w:t xml:space="preserve">MSME Samadhaan link at Day 45 — government arbitration portal</w:t>
      </w:r>
    </w:p>
    <w:p>
      <w:pPr>
        <w:pStyle w:val="ListParagraph"/>
        <w:numPr>
          <w:ilvl w:val="0"/>
          <w:numId w:val="2"/>
        </w:numPr>
        <w:spacing w:after="40" w:before="40"/>
      </w:pPr>
      <w:r>
        <w:rPr>
          <w:rFonts w:ascii="Arial" w:cs="Arial" w:eastAsia="Arial" w:hAnsi="Arial"/>
          <w:color w:val="111827"/>
          <w:sz w:val="22"/>
          <w:szCs w:val="22"/>
        </w:rPr>
        <w:t xml:space="preserve">Supply chain netting — detect circular debts in your network</w:t>
      </w:r>
    </w:p>
    <w:p>
      <w:pPr>
        <w:pStyle w:val="ListParagraph"/>
        <w:numPr>
          <w:ilvl w:val="0"/>
          <w:numId w:val="2"/>
        </w:numPr>
        <w:spacing w:after="40" w:before="40"/>
      </w:pPr>
      <w:r>
        <w:rPr>
          <w:rFonts w:ascii="Arial" w:cs="Arial" w:eastAsia="Arial" w:hAnsi="Arial"/>
          <w:color w:val="111827"/>
          <w:sz w:val="22"/>
          <w:szCs w:val="22"/>
        </w:rPr>
        <w:t xml:space="preserve">iOS and Android app (currently web + WhatsApp only)</w:t>
      </w:r>
    </w:p>
    <w:p>
      <w:pPr>
        <w:pStyle w:val="ListParagraph"/>
        <w:numPr>
          <w:ilvl w:val="0"/>
          <w:numId w:val="2"/>
        </w:numPr>
        <w:spacing w:after="40" w:before="40"/>
      </w:pPr>
      <w:r>
        <w:rPr>
          <w:rFonts w:ascii="Arial" w:cs="Arial" w:eastAsia="Arial" w:hAnsi="Arial"/>
          <w:color w:val="111827"/>
          <w:sz w:val="22"/>
          <w:szCs w:val="22"/>
        </w:rPr>
        <w:t xml:space="preserve">API access for Enterprise customers (connect their ERP)</w:t>
      </w:r>
    </w:p>
    <w:p>
      <w:pPr>
        <w:pStyle w:val="ListParagraph"/>
        <w:numPr>
          <w:ilvl w:val="0"/>
          <w:numId w:val="2"/>
        </w:numPr>
        <w:spacing w:after="40" w:before="40"/>
      </w:pPr>
      <w:r>
        <w:rPr>
          <w:rFonts w:ascii="Arial" w:cs="Arial" w:eastAsia="Arial" w:hAnsi="Arial"/>
          <w:color w:val="111827"/>
          <w:sz w:val="22"/>
          <w:szCs w:val="22"/>
        </w:rPr>
        <w:t xml:space="preserve">Multi-branch support for businesses with multiple locations</w:t>
      </w:r>
    </w:p>
    <w:p>
      <w:r>
        <w:br w:type="page"/>
      </w:r>
    </w:p>
    <w:p>
      <w:pPr>
        <w:pStyle w:val="Heading1"/>
        <w:spacing w:after="180" w:before="360"/>
      </w:pPr>
      <w:r>
        <w:rPr>
          <w:rFonts w:ascii="Arial" w:cs="Arial" w:eastAsia="Arial" w:hAnsi="Arial"/>
          <w:b/>
          <w:bCs/>
          <w:color w:val="0A1628"/>
          <w:sz w:val="36"/>
          <w:szCs w:val="36"/>
        </w:rPr>
        <w:t xml:space="preserve">5. Competitive Analysis</w:t>
      </w:r>
    </w:p>
    <w:p>
      <w:pPr>
        <w:pStyle w:val="Heading2"/>
        <w:spacing w:after="120" w:before="280"/>
      </w:pPr>
      <w:r>
        <w:rPr>
          <w:rFonts w:ascii="Arial" w:cs="Arial" w:eastAsia="Arial" w:hAnsi="Arial"/>
          <w:b/>
          <w:bCs/>
          <w:color w:val="1A7C4F"/>
          <w:sz w:val="28"/>
          <w:szCs w:val="28"/>
        </w:rPr>
        <w:t xml:space="preserve">5.1 Competitive Landscape Overview</w:t>
      </w:r>
    </w:p>
    <w:p>
      <w:pPr>
        <w:spacing w:after="60" w:before="60"/>
      </w:pPr>
      <w:r>
        <w:rPr>
          <w:rFonts w:ascii="Arial" w:cs="Arial" w:eastAsia="Arial" w:hAnsi="Arial"/>
          <w:color w:val="111827"/>
          <w:sz w:val="22"/>
          <w:szCs w:val="22"/>
        </w:rPr>
        <w:t xml:space="preserve">No direct competitor builds the same product. All existing tools solve a related but fundamentally different problem. UdhaarClear occupies an unclaimed white space: automated B2B invoice recovery for Indian MSMEs.</w:t>
      </w:r>
    </w:p>
    <w:p>
      <w:pPr>
        <w:spacing w:after="0" w:before="0"/>
      </w:pPr>
      <w:r>
        <w:rPr>
          <w:rFonts w:ascii="Arial" w:cs="Arial" w:eastAsia="Arial" w:hAnsi="Arial"/>
          <w:sz w:val="22"/>
          <w:szCs w:val="22"/>
        </w:rPr>
        <w:t xml:space="preserve"> </w:t>
      </w:r>
    </w:p>
    <w:p>
      <w:pPr>
        <w:pStyle w:val="Heading2"/>
        <w:spacing w:after="120" w:before="280"/>
      </w:pPr>
      <w:r>
        <w:rPr>
          <w:rFonts w:ascii="Arial" w:cs="Arial" w:eastAsia="Arial" w:hAnsi="Arial"/>
          <w:b/>
          <w:bCs/>
          <w:color w:val="1A7C4F"/>
          <w:sz w:val="28"/>
          <w:szCs w:val="28"/>
        </w:rPr>
        <w:t xml:space="preserve">5.2 Head-to-Head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60"/>
        <w:gridCol w:w="1560"/>
        <w:gridCol w:w="1560"/>
        <w:gridCol w:w="1560"/>
        <w:gridCol w:w="1320"/>
      </w:tblGrid>
      <w:tr>
        <w:trPr>
          <w:tblHeader/>
        </w:trPr>
        <w:tc>
          <w:tcPr>
            <w:tcW w:type="dxa" w:w="1800"/>
            <w:tcBorders>
              <w:top w:val="single" w:color="D1D5DB" w:sz="1"/>
              <w:left w:val="single" w:color="D1D5DB" w:sz="1"/>
              <w:bottom w:val="single" w:color="D1D5DB" w:sz="1"/>
              <w:right w:val="single" w:color="D1D5DB" w:sz="1"/>
            </w:tcBorders>
            <w:shd w:fill="0A1628" w:val="clear"/>
            <w:tcMar>
              <w:top w:type="dxa" w:w="80"/>
              <w:left w:type="dxa" w:w="100"/>
              <w:bottom w:type="dxa" w:w="80"/>
              <w:right w:type="dxa" w:w="100"/>
            </w:tcMar>
          </w:tcPr>
          <w:p>
            <w:r>
              <w:rPr>
                <w:rFonts w:ascii="Arial" w:cs="Arial" w:eastAsia="Arial" w:hAnsi="Arial"/>
                <w:b/>
                <w:bCs/>
                <w:color w:val="FFFFFF"/>
                <w:sz w:val="18"/>
                <w:szCs w:val="18"/>
              </w:rPr>
              <w:t xml:space="preserve">Feature</w:t>
            </w:r>
          </w:p>
        </w:tc>
        <w:tc>
          <w:tcPr>
            <w:tcW w:type="dxa" w:w="1560"/>
            <w:tcBorders>
              <w:top w:val="single" w:color="D1D5DB" w:sz="1"/>
              <w:left w:val="single" w:color="D1D5DB" w:sz="1"/>
              <w:bottom w:val="single" w:color="D1D5DB" w:sz="1"/>
              <w:right w:val="single" w:color="D1D5DB" w:sz="1"/>
            </w:tcBorders>
            <w:shd w:fill="0A1628" w:val="clear"/>
            <w:tcMar>
              <w:top w:type="dxa" w:w="80"/>
              <w:left w:type="dxa" w:w="100"/>
              <w:bottom w:type="dxa" w:w="80"/>
              <w:right w:type="dxa" w:w="100"/>
            </w:tcMar>
          </w:tcPr>
          <w:p>
            <w:r>
              <w:rPr>
                <w:rFonts w:ascii="Arial" w:cs="Arial" w:eastAsia="Arial" w:hAnsi="Arial"/>
                <w:b/>
                <w:bCs/>
                <w:color w:val="FFFFFF"/>
                <w:sz w:val="18"/>
                <w:szCs w:val="18"/>
              </w:rPr>
              <w:t xml:space="preserve">UdhaarClear</w:t>
            </w:r>
          </w:p>
        </w:tc>
        <w:tc>
          <w:tcPr>
            <w:tcW w:type="dxa" w:w="1560"/>
            <w:tcBorders>
              <w:top w:val="single" w:color="D1D5DB" w:sz="1"/>
              <w:left w:val="single" w:color="D1D5DB" w:sz="1"/>
              <w:bottom w:val="single" w:color="D1D5DB" w:sz="1"/>
              <w:right w:val="single" w:color="D1D5DB" w:sz="1"/>
            </w:tcBorders>
            <w:shd w:fill="0A1628" w:val="clear"/>
            <w:tcMar>
              <w:top w:type="dxa" w:w="80"/>
              <w:left w:type="dxa" w:w="100"/>
              <w:bottom w:type="dxa" w:w="80"/>
              <w:right w:type="dxa" w:w="100"/>
            </w:tcMar>
          </w:tcPr>
          <w:p>
            <w:r>
              <w:rPr>
                <w:rFonts w:ascii="Arial" w:cs="Arial" w:eastAsia="Arial" w:hAnsi="Arial"/>
                <w:b/>
                <w:bCs/>
                <w:color w:val="FFFFFF"/>
                <w:sz w:val="18"/>
                <w:szCs w:val="18"/>
              </w:rPr>
              <w:t xml:space="preserve">Khatabook</w:t>
            </w:r>
          </w:p>
        </w:tc>
        <w:tc>
          <w:tcPr>
            <w:tcW w:type="dxa" w:w="1560"/>
            <w:tcBorders>
              <w:top w:val="single" w:color="D1D5DB" w:sz="1"/>
              <w:left w:val="single" w:color="D1D5DB" w:sz="1"/>
              <w:bottom w:val="single" w:color="D1D5DB" w:sz="1"/>
              <w:right w:val="single" w:color="D1D5DB" w:sz="1"/>
            </w:tcBorders>
            <w:shd w:fill="0A1628" w:val="clear"/>
            <w:tcMar>
              <w:top w:type="dxa" w:w="80"/>
              <w:left w:type="dxa" w:w="100"/>
              <w:bottom w:type="dxa" w:w="80"/>
              <w:right w:type="dxa" w:w="100"/>
            </w:tcMar>
          </w:tcPr>
          <w:p>
            <w:r>
              <w:rPr>
                <w:rFonts w:ascii="Arial" w:cs="Arial" w:eastAsia="Arial" w:hAnsi="Arial"/>
                <w:b/>
                <w:bCs/>
                <w:color w:val="FFFFFF"/>
                <w:sz w:val="18"/>
                <w:szCs w:val="18"/>
              </w:rPr>
              <w:t xml:space="preserve">OkCredit</w:t>
            </w:r>
          </w:p>
        </w:tc>
        <w:tc>
          <w:tcPr>
            <w:tcW w:type="dxa" w:w="1560"/>
            <w:tcBorders>
              <w:top w:val="single" w:color="D1D5DB" w:sz="1"/>
              <w:left w:val="single" w:color="D1D5DB" w:sz="1"/>
              <w:bottom w:val="single" w:color="D1D5DB" w:sz="1"/>
              <w:right w:val="single" w:color="D1D5DB" w:sz="1"/>
            </w:tcBorders>
            <w:shd w:fill="0A1628" w:val="clear"/>
            <w:tcMar>
              <w:top w:type="dxa" w:w="80"/>
              <w:left w:type="dxa" w:w="100"/>
              <w:bottom w:type="dxa" w:w="80"/>
              <w:right w:type="dxa" w:w="100"/>
            </w:tcMar>
          </w:tcPr>
          <w:p>
            <w:r>
              <w:rPr>
                <w:rFonts w:ascii="Arial" w:cs="Arial" w:eastAsia="Arial" w:hAnsi="Arial"/>
                <w:b/>
                <w:bCs/>
                <w:color w:val="FFFFFF"/>
                <w:sz w:val="18"/>
                <w:szCs w:val="18"/>
              </w:rPr>
              <w:t xml:space="preserve">Tally ERP</w:t>
            </w:r>
          </w:p>
        </w:tc>
        <w:tc>
          <w:tcPr>
            <w:tcW w:type="dxa" w:w="1320"/>
            <w:tcBorders>
              <w:top w:val="single" w:color="D1D5DB" w:sz="1"/>
              <w:left w:val="single" w:color="D1D5DB" w:sz="1"/>
              <w:bottom w:val="single" w:color="D1D5DB" w:sz="1"/>
              <w:right w:val="single" w:color="D1D5DB" w:sz="1"/>
            </w:tcBorders>
            <w:shd w:fill="0A1628" w:val="clear"/>
            <w:tcMar>
              <w:top w:type="dxa" w:w="80"/>
              <w:left w:type="dxa" w:w="100"/>
              <w:bottom w:type="dxa" w:w="80"/>
              <w:right w:type="dxa" w:w="100"/>
            </w:tcMar>
          </w:tcPr>
          <w:p>
            <w:r>
              <w:rPr>
                <w:rFonts w:ascii="Arial" w:cs="Arial" w:eastAsia="Arial" w:hAnsi="Arial"/>
                <w:b/>
                <w:bCs/>
                <w:color w:val="FFFFFF"/>
                <w:sz w:val="18"/>
                <w:szCs w:val="18"/>
              </w:rPr>
              <w:t xml:space="preserve">Collections Agency</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11827"/>
                <w:sz w:val="18"/>
                <w:szCs w:val="18"/>
              </w:rPr>
              <w:t xml:space="preserve">Records who owes money</w:t>
            </w:r>
          </w:p>
        </w:tc>
        <w:tc>
          <w:tcPr>
            <w:tcW w:type="dxa" w:w="156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b/>
                <w:bCs/>
                <w:color w:val="1A7C4F"/>
                <w:sz w:val="18"/>
                <w:szCs w:val="18"/>
              </w:rPr>
              <w:t xml:space="preserve">YES</w:t>
            </w:r>
          </w:p>
        </w:tc>
        <w:tc>
          <w:tcPr>
            <w:tcW w:type="dxa" w:w="156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b/>
                <w:bCs/>
                <w:color w:val="1A7C4F"/>
                <w:sz w:val="18"/>
                <w:szCs w:val="18"/>
              </w:rPr>
              <w:t xml:space="preserve">YES</w:t>
            </w:r>
          </w:p>
        </w:tc>
        <w:tc>
          <w:tcPr>
            <w:tcW w:type="dxa" w:w="156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b/>
                <w:bCs/>
                <w:color w:val="1A7C4F"/>
                <w:sz w:val="18"/>
                <w:szCs w:val="18"/>
              </w:rPr>
              <w:t xml:space="preserve">YES</w:t>
            </w:r>
          </w:p>
        </w:tc>
        <w:tc>
          <w:tcPr>
            <w:tcW w:type="dxa" w:w="156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b/>
                <w:bCs/>
                <w:color w:val="1A7C4F"/>
                <w:sz w:val="18"/>
                <w:szCs w:val="18"/>
              </w:rPr>
              <w:t xml:space="preserve">YES</w:t>
            </w:r>
          </w:p>
        </w:tc>
        <w:tc>
          <w:tcPr>
            <w:tcW w:type="dxa" w:w="132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b/>
                <w:bCs/>
                <w:color w:val="1A7C4F"/>
                <w:sz w:val="18"/>
                <w:szCs w:val="18"/>
              </w:rPr>
              <w:t xml:space="preserve">YES</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11827"/>
                <w:sz w:val="18"/>
                <w:szCs w:val="18"/>
              </w:rPr>
              <w:t xml:space="preserve">Automated WhatsApp reminders</w:t>
            </w:r>
          </w:p>
        </w:tc>
        <w:tc>
          <w:tcPr>
            <w:tcW w:type="dxa" w:w="156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b/>
                <w:bCs/>
                <w:color w:val="1A7C4F"/>
                <w:sz w:val="18"/>
                <w:szCs w:val="18"/>
              </w:rPr>
              <w:t xml:space="preserve">YES</w:t>
            </w:r>
          </w:p>
        </w:tc>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18"/>
                <w:szCs w:val="18"/>
              </w:rPr>
              <w:t xml:space="preserve">One-time SMS</w:t>
            </w:r>
          </w:p>
        </w:tc>
        <w:tc>
          <w:tcPr>
            <w:tcW w:type="dxa" w:w="1560"/>
            <w:tcBorders>
              <w:top w:val="single" w:color="D1D5DB" w:sz="1"/>
              <w:left w:val="single" w:color="D1D5DB" w:sz="1"/>
              <w:bottom w:val="single" w:color="D1D5DB" w:sz="1"/>
              <w:right w:val="single" w:color="D1D5DB" w:sz="1"/>
            </w:tcBorders>
            <w:shd w:fill="FEF2F2" w:val="clear"/>
            <w:tcMar>
              <w:top w:type="dxa" w:w="60"/>
              <w:left w:type="dxa" w:w="100"/>
              <w:bottom w:type="dxa" w:w="60"/>
              <w:right w:type="dxa" w:w="100"/>
            </w:tcMar>
          </w:tcPr>
          <w:p>
            <w:r>
              <w:rPr>
                <w:rFonts w:ascii="Arial" w:cs="Arial" w:eastAsia="Arial" w:hAnsi="Arial"/>
                <w:b w:val="false"/>
                <w:bCs w:val="false"/>
                <w:color w:val="B91C1C"/>
                <w:sz w:val="18"/>
                <w:szCs w:val="18"/>
              </w:rPr>
              <w:t xml:space="preserve">NO</w:t>
            </w:r>
          </w:p>
        </w:tc>
        <w:tc>
          <w:tcPr>
            <w:tcW w:type="dxa" w:w="1560"/>
            <w:tcBorders>
              <w:top w:val="single" w:color="D1D5DB" w:sz="1"/>
              <w:left w:val="single" w:color="D1D5DB" w:sz="1"/>
              <w:bottom w:val="single" w:color="D1D5DB" w:sz="1"/>
              <w:right w:val="single" w:color="D1D5DB" w:sz="1"/>
            </w:tcBorders>
            <w:shd w:fill="FEF2F2" w:val="clear"/>
            <w:tcMar>
              <w:top w:type="dxa" w:w="60"/>
              <w:left w:type="dxa" w:w="100"/>
              <w:bottom w:type="dxa" w:w="60"/>
              <w:right w:type="dxa" w:w="100"/>
            </w:tcMar>
          </w:tcPr>
          <w:p>
            <w:r>
              <w:rPr>
                <w:rFonts w:ascii="Arial" w:cs="Arial" w:eastAsia="Arial" w:hAnsi="Arial"/>
                <w:b w:val="false"/>
                <w:bCs w:val="false"/>
                <w:color w:val="B91C1C"/>
                <w:sz w:val="18"/>
                <w:szCs w:val="18"/>
              </w:rPr>
              <w:t xml:space="preserve">NO</w:t>
            </w:r>
          </w:p>
        </w:tc>
        <w:tc>
          <w:tcPr>
            <w:tcW w:type="dxa" w:w="1320"/>
            <w:tcBorders>
              <w:top w:val="single" w:color="D1D5DB" w:sz="1"/>
              <w:left w:val="single" w:color="D1D5DB" w:sz="1"/>
              <w:bottom w:val="single" w:color="D1D5DB" w:sz="1"/>
              <w:right w:val="single" w:color="D1D5DB" w:sz="1"/>
            </w:tcBorders>
            <w:shd w:fill="FEF2F2" w:val="clear"/>
            <w:tcMar>
              <w:top w:type="dxa" w:w="60"/>
              <w:left w:type="dxa" w:w="100"/>
              <w:bottom w:type="dxa" w:w="60"/>
              <w:right w:type="dxa" w:w="100"/>
            </w:tcMar>
          </w:tcPr>
          <w:p>
            <w:r>
              <w:rPr>
                <w:rFonts w:ascii="Arial" w:cs="Arial" w:eastAsia="Arial" w:hAnsi="Arial"/>
                <w:b w:val="false"/>
                <w:bCs w:val="false"/>
                <w:color w:val="B91C1C"/>
                <w:sz w:val="18"/>
                <w:szCs w:val="18"/>
              </w:rPr>
              <w:t xml:space="preserve">NO</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11827"/>
                <w:sz w:val="18"/>
                <w:szCs w:val="18"/>
              </w:rPr>
              <w:t xml:space="preserve">Tonal escalation (5 phases)</w:t>
            </w:r>
          </w:p>
        </w:tc>
        <w:tc>
          <w:tcPr>
            <w:tcW w:type="dxa" w:w="156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b/>
                <w:bCs/>
                <w:color w:val="1A7C4F"/>
                <w:sz w:val="18"/>
                <w:szCs w:val="18"/>
              </w:rPr>
              <w:t xml:space="preserve">YES</w:t>
            </w:r>
          </w:p>
        </w:tc>
        <w:tc>
          <w:tcPr>
            <w:tcW w:type="dxa" w:w="1560"/>
            <w:tcBorders>
              <w:top w:val="single" w:color="D1D5DB" w:sz="1"/>
              <w:left w:val="single" w:color="D1D5DB" w:sz="1"/>
              <w:bottom w:val="single" w:color="D1D5DB" w:sz="1"/>
              <w:right w:val="single" w:color="D1D5DB" w:sz="1"/>
            </w:tcBorders>
            <w:shd w:fill="FEF2F2" w:val="clear"/>
            <w:tcMar>
              <w:top w:type="dxa" w:w="60"/>
              <w:left w:type="dxa" w:w="100"/>
              <w:bottom w:type="dxa" w:w="60"/>
              <w:right w:type="dxa" w:w="100"/>
            </w:tcMar>
          </w:tcPr>
          <w:p>
            <w:r>
              <w:rPr>
                <w:rFonts w:ascii="Arial" w:cs="Arial" w:eastAsia="Arial" w:hAnsi="Arial"/>
                <w:b w:val="false"/>
                <w:bCs w:val="false"/>
                <w:color w:val="B91C1C"/>
                <w:sz w:val="18"/>
                <w:szCs w:val="18"/>
              </w:rPr>
              <w:t xml:space="preserve">NO</w:t>
            </w:r>
          </w:p>
        </w:tc>
        <w:tc>
          <w:tcPr>
            <w:tcW w:type="dxa" w:w="1560"/>
            <w:tcBorders>
              <w:top w:val="single" w:color="D1D5DB" w:sz="1"/>
              <w:left w:val="single" w:color="D1D5DB" w:sz="1"/>
              <w:bottom w:val="single" w:color="D1D5DB" w:sz="1"/>
              <w:right w:val="single" w:color="D1D5DB" w:sz="1"/>
            </w:tcBorders>
            <w:shd w:fill="FEF2F2" w:val="clear"/>
            <w:tcMar>
              <w:top w:type="dxa" w:w="60"/>
              <w:left w:type="dxa" w:w="100"/>
              <w:bottom w:type="dxa" w:w="60"/>
              <w:right w:type="dxa" w:w="100"/>
            </w:tcMar>
          </w:tcPr>
          <w:p>
            <w:r>
              <w:rPr>
                <w:rFonts w:ascii="Arial" w:cs="Arial" w:eastAsia="Arial" w:hAnsi="Arial"/>
                <w:b w:val="false"/>
                <w:bCs w:val="false"/>
                <w:color w:val="B91C1C"/>
                <w:sz w:val="18"/>
                <w:szCs w:val="18"/>
              </w:rPr>
              <w:t xml:space="preserve">NO</w:t>
            </w:r>
          </w:p>
        </w:tc>
        <w:tc>
          <w:tcPr>
            <w:tcW w:type="dxa" w:w="1560"/>
            <w:tcBorders>
              <w:top w:val="single" w:color="D1D5DB" w:sz="1"/>
              <w:left w:val="single" w:color="D1D5DB" w:sz="1"/>
              <w:bottom w:val="single" w:color="D1D5DB" w:sz="1"/>
              <w:right w:val="single" w:color="D1D5DB" w:sz="1"/>
            </w:tcBorders>
            <w:shd w:fill="FEF2F2" w:val="clear"/>
            <w:tcMar>
              <w:top w:type="dxa" w:w="60"/>
              <w:left w:type="dxa" w:w="100"/>
              <w:bottom w:type="dxa" w:w="60"/>
              <w:right w:type="dxa" w:w="100"/>
            </w:tcMar>
          </w:tcPr>
          <w:p>
            <w:r>
              <w:rPr>
                <w:rFonts w:ascii="Arial" w:cs="Arial" w:eastAsia="Arial" w:hAnsi="Arial"/>
                <w:b w:val="false"/>
                <w:bCs w:val="false"/>
                <w:color w:val="B91C1C"/>
                <w:sz w:val="18"/>
                <w:szCs w:val="18"/>
              </w:rPr>
              <w:t xml:space="preserve">NO</w:t>
            </w:r>
          </w:p>
        </w:tc>
        <w:tc>
          <w:tcPr>
            <w:tcW w:type="dxa" w:w="1320"/>
            <w:tcBorders>
              <w:top w:val="single" w:color="D1D5DB" w:sz="1"/>
              <w:left w:val="single" w:color="D1D5DB" w:sz="1"/>
              <w:bottom w:val="single" w:color="D1D5DB" w:sz="1"/>
              <w:right w:val="single" w:color="D1D5DB" w:sz="1"/>
            </w:tcBorders>
            <w:shd w:fill="FEF2F2" w:val="clear"/>
            <w:tcMar>
              <w:top w:type="dxa" w:w="60"/>
              <w:left w:type="dxa" w:w="100"/>
              <w:bottom w:type="dxa" w:w="60"/>
              <w:right w:type="dxa" w:w="100"/>
            </w:tcMar>
          </w:tcPr>
          <w:p>
            <w:r>
              <w:rPr>
                <w:rFonts w:ascii="Arial" w:cs="Arial" w:eastAsia="Arial" w:hAnsi="Arial"/>
                <w:b w:val="false"/>
                <w:bCs w:val="false"/>
                <w:color w:val="B91C1C"/>
                <w:sz w:val="18"/>
                <w:szCs w:val="18"/>
              </w:rPr>
              <w:t xml:space="preserve">NO</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11827"/>
                <w:sz w:val="18"/>
                <w:szCs w:val="18"/>
              </w:rPr>
              <w:t xml:space="preserve">Buyer-facing payment page</w:t>
            </w:r>
          </w:p>
        </w:tc>
        <w:tc>
          <w:tcPr>
            <w:tcW w:type="dxa" w:w="156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b/>
                <w:bCs/>
                <w:color w:val="1A7C4F"/>
                <w:sz w:val="18"/>
                <w:szCs w:val="18"/>
              </w:rPr>
              <w:t xml:space="preserve">YES</w:t>
            </w:r>
          </w:p>
        </w:tc>
        <w:tc>
          <w:tcPr>
            <w:tcW w:type="dxa" w:w="1560"/>
            <w:tcBorders>
              <w:top w:val="single" w:color="D1D5DB" w:sz="1"/>
              <w:left w:val="single" w:color="D1D5DB" w:sz="1"/>
              <w:bottom w:val="single" w:color="D1D5DB" w:sz="1"/>
              <w:right w:val="single" w:color="D1D5DB" w:sz="1"/>
            </w:tcBorders>
            <w:shd w:fill="FEF2F2" w:val="clear"/>
            <w:tcMar>
              <w:top w:type="dxa" w:w="60"/>
              <w:left w:type="dxa" w:w="100"/>
              <w:bottom w:type="dxa" w:w="60"/>
              <w:right w:type="dxa" w:w="100"/>
            </w:tcMar>
          </w:tcPr>
          <w:p>
            <w:r>
              <w:rPr>
                <w:rFonts w:ascii="Arial" w:cs="Arial" w:eastAsia="Arial" w:hAnsi="Arial"/>
                <w:b w:val="false"/>
                <w:bCs w:val="false"/>
                <w:color w:val="B91C1C"/>
                <w:sz w:val="18"/>
                <w:szCs w:val="18"/>
              </w:rPr>
              <w:t xml:space="preserve">NO</w:t>
            </w:r>
          </w:p>
        </w:tc>
        <w:tc>
          <w:tcPr>
            <w:tcW w:type="dxa" w:w="1560"/>
            <w:tcBorders>
              <w:top w:val="single" w:color="D1D5DB" w:sz="1"/>
              <w:left w:val="single" w:color="D1D5DB" w:sz="1"/>
              <w:bottom w:val="single" w:color="D1D5DB" w:sz="1"/>
              <w:right w:val="single" w:color="D1D5DB" w:sz="1"/>
            </w:tcBorders>
            <w:shd w:fill="FEF2F2" w:val="clear"/>
            <w:tcMar>
              <w:top w:type="dxa" w:w="60"/>
              <w:left w:type="dxa" w:w="100"/>
              <w:bottom w:type="dxa" w:w="60"/>
              <w:right w:type="dxa" w:w="100"/>
            </w:tcMar>
          </w:tcPr>
          <w:p>
            <w:r>
              <w:rPr>
                <w:rFonts w:ascii="Arial" w:cs="Arial" w:eastAsia="Arial" w:hAnsi="Arial"/>
                <w:b w:val="false"/>
                <w:bCs w:val="false"/>
                <w:color w:val="B91C1C"/>
                <w:sz w:val="18"/>
                <w:szCs w:val="18"/>
              </w:rPr>
              <w:t xml:space="preserve">NO</w:t>
            </w:r>
          </w:p>
        </w:tc>
        <w:tc>
          <w:tcPr>
            <w:tcW w:type="dxa" w:w="1560"/>
            <w:tcBorders>
              <w:top w:val="single" w:color="D1D5DB" w:sz="1"/>
              <w:left w:val="single" w:color="D1D5DB" w:sz="1"/>
              <w:bottom w:val="single" w:color="D1D5DB" w:sz="1"/>
              <w:right w:val="single" w:color="D1D5DB" w:sz="1"/>
            </w:tcBorders>
            <w:shd w:fill="FEF2F2" w:val="clear"/>
            <w:tcMar>
              <w:top w:type="dxa" w:w="60"/>
              <w:left w:type="dxa" w:w="100"/>
              <w:bottom w:type="dxa" w:w="60"/>
              <w:right w:type="dxa" w:w="100"/>
            </w:tcMar>
          </w:tcPr>
          <w:p>
            <w:r>
              <w:rPr>
                <w:rFonts w:ascii="Arial" w:cs="Arial" w:eastAsia="Arial" w:hAnsi="Arial"/>
                <w:b w:val="false"/>
                <w:bCs w:val="false"/>
                <w:color w:val="B91C1C"/>
                <w:sz w:val="18"/>
                <w:szCs w:val="18"/>
              </w:rPr>
              <w:t xml:space="preserve">NO</w:t>
            </w:r>
          </w:p>
        </w:tc>
        <w:tc>
          <w:tcPr>
            <w:tcW w:type="dxa" w:w="1320"/>
            <w:tcBorders>
              <w:top w:val="single" w:color="D1D5DB" w:sz="1"/>
              <w:left w:val="single" w:color="D1D5DB" w:sz="1"/>
              <w:bottom w:val="single" w:color="D1D5DB" w:sz="1"/>
              <w:right w:val="single" w:color="D1D5DB" w:sz="1"/>
            </w:tcBorders>
            <w:shd w:fill="FEF2F2" w:val="clear"/>
            <w:tcMar>
              <w:top w:type="dxa" w:w="60"/>
              <w:left w:type="dxa" w:w="100"/>
              <w:bottom w:type="dxa" w:w="60"/>
              <w:right w:type="dxa" w:w="100"/>
            </w:tcMar>
          </w:tcPr>
          <w:p>
            <w:r>
              <w:rPr>
                <w:rFonts w:ascii="Arial" w:cs="Arial" w:eastAsia="Arial" w:hAnsi="Arial"/>
                <w:b w:val="false"/>
                <w:bCs w:val="false"/>
                <w:color w:val="B91C1C"/>
                <w:sz w:val="18"/>
                <w:szCs w:val="18"/>
              </w:rPr>
              <w:t xml:space="preserve">NO</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11827"/>
                <w:sz w:val="18"/>
                <w:szCs w:val="18"/>
              </w:rPr>
              <w:t xml:space="preserve">Human gate before legal</w:t>
            </w:r>
          </w:p>
        </w:tc>
        <w:tc>
          <w:tcPr>
            <w:tcW w:type="dxa" w:w="156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b/>
                <w:bCs/>
                <w:color w:val="1A7C4F"/>
                <w:sz w:val="18"/>
                <w:szCs w:val="18"/>
              </w:rPr>
              <w:t xml:space="preserve">YES</w:t>
            </w:r>
          </w:p>
        </w:tc>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18"/>
                <w:szCs w:val="18"/>
              </w:rPr>
              <w:t xml:space="preserve">N/A</w:t>
            </w:r>
          </w:p>
        </w:tc>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18"/>
                <w:szCs w:val="18"/>
              </w:rPr>
              <w:t xml:space="preserve">N/A</w:t>
            </w:r>
          </w:p>
        </w:tc>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18"/>
                <w:szCs w:val="18"/>
              </w:rPr>
              <w:t xml:space="preserve">N/A</w:t>
            </w:r>
          </w:p>
        </w:tc>
        <w:tc>
          <w:tcPr>
            <w:tcW w:type="dxa" w:w="1320"/>
            <w:tcBorders>
              <w:top w:val="single" w:color="D1D5DB" w:sz="1"/>
              <w:left w:val="single" w:color="D1D5DB" w:sz="1"/>
              <w:bottom w:val="single" w:color="D1D5DB" w:sz="1"/>
              <w:right w:val="single" w:color="D1D5DB" w:sz="1"/>
            </w:tcBorders>
            <w:shd w:fill="FEF2F2" w:val="clear"/>
            <w:tcMar>
              <w:top w:type="dxa" w:w="60"/>
              <w:left w:type="dxa" w:w="100"/>
              <w:bottom w:type="dxa" w:w="60"/>
              <w:right w:type="dxa" w:w="100"/>
            </w:tcMar>
          </w:tcPr>
          <w:p>
            <w:r>
              <w:rPr>
                <w:rFonts w:ascii="Arial" w:cs="Arial" w:eastAsia="Arial" w:hAnsi="Arial"/>
                <w:b w:val="false"/>
                <w:bCs w:val="false"/>
                <w:color w:val="B91C1C"/>
                <w:sz w:val="18"/>
                <w:szCs w:val="18"/>
              </w:rPr>
              <w:t xml:space="preserve">NO (auto)</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11827"/>
                <w:sz w:val="18"/>
                <w:szCs w:val="18"/>
              </w:rPr>
              <w:t xml:space="preserve">CA partner program</w:t>
            </w:r>
          </w:p>
        </w:tc>
        <w:tc>
          <w:tcPr>
            <w:tcW w:type="dxa" w:w="156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b/>
                <w:bCs/>
                <w:color w:val="1A7C4F"/>
                <w:sz w:val="18"/>
                <w:szCs w:val="18"/>
              </w:rPr>
              <w:t xml:space="preserve">YES</w:t>
            </w:r>
          </w:p>
        </w:tc>
        <w:tc>
          <w:tcPr>
            <w:tcW w:type="dxa" w:w="1560"/>
            <w:tcBorders>
              <w:top w:val="single" w:color="D1D5DB" w:sz="1"/>
              <w:left w:val="single" w:color="D1D5DB" w:sz="1"/>
              <w:bottom w:val="single" w:color="D1D5DB" w:sz="1"/>
              <w:right w:val="single" w:color="D1D5DB" w:sz="1"/>
            </w:tcBorders>
            <w:shd w:fill="FEF2F2" w:val="clear"/>
            <w:tcMar>
              <w:top w:type="dxa" w:w="60"/>
              <w:left w:type="dxa" w:w="100"/>
              <w:bottom w:type="dxa" w:w="60"/>
              <w:right w:type="dxa" w:w="100"/>
            </w:tcMar>
          </w:tcPr>
          <w:p>
            <w:r>
              <w:rPr>
                <w:rFonts w:ascii="Arial" w:cs="Arial" w:eastAsia="Arial" w:hAnsi="Arial"/>
                <w:b w:val="false"/>
                <w:bCs w:val="false"/>
                <w:color w:val="B91C1C"/>
                <w:sz w:val="18"/>
                <w:szCs w:val="18"/>
              </w:rPr>
              <w:t xml:space="preserve">NO</w:t>
            </w:r>
          </w:p>
        </w:tc>
        <w:tc>
          <w:tcPr>
            <w:tcW w:type="dxa" w:w="1560"/>
            <w:tcBorders>
              <w:top w:val="single" w:color="D1D5DB" w:sz="1"/>
              <w:left w:val="single" w:color="D1D5DB" w:sz="1"/>
              <w:bottom w:val="single" w:color="D1D5DB" w:sz="1"/>
              <w:right w:val="single" w:color="D1D5DB" w:sz="1"/>
            </w:tcBorders>
            <w:shd w:fill="FEF2F2" w:val="clear"/>
            <w:tcMar>
              <w:top w:type="dxa" w:w="60"/>
              <w:left w:type="dxa" w:w="100"/>
              <w:bottom w:type="dxa" w:w="60"/>
              <w:right w:type="dxa" w:w="100"/>
            </w:tcMar>
          </w:tcPr>
          <w:p>
            <w:r>
              <w:rPr>
                <w:rFonts w:ascii="Arial" w:cs="Arial" w:eastAsia="Arial" w:hAnsi="Arial"/>
                <w:b w:val="false"/>
                <w:bCs w:val="false"/>
                <w:color w:val="B91C1C"/>
                <w:sz w:val="18"/>
                <w:szCs w:val="18"/>
              </w:rPr>
              <w:t xml:space="preserve">NO</w:t>
            </w:r>
          </w:p>
        </w:tc>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18"/>
                <w:szCs w:val="18"/>
              </w:rPr>
              <w:t xml:space="preserve">YES (reseller)</w:t>
            </w:r>
          </w:p>
        </w:tc>
        <w:tc>
          <w:tcPr>
            <w:tcW w:type="dxa" w:w="1320"/>
            <w:tcBorders>
              <w:top w:val="single" w:color="D1D5DB" w:sz="1"/>
              <w:left w:val="single" w:color="D1D5DB" w:sz="1"/>
              <w:bottom w:val="single" w:color="D1D5DB" w:sz="1"/>
              <w:right w:val="single" w:color="D1D5DB" w:sz="1"/>
            </w:tcBorders>
            <w:shd w:fill="FEF2F2" w:val="clear"/>
            <w:tcMar>
              <w:top w:type="dxa" w:w="60"/>
              <w:left w:type="dxa" w:w="100"/>
              <w:bottom w:type="dxa" w:w="60"/>
              <w:right w:type="dxa" w:w="100"/>
            </w:tcMar>
          </w:tcPr>
          <w:p>
            <w:r>
              <w:rPr>
                <w:rFonts w:ascii="Arial" w:cs="Arial" w:eastAsia="Arial" w:hAnsi="Arial"/>
                <w:b w:val="false"/>
                <w:bCs w:val="false"/>
                <w:color w:val="B91C1C"/>
                <w:sz w:val="18"/>
                <w:szCs w:val="18"/>
              </w:rPr>
              <w:t xml:space="preserve">NO</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11827"/>
                <w:sz w:val="18"/>
                <w:szCs w:val="18"/>
              </w:rPr>
              <w:t xml:space="preserve">Recovery analytics</w:t>
            </w:r>
          </w:p>
        </w:tc>
        <w:tc>
          <w:tcPr>
            <w:tcW w:type="dxa" w:w="156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b/>
                <w:bCs/>
                <w:color w:val="1A7C4F"/>
                <w:sz w:val="18"/>
                <w:szCs w:val="18"/>
              </w:rPr>
              <w:t xml:space="preserve">YES</w:t>
            </w:r>
          </w:p>
        </w:tc>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18"/>
                <w:szCs w:val="18"/>
              </w:rPr>
              <w:t xml:space="preserve">Basic</w:t>
            </w:r>
          </w:p>
        </w:tc>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18"/>
                <w:szCs w:val="18"/>
              </w:rPr>
              <w:t xml:space="preserve">Basic</w:t>
            </w:r>
          </w:p>
        </w:tc>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18"/>
                <w:szCs w:val="18"/>
              </w:rPr>
              <w:t xml:space="preserve">Basic</w:t>
            </w:r>
          </w:p>
        </w:tc>
        <w:tc>
          <w:tcPr>
            <w:tcW w:type="dxa" w:w="1320"/>
            <w:tcBorders>
              <w:top w:val="single" w:color="D1D5DB" w:sz="1"/>
              <w:left w:val="single" w:color="D1D5DB" w:sz="1"/>
              <w:bottom w:val="single" w:color="D1D5DB" w:sz="1"/>
              <w:right w:val="single" w:color="D1D5DB" w:sz="1"/>
            </w:tcBorders>
            <w:shd w:fill="FEF2F2" w:val="clear"/>
            <w:tcMar>
              <w:top w:type="dxa" w:w="60"/>
              <w:left w:type="dxa" w:w="100"/>
              <w:bottom w:type="dxa" w:w="60"/>
              <w:right w:type="dxa" w:w="100"/>
            </w:tcMar>
          </w:tcPr>
          <w:p>
            <w:r>
              <w:rPr>
                <w:rFonts w:ascii="Arial" w:cs="Arial" w:eastAsia="Arial" w:hAnsi="Arial"/>
                <w:b w:val="false"/>
                <w:bCs w:val="false"/>
                <w:color w:val="B91C1C"/>
                <w:sz w:val="18"/>
                <w:szCs w:val="18"/>
              </w:rPr>
              <w:t xml:space="preserve">NO</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11827"/>
                <w:sz w:val="18"/>
                <w:szCs w:val="18"/>
              </w:rPr>
              <w:t xml:space="preserve">UPI/Card payment link</w:t>
            </w:r>
          </w:p>
        </w:tc>
        <w:tc>
          <w:tcPr>
            <w:tcW w:type="dxa" w:w="156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b/>
                <w:bCs/>
                <w:color w:val="1A7C4F"/>
                <w:sz w:val="18"/>
                <w:szCs w:val="18"/>
              </w:rPr>
              <w:t xml:space="preserve">YES</w:t>
            </w:r>
          </w:p>
        </w:tc>
        <w:tc>
          <w:tcPr>
            <w:tcW w:type="dxa" w:w="1560"/>
            <w:tcBorders>
              <w:top w:val="single" w:color="D1D5DB" w:sz="1"/>
              <w:left w:val="single" w:color="D1D5DB" w:sz="1"/>
              <w:bottom w:val="single" w:color="D1D5DB" w:sz="1"/>
              <w:right w:val="single" w:color="D1D5DB" w:sz="1"/>
            </w:tcBorders>
            <w:shd w:fill="FEF2F2" w:val="clear"/>
            <w:tcMar>
              <w:top w:type="dxa" w:w="60"/>
              <w:left w:type="dxa" w:w="100"/>
              <w:bottom w:type="dxa" w:w="60"/>
              <w:right w:type="dxa" w:w="100"/>
            </w:tcMar>
          </w:tcPr>
          <w:p>
            <w:r>
              <w:rPr>
                <w:rFonts w:ascii="Arial" w:cs="Arial" w:eastAsia="Arial" w:hAnsi="Arial"/>
                <w:b w:val="false"/>
                <w:bCs w:val="false"/>
                <w:color w:val="B91C1C"/>
                <w:sz w:val="18"/>
                <w:szCs w:val="18"/>
              </w:rPr>
              <w:t xml:space="preserve">NO</w:t>
            </w:r>
          </w:p>
        </w:tc>
        <w:tc>
          <w:tcPr>
            <w:tcW w:type="dxa" w:w="1560"/>
            <w:tcBorders>
              <w:top w:val="single" w:color="D1D5DB" w:sz="1"/>
              <w:left w:val="single" w:color="D1D5DB" w:sz="1"/>
              <w:bottom w:val="single" w:color="D1D5DB" w:sz="1"/>
              <w:right w:val="single" w:color="D1D5DB" w:sz="1"/>
            </w:tcBorders>
            <w:shd w:fill="FEF2F2" w:val="clear"/>
            <w:tcMar>
              <w:top w:type="dxa" w:w="60"/>
              <w:left w:type="dxa" w:w="100"/>
              <w:bottom w:type="dxa" w:w="60"/>
              <w:right w:type="dxa" w:w="100"/>
            </w:tcMar>
          </w:tcPr>
          <w:p>
            <w:r>
              <w:rPr>
                <w:rFonts w:ascii="Arial" w:cs="Arial" w:eastAsia="Arial" w:hAnsi="Arial"/>
                <w:b w:val="false"/>
                <w:bCs w:val="false"/>
                <w:color w:val="B91C1C"/>
                <w:sz w:val="18"/>
                <w:szCs w:val="18"/>
              </w:rPr>
              <w:t xml:space="preserve">NO</w:t>
            </w:r>
          </w:p>
        </w:tc>
        <w:tc>
          <w:tcPr>
            <w:tcW w:type="dxa" w:w="1560"/>
            <w:tcBorders>
              <w:top w:val="single" w:color="D1D5DB" w:sz="1"/>
              <w:left w:val="single" w:color="D1D5DB" w:sz="1"/>
              <w:bottom w:val="single" w:color="D1D5DB" w:sz="1"/>
              <w:right w:val="single" w:color="D1D5DB" w:sz="1"/>
            </w:tcBorders>
            <w:shd w:fill="FEF2F2" w:val="clear"/>
            <w:tcMar>
              <w:top w:type="dxa" w:w="60"/>
              <w:left w:type="dxa" w:w="100"/>
              <w:bottom w:type="dxa" w:w="60"/>
              <w:right w:type="dxa" w:w="100"/>
            </w:tcMar>
          </w:tcPr>
          <w:p>
            <w:r>
              <w:rPr>
                <w:rFonts w:ascii="Arial" w:cs="Arial" w:eastAsia="Arial" w:hAnsi="Arial"/>
                <w:b w:val="false"/>
                <w:bCs w:val="false"/>
                <w:color w:val="B91C1C"/>
                <w:sz w:val="18"/>
                <w:szCs w:val="18"/>
              </w:rPr>
              <w:t xml:space="preserve">NO</w:t>
            </w:r>
          </w:p>
        </w:tc>
        <w:tc>
          <w:tcPr>
            <w:tcW w:type="dxa" w:w="1320"/>
            <w:tcBorders>
              <w:top w:val="single" w:color="D1D5DB" w:sz="1"/>
              <w:left w:val="single" w:color="D1D5DB" w:sz="1"/>
              <w:bottom w:val="single" w:color="D1D5DB" w:sz="1"/>
              <w:right w:val="single" w:color="D1D5DB" w:sz="1"/>
            </w:tcBorders>
            <w:shd w:fill="FEF2F2" w:val="clear"/>
            <w:tcMar>
              <w:top w:type="dxa" w:w="60"/>
              <w:left w:type="dxa" w:w="100"/>
              <w:bottom w:type="dxa" w:w="60"/>
              <w:right w:type="dxa" w:w="100"/>
            </w:tcMar>
          </w:tcPr>
          <w:p>
            <w:r>
              <w:rPr>
                <w:rFonts w:ascii="Arial" w:cs="Arial" w:eastAsia="Arial" w:hAnsi="Arial"/>
                <w:b w:val="false"/>
                <w:bCs w:val="false"/>
                <w:color w:val="B91C1C"/>
                <w:sz w:val="18"/>
                <w:szCs w:val="18"/>
              </w:rPr>
              <w:t xml:space="preserve">NO</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11827"/>
                <w:sz w:val="18"/>
                <w:szCs w:val="18"/>
              </w:rPr>
              <w:t xml:space="preserve">B2B credit score</w:t>
            </w:r>
          </w:p>
        </w:tc>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18"/>
                <w:szCs w:val="18"/>
              </w:rPr>
              <w:t xml:space="preserve">YES (planned)</w:t>
            </w:r>
          </w:p>
        </w:tc>
        <w:tc>
          <w:tcPr>
            <w:tcW w:type="dxa" w:w="1560"/>
            <w:tcBorders>
              <w:top w:val="single" w:color="D1D5DB" w:sz="1"/>
              <w:left w:val="single" w:color="D1D5DB" w:sz="1"/>
              <w:bottom w:val="single" w:color="D1D5DB" w:sz="1"/>
              <w:right w:val="single" w:color="D1D5DB" w:sz="1"/>
            </w:tcBorders>
            <w:shd w:fill="FEF2F2" w:val="clear"/>
            <w:tcMar>
              <w:top w:type="dxa" w:w="60"/>
              <w:left w:type="dxa" w:w="100"/>
              <w:bottom w:type="dxa" w:w="60"/>
              <w:right w:type="dxa" w:w="100"/>
            </w:tcMar>
          </w:tcPr>
          <w:p>
            <w:r>
              <w:rPr>
                <w:rFonts w:ascii="Arial" w:cs="Arial" w:eastAsia="Arial" w:hAnsi="Arial"/>
                <w:b w:val="false"/>
                <w:bCs w:val="false"/>
                <w:color w:val="B91C1C"/>
                <w:sz w:val="18"/>
                <w:szCs w:val="18"/>
              </w:rPr>
              <w:t xml:space="preserve">NO</w:t>
            </w:r>
          </w:p>
        </w:tc>
        <w:tc>
          <w:tcPr>
            <w:tcW w:type="dxa" w:w="1560"/>
            <w:tcBorders>
              <w:top w:val="single" w:color="D1D5DB" w:sz="1"/>
              <w:left w:val="single" w:color="D1D5DB" w:sz="1"/>
              <w:bottom w:val="single" w:color="D1D5DB" w:sz="1"/>
              <w:right w:val="single" w:color="D1D5DB" w:sz="1"/>
            </w:tcBorders>
            <w:shd w:fill="FEF2F2" w:val="clear"/>
            <w:tcMar>
              <w:top w:type="dxa" w:w="60"/>
              <w:left w:type="dxa" w:w="100"/>
              <w:bottom w:type="dxa" w:w="60"/>
              <w:right w:type="dxa" w:w="100"/>
            </w:tcMar>
          </w:tcPr>
          <w:p>
            <w:r>
              <w:rPr>
                <w:rFonts w:ascii="Arial" w:cs="Arial" w:eastAsia="Arial" w:hAnsi="Arial"/>
                <w:b w:val="false"/>
                <w:bCs w:val="false"/>
                <w:color w:val="B91C1C"/>
                <w:sz w:val="18"/>
                <w:szCs w:val="18"/>
              </w:rPr>
              <w:t xml:space="preserve">NO</w:t>
            </w:r>
          </w:p>
        </w:tc>
        <w:tc>
          <w:tcPr>
            <w:tcW w:type="dxa" w:w="1560"/>
            <w:tcBorders>
              <w:top w:val="single" w:color="D1D5DB" w:sz="1"/>
              <w:left w:val="single" w:color="D1D5DB" w:sz="1"/>
              <w:bottom w:val="single" w:color="D1D5DB" w:sz="1"/>
              <w:right w:val="single" w:color="D1D5DB" w:sz="1"/>
            </w:tcBorders>
            <w:shd w:fill="FEF2F2" w:val="clear"/>
            <w:tcMar>
              <w:top w:type="dxa" w:w="60"/>
              <w:left w:type="dxa" w:w="100"/>
              <w:bottom w:type="dxa" w:w="60"/>
              <w:right w:type="dxa" w:w="100"/>
            </w:tcMar>
          </w:tcPr>
          <w:p>
            <w:r>
              <w:rPr>
                <w:rFonts w:ascii="Arial" w:cs="Arial" w:eastAsia="Arial" w:hAnsi="Arial"/>
                <w:b w:val="false"/>
                <w:bCs w:val="false"/>
                <w:color w:val="B91C1C"/>
                <w:sz w:val="18"/>
                <w:szCs w:val="18"/>
              </w:rPr>
              <w:t xml:space="preserve">NO</w:t>
            </w:r>
          </w:p>
        </w:tc>
        <w:tc>
          <w:tcPr>
            <w:tcW w:type="dxa" w:w="1320"/>
            <w:tcBorders>
              <w:top w:val="single" w:color="D1D5DB" w:sz="1"/>
              <w:left w:val="single" w:color="D1D5DB" w:sz="1"/>
              <w:bottom w:val="single" w:color="D1D5DB" w:sz="1"/>
              <w:right w:val="single" w:color="D1D5DB" w:sz="1"/>
            </w:tcBorders>
            <w:shd w:fill="FEF2F2" w:val="clear"/>
            <w:tcMar>
              <w:top w:type="dxa" w:w="60"/>
              <w:left w:type="dxa" w:w="100"/>
              <w:bottom w:type="dxa" w:w="60"/>
              <w:right w:type="dxa" w:w="100"/>
            </w:tcMar>
          </w:tcPr>
          <w:p>
            <w:r>
              <w:rPr>
                <w:rFonts w:ascii="Arial" w:cs="Arial" w:eastAsia="Arial" w:hAnsi="Arial"/>
                <w:b w:val="false"/>
                <w:bCs w:val="false"/>
                <w:color w:val="B91C1C"/>
                <w:sz w:val="18"/>
                <w:szCs w:val="18"/>
              </w:rPr>
              <w:t xml:space="preserve">NO</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11827"/>
                <w:sz w:val="18"/>
                <w:szCs w:val="18"/>
              </w:rPr>
              <w:t xml:space="preserve">Price per month</w:t>
            </w:r>
          </w:p>
        </w:tc>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18"/>
                <w:szCs w:val="18"/>
              </w:rPr>
              <w:t xml:space="preserve">Rs 399-9,999</w:t>
            </w:r>
          </w:p>
        </w:tc>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18"/>
                <w:szCs w:val="18"/>
              </w:rPr>
              <w:t xml:space="preserve">Free / Rs 99</w:t>
            </w:r>
          </w:p>
        </w:tc>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18"/>
                <w:szCs w:val="18"/>
              </w:rPr>
              <w:t xml:space="preserve">Free</w:t>
            </w:r>
          </w:p>
        </w:tc>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18"/>
                <w:szCs w:val="18"/>
              </w:rPr>
              <w:t xml:space="preserve">Rs 4,000-18,000</w:t>
            </w:r>
          </w:p>
        </w:tc>
        <w:tc>
          <w:tcPr>
            <w:tcW w:type="dxa" w:w="13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18"/>
                <w:szCs w:val="18"/>
              </w:rPr>
              <w:t xml:space="preserve">15-30% of amount</w:t>
            </w:r>
          </w:p>
        </w:tc>
      </w:tr>
    </w:tbl>
    <w:p>
      <w:pPr>
        <w:spacing w:after="0" w:before="0"/>
      </w:pPr>
      <w:r>
        <w:rPr>
          <w:rFonts w:ascii="Arial" w:cs="Arial" w:eastAsia="Arial" w:hAnsi="Arial"/>
          <w:sz w:val="22"/>
          <w:szCs w:val="22"/>
        </w:rPr>
        <w:t xml:space="preserve">  </w:t>
      </w:r>
    </w:p>
    <w:p>
      <w:pPr>
        <w:pStyle w:val="Heading2"/>
        <w:spacing w:after="120" w:before="280"/>
      </w:pPr>
      <w:r>
        <w:rPr>
          <w:rFonts w:ascii="Arial" w:cs="Arial" w:eastAsia="Arial" w:hAnsi="Arial"/>
          <w:b/>
          <w:bCs/>
          <w:color w:val="1A7C4F"/>
          <w:sz w:val="28"/>
          <w:szCs w:val="28"/>
        </w:rPr>
        <w:t xml:space="preserve">5.3 How UdhaarClear Beats Each Competitor</w:t>
      </w:r>
    </w:p>
    <w:p>
      <w:pPr>
        <w:pStyle w:val="Heading3"/>
        <w:spacing w:after="80" w:before="200"/>
      </w:pPr>
      <w:r>
        <w:rPr>
          <w:rFonts w:ascii="Arial" w:cs="Arial" w:eastAsia="Arial" w:hAnsi="Arial"/>
          <w:b/>
          <w:bCs/>
          <w:color w:val="374151"/>
          <w:sz w:val="24"/>
          <w:szCs w:val="24"/>
        </w:rPr>
        <w:t xml:space="preserve">vs. Khatabook</w:t>
      </w:r>
    </w:p>
    <w:p>
      <w:pPr>
        <w:pStyle w:val="ListParagraph"/>
        <w:numPr>
          <w:ilvl w:val="0"/>
          <w:numId w:val="2"/>
        </w:numPr>
        <w:spacing w:after="40" w:before="40"/>
      </w:pPr>
      <w:r>
        <w:rPr>
          <w:rFonts w:ascii="Arial" w:cs="Arial" w:eastAsia="Arial" w:hAnsi="Arial"/>
          <w:color w:val="111827"/>
          <w:sz w:val="22"/>
          <w:szCs w:val="22"/>
        </w:rPr>
        <w:t xml:space="preserve">Khatabook records debt. UdhaarClear recovers it.</w:t>
      </w:r>
    </w:p>
    <w:p>
      <w:pPr>
        <w:pStyle w:val="ListParagraph"/>
        <w:numPr>
          <w:ilvl w:val="0"/>
          <w:numId w:val="2"/>
        </w:numPr>
        <w:spacing w:after="40" w:before="40"/>
      </w:pPr>
      <w:r>
        <w:rPr>
          <w:rFonts w:ascii="Arial" w:cs="Arial" w:eastAsia="Arial" w:hAnsi="Arial"/>
          <w:color w:val="111827"/>
          <w:sz w:val="22"/>
          <w:szCs w:val="22"/>
        </w:rPr>
        <w:t xml:space="preserve">Khatabook's reminder is one SMS. UdhaarClear runs 5 phases over 28 days with calibrated tone.</w:t>
      </w:r>
    </w:p>
    <w:p>
      <w:pPr>
        <w:pStyle w:val="ListParagraph"/>
        <w:numPr>
          <w:ilvl w:val="0"/>
          <w:numId w:val="2"/>
        </w:numPr>
        <w:spacing w:after="40" w:before="40"/>
      </w:pPr>
      <w:r>
        <w:rPr>
          <w:rFonts w:ascii="Arial" w:cs="Arial" w:eastAsia="Arial" w:hAnsi="Arial"/>
          <w:color w:val="111827"/>
          <w:sz w:val="22"/>
          <w:szCs w:val="22"/>
        </w:rPr>
        <w:t xml:space="preserve">Khatabook has no buyer payment page. The buyer must manually initiate payment. UdhaarClear gives them a one-tap pay link.</w:t>
      </w:r>
    </w:p>
    <w:p>
      <w:pPr>
        <w:pStyle w:val="ListParagraph"/>
        <w:numPr>
          <w:ilvl w:val="0"/>
          <w:numId w:val="2"/>
        </w:numPr>
        <w:spacing w:after="40" w:before="40"/>
      </w:pPr>
      <w:r>
        <w:rPr>
          <w:rFonts w:ascii="Arial" w:cs="Arial" w:eastAsia="Arial" w:hAnsi="Arial"/>
          <w:color w:val="111827"/>
          <w:sz w:val="22"/>
          <w:szCs w:val="22"/>
        </w:rPr>
        <w:t xml:space="preserve">Win condition: Khatabook users who have large outstanding will pay Rs 999 for the tool that actually gets their money back. Partner with Khatabook data exporters to capture their user base.</w:t>
      </w:r>
    </w:p>
    <w:p>
      <w:pPr>
        <w:spacing w:after="0" w:before="0"/>
      </w:pPr>
      <w:r>
        <w:rPr>
          <w:rFonts w:ascii="Arial" w:cs="Arial" w:eastAsia="Arial" w:hAnsi="Arial"/>
          <w:sz w:val="22"/>
          <w:szCs w:val="22"/>
        </w:rPr>
        <w:t xml:space="preserve"> </w:t>
      </w:r>
    </w:p>
    <w:p>
      <w:pPr>
        <w:pStyle w:val="Heading3"/>
        <w:spacing w:after="80" w:before="200"/>
      </w:pPr>
      <w:r>
        <w:rPr>
          <w:rFonts w:ascii="Arial" w:cs="Arial" w:eastAsia="Arial" w:hAnsi="Arial"/>
          <w:b/>
          <w:bCs/>
          <w:color w:val="374151"/>
          <w:sz w:val="24"/>
          <w:szCs w:val="24"/>
        </w:rPr>
        <w:t xml:space="preserve">vs. OkCredit</w:t>
      </w:r>
    </w:p>
    <w:p>
      <w:pPr>
        <w:pStyle w:val="ListParagraph"/>
        <w:numPr>
          <w:ilvl w:val="0"/>
          <w:numId w:val="2"/>
        </w:numPr>
        <w:spacing w:after="40" w:before="40"/>
      </w:pPr>
      <w:r>
        <w:rPr>
          <w:rFonts w:ascii="Arial" w:cs="Arial" w:eastAsia="Arial" w:hAnsi="Arial"/>
          <w:color w:val="111827"/>
          <w:sz w:val="22"/>
          <w:szCs w:val="22"/>
        </w:rPr>
        <w:t xml:space="preserve">OkCredit is focused on the kirana B2C ledger (customer tabs at grocery stores). UdhaarClear is B2B invoice recovery — entirely different use case.</w:t>
      </w:r>
    </w:p>
    <w:p>
      <w:pPr>
        <w:pStyle w:val="ListParagraph"/>
        <w:numPr>
          <w:ilvl w:val="0"/>
          <w:numId w:val="2"/>
        </w:numPr>
        <w:spacing w:after="40" w:before="40"/>
      </w:pPr>
      <w:r>
        <w:rPr>
          <w:rFonts w:ascii="Arial" w:cs="Arial" w:eastAsia="Arial" w:hAnsi="Arial"/>
          <w:color w:val="111827"/>
          <w:sz w:val="22"/>
          <w:szCs w:val="22"/>
        </w:rPr>
        <w:t xml:space="preserve">OkCredit has no escalation, no payment link, no WhatsApp automation.</w:t>
      </w:r>
    </w:p>
    <w:p>
      <w:pPr>
        <w:pStyle w:val="ListParagraph"/>
        <w:numPr>
          <w:ilvl w:val="0"/>
          <w:numId w:val="2"/>
        </w:numPr>
        <w:spacing w:after="40" w:before="40"/>
      </w:pPr>
      <w:r>
        <w:rPr>
          <w:rFonts w:ascii="Arial" w:cs="Arial" w:eastAsia="Arial" w:hAnsi="Arial"/>
          <w:color w:val="111827"/>
          <w:sz w:val="22"/>
          <w:szCs w:val="22"/>
        </w:rPr>
        <w:t xml:space="preserve">Win condition: OkCredit users who are actually small distributors (not kiranas) are a natural migration target.</w:t>
      </w:r>
    </w:p>
    <w:p>
      <w:pPr>
        <w:spacing w:after="0" w:before="0"/>
      </w:pPr>
      <w:r>
        <w:rPr>
          <w:rFonts w:ascii="Arial" w:cs="Arial" w:eastAsia="Arial" w:hAnsi="Arial"/>
          <w:sz w:val="22"/>
          <w:szCs w:val="22"/>
        </w:rPr>
        <w:t xml:space="preserve"> </w:t>
      </w:r>
    </w:p>
    <w:p>
      <w:pPr>
        <w:pStyle w:val="Heading3"/>
        <w:spacing w:after="80" w:before="200"/>
      </w:pPr>
      <w:r>
        <w:rPr>
          <w:rFonts w:ascii="Arial" w:cs="Arial" w:eastAsia="Arial" w:hAnsi="Arial"/>
          <w:b/>
          <w:bCs/>
          <w:color w:val="374151"/>
          <w:sz w:val="24"/>
          <w:szCs w:val="24"/>
        </w:rPr>
        <w:t xml:space="preserve">vs. Tally ERP</w:t>
      </w:r>
    </w:p>
    <w:p>
      <w:pPr>
        <w:pStyle w:val="ListParagraph"/>
        <w:numPr>
          <w:ilvl w:val="0"/>
          <w:numId w:val="2"/>
        </w:numPr>
        <w:spacing w:after="40" w:before="40"/>
      </w:pPr>
      <w:r>
        <w:rPr>
          <w:rFonts w:ascii="Arial" w:cs="Arial" w:eastAsia="Arial" w:hAnsi="Arial"/>
          <w:color w:val="111827"/>
          <w:sz w:val="22"/>
          <w:szCs w:val="22"/>
        </w:rPr>
        <w:t xml:space="preserve">Tally is an accounting tool, not a collection tool. It generates invoices but has zero outbound collection capability.</w:t>
      </w:r>
    </w:p>
    <w:p>
      <w:pPr>
        <w:pStyle w:val="ListParagraph"/>
        <w:numPr>
          <w:ilvl w:val="0"/>
          <w:numId w:val="2"/>
        </w:numPr>
        <w:spacing w:after="40" w:before="40"/>
      </w:pPr>
      <w:r>
        <w:rPr>
          <w:rFonts w:ascii="Arial" w:cs="Arial" w:eastAsia="Arial" w:hAnsi="Arial"/>
          <w:color w:val="111827"/>
          <w:sz w:val="22"/>
          <w:szCs w:val="22"/>
        </w:rPr>
        <w:t xml:space="preserve">Tally's pricing (Rs 4,000-18,000/year) is affordable but the tool doesn't solve the recovery problem.</w:t>
      </w:r>
    </w:p>
    <w:p>
      <w:pPr>
        <w:pStyle w:val="ListParagraph"/>
        <w:numPr>
          <w:ilvl w:val="0"/>
          <w:numId w:val="2"/>
        </w:numPr>
        <w:spacing w:after="40" w:before="40"/>
      </w:pPr>
      <w:r>
        <w:rPr>
          <w:rFonts w:ascii="Arial" w:cs="Arial" w:eastAsia="Arial" w:hAnsi="Arial"/>
          <w:color w:val="111827"/>
          <w:sz w:val="22"/>
          <w:szCs w:val="22"/>
        </w:rPr>
        <w:t xml:space="preserve">Win condition: Build a Tally import feature. Every Tally user can instantly import outstanding invoices into UdhaarClear. This is both a feature and a distribution strategy.</w:t>
      </w:r>
    </w:p>
    <w:p>
      <w:pPr>
        <w:spacing w:after="0" w:before="0"/>
      </w:pPr>
      <w:r>
        <w:rPr>
          <w:rFonts w:ascii="Arial" w:cs="Arial" w:eastAsia="Arial" w:hAnsi="Arial"/>
          <w:sz w:val="22"/>
          <w:szCs w:val="22"/>
        </w:rPr>
        <w:t xml:space="preserve"> </w:t>
      </w:r>
    </w:p>
    <w:p>
      <w:pPr>
        <w:pStyle w:val="Heading3"/>
        <w:spacing w:after="80" w:before="200"/>
      </w:pPr>
      <w:r>
        <w:rPr>
          <w:rFonts w:ascii="Arial" w:cs="Arial" w:eastAsia="Arial" w:hAnsi="Arial"/>
          <w:b/>
          <w:bCs/>
          <w:color w:val="374151"/>
          <w:sz w:val="24"/>
          <w:szCs w:val="24"/>
        </w:rPr>
        <w:t xml:space="preserve">vs. Collection Agencies / Lawyers</w:t>
      </w:r>
    </w:p>
    <w:p>
      <w:pPr>
        <w:pStyle w:val="ListParagraph"/>
        <w:numPr>
          <w:ilvl w:val="0"/>
          <w:numId w:val="2"/>
        </w:numPr>
        <w:spacing w:after="40" w:before="40"/>
      </w:pPr>
      <w:r>
        <w:rPr>
          <w:rFonts w:ascii="Arial" w:cs="Arial" w:eastAsia="Arial" w:hAnsi="Arial"/>
          <w:color w:val="111827"/>
          <w:sz w:val="22"/>
          <w:szCs w:val="22"/>
        </w:rPr>
        <w:t xml:space="preserve">Agencies charge 15-30% of the recovered amount. On Rs 1 lakh recovered, that's Rs 15,000-30,000 — vs Rs 999/month for UdhaarClear.</w:t>
      </w:r>
    </w:p>
    <w:p>
      <w:pPr>
        <w:pStyle w:val="ListParagraph"/>
        <w:numPr>
          <w:ilvl w:val="0"/>
          <w:numId w:val="2"/>
        </w:numPr>
        <w:spacing w:after="40" w:before="40"/>
      </w:pPr>
      <w:r>
        <w:rPr>
          <w:rFonts w:ascii="Arial" w:cs="Arial" w:eastAsia="Arial" w:hAnsi="Arial"/>
          <w:color w:val="111827"/>
          <w:sz w:val="22"/>
          <w:szCs w:val="22"/>
        </w:rPr>
        <w:t xml:space="preserve">Agencies destroy the business relationship. UdhaarClear preserves it.</w:t>
      </w:r>
    </w:p>
    <w:p>
      <w:pPr>
        <w:pStyle w:val="ListParagraph"/>
        <w:numPr>
          <w:ilvl w:val="0"/>
          <w:numId w:val="2"/>
        </w:numPr>
        <w:spacing w:after="40" w:before="40"/>
      </w:pPr>
      <w:r>
        <w:rPr>
          <w:rFonts w:ascii="Arial" w:cs="Arial" w:eastAsia="Arial" w:hAnsi="Arial"/>
          <w:color w:val="111827"/>
          <w:sz w:val="22"/>
          <w:szCs w:val="22"/>
        </w:rPr>
        <w:t xml:space="preserve">Agencies are slow (weeks to months). UdhaarClear acts on Day 1.</w:t>
      </w:r>
    </w:p>
    <w:p>
      <w:pPr>
        <w:pStyle w:val="ListParagraph"/>
        <w:numPr>
          <w:ilvl w:val="0"/>
          <w:numId w:val="2"/>
        </w:numPr>
        <w:spacing w:after="40" w:before="40"/>
      </w:pPr>
      <w:r>
        <w:rPr>
          <w:rFonts w:ascii="Arial" w:cs="Arial" w:eastAsia="Arial" w:hAnsi="Arial"/>
          <w:color w:val="111827"/>
          <w:sz w:val="22"/>
          <w:szCs w:val="22"/>
        </w:rPr>
        <w:t xml:space="preserve">Win condition: Frame UdhaarClear as "your own collection department for Rs 999/month."</w:t>
      </w:r>
    </w:p>
    <w:p>
      <w:pPr>
        <w:spacing w:after="0" w:before="0"/>
      </w:pPr>
      <w:r>
        <w:rPr>
          <w:rFonts w:ascii="Arial" w:cs="Arial" w:eastAsia="Arial" w:hAnsi="Arial"/>
          <w:sz w:val="22"/>
          <w:szCs w:val="22"/>
        </w:rPr>
        <w:t xml:space="preserve"> </w:t>
      </w:r>
    </w:p>
    <w:p>
      <w:pPr>
        <w:pStyle w:val="Heading3"/>
        <w:spacing w:after="80" w:before="200"/>
      </w:pPr>
      <w:r>
        <w:rPr>
          <w:rFonts w:ascii="Arial" w:cs="Arial" w:eastAsia="Arial" w:hAnsi="Arial"/>
          <w:b/>
          <w:bCs/>
          <w:color w:val="374151"/>
          <w:sz w:val="24"/>
          <w:szCs w:val="24"/>
        </w:rPr>
        <w:t xml:space="preserve">vs. Future AI Competitors (Highest Risk)</w:t>
      </w:r>
    </w:p>
    <w:p>
      <w:pPr>
        <w:pStyle w:val="ListParagraph"/>
        <w:numPr>
          <w:ilvl w:val="0"/>
          <w:numId w:val="2"/>
        </w:numPr>
        <w:spacing w:after="40" w:before="40"/>
      </w:pPr>
      <w:r>
        <w:rPr>
          <w:rFonts w:ascii="Arial" w:cs="Arial" w:eastAsia="Arial" w:hAnsi="Arial"/>
          <w:color w:val="111827"/>
          <w:sz w:val="22"/>
          <w:szCs w:val="22"/>
        </w:rPr>
        <w:t xml:space="preserve">The core moat is data — UdhaarClear will accumulate more B2B payment behaviour data than any other platform in India. This enables the UdhaarClear Score and BNPL credit layer.</w:t>
      </w:r>
    </w:p>
    <w:p>
      <w:pPr>
        <w:pStyle w:val="ListParagraph"/>
        <w:numPr>
          <w:ilvl w:val="0"/>
          <w:numId w:val="2"/>
        </w:numPr>
        <w:spacing w:after="40" w:before="40"/>
      </w:pPr>
      <w:r>
        <w:rPr>
          <w:rFonts w:ascii="Arial" w:cs="Arial" w:eastAsia="Arial" w:hAnsi="Arial"/>
          <w:color w:val="111827"/>
          <w:sz w:val="22"/>
          <w:szCs w:val="22"/>
        </w:rPr>
        <w:t xml:space="preserve">The second moat is the CA network — 6 lakh CAs recommending UdhaarClear creates switching cost and distribution that a new entrant cannot easily replicate.</w:t>
      </w:r>
    </w:p>
    <w:p>
      <w:pPr>
        <w:pStyle w:val="ListParagraph"/>
        <w:numPr>
          <w:ilvl w:val="0"/>
          <w:numId w:val="2"/>
        </w:numPr>
        <w:spacing w:after="40" w:before="40"/>
      </w:pPr>
      <w:r>
        <w:rPr>
          <w:rFonts w:ascii="Arial" w:cs="Arial" w:eastAsia="Arial" w:hAnsi="Arial"/>
          <w:color w:val="111827"/>
          <w:sz w:val="22"/>
          <w:szCs w:val="22"/>
        </w:rPr>
        <w:t xml:space="preserve">The third moat is the buyer experience — once buyers are trained to pay via UdhaarClear links, the network effect makes it harder for sellers to switch.</w:t>
      </w:r>
    </w:p>
    <w:p>
      <w:r>
        <w:br w:type="page"/>
      </w:r>
    </w:p>
    <w:p>
      <w:pPr>
        <w:pStyle w:val="Heading1"/>
        <w:spacing w:after="180" w:before="360"/>
      </w:pPr>
      <w:r>
        <w:rPr>
          <w:rFonts w:ascii="Arial" w:cs="Arial" w:eastAsia="Arial" w:hAnsi="Arial"/>
          <w:b/>
          <w:bCs/>
          <w:color w:val="0A1628"/>
          <w:sz w:val="36"/>
          <w:szCs w:val="36"/>
        </w:rPr>
        <w:t xml:space="preserve">6. Pricing Architecture</w:t>
      </w:r>
    </w:p>
    <w:p>
      <w:pPr>
        <w:pStyle w:val="Heading2"/>
        <w:spacing w:after="120" w:before="280"/>
      </w:pPr>
      <w:r>
        <w:rPr>
          <w:rFonts w:ascii="Arial" w:cs="Arial" w:eastAsia="Arial" w:hAnsi="Arial"/>
          <w:b/>
          <w:bCs/>
          <w:color w:val="1A7C4F"/>
          <w:sz w:val="28"/>
          <w:szCs w:val="28"/>
        </w:rPr>
        <w:t xml:space="preserve">6.1 Plan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800"/>
        <w:gridCol w:w="1960"/>
      </w:tblGrid>
      <w:tr>
        <w:trPr>
          <w:tblHeader/>
        </w:trPr>
        <w:tc>
          <w:tcPr>
            <w:tcW w:type="dxa" w:w="2000"/>
            <w:tcBorders>
              <w:top w:val="single" w:color="D1D5DB" w:sz="1"/>
              <w:left w:val="single" w:color="D1D5DB" w:sz="1"/>
              <w:bottom w:val="single" w:color="D1D5DB" w:sz="1"/>
              <w:right w:val="single" w:color="D1D5DB" w:sz="1"/>
            </w:tcBorders>
            <w:shd w:fill="0A1628" w:val="clear"/>
            <w:tcMar>
              <w:top w:type="dxa" w:w="80"/>
              <w:left w:type="dxa" w:w="100"/>
              <w:bottom w:type="dxa" w:w="80"/>
              <w:right w:type="dxa" w:w="100"/>
            </w:tcMar>
          </w:tcPr>
          <w:p>
            <w:r>
              <w:rPr>
                <w:rFonts w:ascii="Arial" w:cs="Arial" w:eastAsia="Arial" w:hAnsi="Arial"/>
                <w:b/>
                <w:bCs/>
                <w:color w:val="FFFFFF"/>
                <w:sz w:val="18"/>
                <w:szCs w:val="18"/>
              </w:rPr>
              <w:t xml:space="preserve">Feature</w:t>
            </w:r>
          </w:p>
        </w:tc>
        <w:tc>
          <w:tcPr>
            <w:tcW w:type="dxa" w:w="1800"/>
            <w:tcBorders>
              <w:top w:val="single" w:color="D1D5DB" w:sz="1"/>
              <w:left w:val="single" w:color="D1D5DB" w:sz="1"/>
              <w:bottom w:val="single" w:color="D1D5DB" w:sz="1"/>
              <w:right w:val="single" w:color="D1D5DB" w:sz="1"/>
            </w:tcBorders>
            <w:shd w:fill="0A1628" w:val="clear"/>
            <w:tcMar>
              <w:top w:type="dxa" w:w="80"/>
              <w:left w:type="dxa" w:w="100"/>
              <w:bottom w:type="dxa" w:w="80"/>
              <w:right w:type="dxa" w:w="100"/>
            </w:tcMar>
          </w:tcPr>
          <w:p>
            <w:r>
              <w:rPr>
                <w:rFonts w:ascii="Arial" w:cs="Arial" w:eastAsia="Arial" w:hAnsi="Arial"/>
                <w:b/>
                <w:bCs/>
                <w:color w:val="FFFFFF"/>
                <w:sz w:val="18"/>
                <w:szCs w:val="18"/>
              </w:rPr>
              <w:t xml:space="preserve">Shuruat (Free)</w:t>
            </w:r>
          </w:p>
        </w:tc>
        <w:tc>
          <w:tcPr>
            <w:tcW w:type="dxa" w:w="1800"/>
            <w:tcBorders>
              <w:top w:val="single" w:color="D1D5DB" w:sz="1"/>
              <w:left w:val="single" w:color="D1D5DB" w:sz="1"/>
              <w:bottom w:val="single" w:color="D1D5DB" w:sz="1"/>
              <w:right w:val="single" w:color="D1D5DB" w:sz="1"/>
            </w:tcBorders>
            <w:shd w:fill="0A1628" w:val="clear"/>
            <w:tcMar>
              <w:top w:type="dxa" w:w="80"/>
              <w:left w:type="dxa" w:w="100"/>
              <w:bottom w:type="dxa" w:w="80"/>
              <w:right w:type="dxa" w:w="100"/>
            </w:tcMar>
          </w:tcPr>
          <w:p>
            <w:r>
              <w:rPr>
                <w:rFonts w:ascii="Arial" w:cs="Arial" w:eastAsia="Arial" w:hAnsi="Arial"/>
                <w:b/>
                <w:bCs/>
                <w:color w:val="FFFFFF"/>
                <w:sz w:val="18"/>
                <w:szCs w:val="18"/>
              </w:rPr>
              <w:t xml:space="preserve">Chota Vyaapar Rs 399/mo</w:t>
            </w:r>
          </w:p>
        </w:tc>
        <w:tc>
          <w:tcPr>
            <w:tcW w:type="dxa" w:w="1800"/>
            <w:tcBorders>
              <w:top w:val="single" w:color="D1D5DB" w:sz="1"/>
              <w:left w:val="single" w:color="D1D5DB" w:sz="1"/>
              <w:bottom w:val="single" w:color="D1D5DB" w:sz="1"/>
              <w:right w:val="single" w:color="D1D5DB" w:sz="1"/>
            </w:tcBorders>
            <w:shd w:fill="0A1628" w:val="clear"/>
            <w:tcMar>
              <w:top w:type="dxa" w:w="80"/>
              <w:left w:type="dxa" w:w="100"/>
              <w:bottom w:type="dxa" w:w="80"/>
              <w:right w:type="dxa" w:w="100"/>
            </w:tcMar>
          </w:tcPr>
          <w:p>
            <w:r>
              <w:rPr>
                <w:rFonts w:ascii="Arial" w:cs="Arial" w:eastAsia="Arial" w:hAnsi="Arial"/>
                <w:b/>
                <w:bCs/>
                <w:color w:val="FFFFFF"/>
                <w:sz w:val="18"/>
                <w:szCs w:val="18"/>
              </w:rPr>
              <w:t xml:space="preserve">Vyaapar Pro Rs 999/mo</w:t>
            </w:r>
          </w:p>
        </w:tc>
        <w:tc>
          <w:tcPr>
            <w:tcW w:type="dxa" w:w="1960"/>
            <w:tcBorders>
              <w:top w:val="single" w:color="D1D5DB" w:sz="1"/>
              <w:left w:val="single" w:color="D1D5DB" w:sz="1"/>
              <w:bottom w:val="single" w:color="D1D5DB" w:sz="1"/>
              <w:right w:val="single" w:color="D1D5DB" w:sz="1"/>
            </w:tcBorders>
            <w:shd w:fill="0A1628" w:val="clear"/>
            <w:tcMar>
              <w:top w:type="dxa" w:w="80"/>
              <w:left w:type="dxa" w:w="100"/>
              <w:bottom w:type="dxa" w:w="80"/>
              <w:right w:type="dxa" w:w="100"/>
            </w:tcMar>
          </w:tcPr>
          <w:p>
            <w:r>
              <w:rPr>
                <w:rFonts w:ascii="Arial" w:cs="Arial" w:eastAsia="Arial" w:hAnsi="Arial"/>
                <w:b/>
                <w:bCs/>
                <w:color w:val="FFFFFF"/>
                <w:sz w:val="18"/>
                <w:szCs w:val="18"/>
              </w:rPr>
              <w:t xml:space="preserve">Udyog Rs 9,999/mo</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Customer slots</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3</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15</w:t>
            </w:r>
          </w:p>
        </w:tc>
        <w:tc>
          <w:tcPr>
            <w:tcW w:type="dxa" w:w="1800"/>
            <w:tcBorders>
              <w:top w:val="single" w:color="D1D5DB" w:sz="1"/>
              <w:left w:val="single" w:color="D1D5DB" w:sz="1"/>
              <w:bottom w:val="single" w:color="D1D5DB" w:sz="1"/>
              <w:right w:val="single" w:color="D1D5DB" w:sz="1"/>
            </w:tcBorders>
            <w:shd w:fill="EFF6FF" w:val="clear"/>
            <w:tcMar>
              <w:top w:type="dxa" w:w="60"/>
              <w:left w:type="dxa" w:w="100"/>
              <w:bottom w:type="dxa" w:w="60"/>
              <w:right w:type="dxa" w:w="100"/>
            </w:tcMar>
          </w:tcPr>
          <w:p>
            <w:r>
              <w:rPr>
                <w:rFonts w:ascii="Arial" w:cs="Arial" w:eastAsia="Arial" w:hAnsi="Arial"/>
                <w:color w:val="1D4ED8"/>
                <w:sz w:val="18"/>
                <w:szCs w:val="18"/>
              </w:rPr>
              <w:t xml:space="preserve">200</w:t>
            </w:r>
          </w:p>
        </w:tc>
        <w:tc>
          <w:tcPr>
            <w:tcW w:type="dxa" w:w="1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Unlimited</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WhatsApp reminders</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Phase 1 only</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Phases 1-3</w:t>
            </w:r>
          </w:p>
        </w:tc>
        <w:tc>
          <w:tcPr>
            <w:tcW w:type="dxa" w:w="1800"/>
            <w:tcBorders>
              <w:top w:val="single" w:color="D1D5DB" w:sz="1"/>
              <w:left w:val="single" w:color="D1D5DB" w:sz="1"/>
              <w:bottom w:val="single" w:color="D1D5DB" w:sz="1"/>
              <w:right w:val="single" w:color="D1D5DB" w:sz="1"/>
            </w:tcBorders>
            <w:shd w:fill="EFF6FF" w:val="clear"/>
            <w:tcMar>
              <w:top w:type="dxa" w:w="60"/>
              <w:left w:type="dxa" w:w="100"/>
              <w:bottom w:type="dxa" w:w="60"/>
              <w:right w:type="dxa" w:w="100"/>
            </w:tcMar>
          </w:tcPr>
          <w:p>
            <w:r>
              <w:rPr>
                <w:rFonts w:ascii="Arial" w:cs="Arial" w:eastAsia="Arial" w:hAnsi="Arial"/>
                <w:color w:val="1D4ED8"/>
                <w:sz w:val="18"/>
                <w:szCs w:val="18"/>
              </w:rPr>
              <w:t xml:space="preserve">All 5 phases</w:t>
            </w:r>
          </w:p>
        </w:tc>
        <w:tc>
          <w:tcPr>
            <w:tcW w:type="dxa" w:w="1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All 5 phases</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Buyer payment page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No</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Yes</w:t>
            </w:r>
          </w:p>
        </w:tc>
        <w:tc>
          <w:tcPr>
            <w:tcW w:type="dxa" w:w="1800"/>
            <w:tcBorders>
              <w:top w:val="single" w:color="D1D5DB" w:sz="1"/>
              <w:left w:val="single" w:color="D1D5DB" w:sz="1"/>
              <w:bottom w:val="single" w:color="D1D5DB" w:sz="1"/>
              <w:right w:val="single" w:color="D1D5DB" w:sz="1"/>
            </w:tcBorders>
            <w:shd w:fill="EFF6FF" w:val="clear"/>
            <w:tcMar>
              <w:top w:type="dxa" w:w="60"/>
              <w:left w:type="dxa" w:w="100"/>
              <w:bottom w:type="dxa" w:w="60"/>
              <w:right w:type="dxa" w:w="100"/>
            </w:tcMar>
          </w:tcPr>
          <w:p>
            <w:r>
              <w:rPr>
                <w:rFonts w:ascii="Arial" w:cs="Arial" w:eastAsia="Arial" w:hAnsi="Arial"/>
                <w:color w:val="1D4ED8"/>
                <w:sz w:val="18"/>
                <w:szCs w:val="18"/>
              </w:rPr>
              <w:t xml:space="preserve">Yes</w:t>
            </w:r>
          </w:p>
        </w:tc>
        <w:tc>
          <w:tcPr>
            <w:tcW w:type="dxa" w:w="1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Yes</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Human gate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No</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No</w:t>
            </w:r>
          </w:p>
        </w:tc>
        <w:tc>
          <w:tcPr>
            <w:tcW w:type="dxa" w:w="1800"/>
            <w:tcBorders>
              <w:top w:val="single" w:color="D1D5DB" w:sz="1"/>
              <w:left w:val="single" w:color="D1D5DB" w:sz="1"/>
              <w:bottom w:val="single" w:color="D1D5DB" w:sz="1"/>
              <w:right w:val="single" w:color="D1D5DB" w:sz="1"/>
            </w:tcBorders>
            <w:shd w:fill="EFF6FF" w:val="clear"/>
            <w:tcMar>
              <w:top w:type="dxa" w:w="60"/>
              <w:left w:type="dxa" w:w="100"/>
              <w:bottom w:type="dxa" w:w="60"/>
              <w:right w:type="dxa" w:w="100"/>
            </w:tcMar>
          </w:tcPr>
          <w:p>
            <w:r>
              <w:rPr>
                <w:rFonts w:ascii="Arial" w:cs="Arial" w:eastAsia="Arial" w:hAnsi="Arial"/>
                <w:color w:val="1D4ED8"/>
                <w:sz w:val="18"/>
                <w:szCs w:val="18"/>
              </w:rPr>
              <w:t xml:space="preserve">Yes</w:t>
            </w:r>
          </w:p>
        </w:tc>
        <w:tc>
          <w:tcPr>
            <w:tcW w:type="dxa" w:w="1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Yes</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Tally import</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No</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No</w:t>
            </w:r>
          </w:p>
        </w:tc>
        <w:tc>
          <w:tcPr>
            <w:tcW w:type="dxa" w:w="1800"/>
            <w:tcBorders>
              <w:top w:val="single" w:color="D1D5DB" w:sz="1"/>
              <w:left w:val="single" w:color="D1D5DB" w:sz="1"/>
              <w:bottom w:val="single" w:color="D1D5DB" w:sz="1"/>
              <w:right w:val="single" w:color="D1D5DB" w:sz="1"/>
            </w:tcBorders>
            <w:shd w:fill="EFF6FF" w:val="clear"/>
            <w:tcMar>
              <w:top w:type="dxa" w:w="60"/>
              <w:left w:type="dxa" w:w="100"/>
              <w:bottom w:type="dxa" w:w="60"/>
              <w:right w:type="dxa" w:w="100"/>
            </w:tcMar>
          </w:tcPr>
          <w:p>
            <w:r>
              <w:rPr>
                <w:rFonts w:ascii="Arial" w:cs="Arial" w:eastAsia="Arial" w:hAnsi="Arial"/>
                <w:color w:val="1D4ED8"/>
                <w:sz w:val="18"/>
                <w:szCs w:val="18"/>
              </w:rPr>
              <w:t xml:space="preserve">Yes</w:t>
            </w:r>
          </w:p>
        </w:tc>
        <w:tc>
          <w:tcPr>
            <w:tcW w:type="dxa" w:w="1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Yes</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Analytics dashboard</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Basic</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Basic</w:t>
            </w:r>
          </w:p>
        </w:tc>
        <w:tc>
          <w:tcPr>
            <w:tcW w:type="dxa" w:w="1800"/>
            <w:tcBorders>
              <w:top w:val="single" w:color="D1D5DB" w:sz="1"/>
              <w:left w:val="single" w:color="D1D5DB" w:sz="1"/>
              <w:bottom w:val="single" w:color="D1D5DB" w:sz="1"/>
              <w:right w:val="single" w:color="D1D5DB" w:sz="1"/>
            </w:tcBorders>
            <w:shd w:fill="EFF6FF" w:val="clear"/>
            <w:tcMar>
              <w:top w:type="dxa" w:w="60"/>
              <w:left w:type="dxa" w:w="100"/>
              <w:bottom w:type="dxa" w:w="60"/>
              <w:right w:type="dxa" w:w="100"/>
            </w:tcMar>
          </w:tcPr>
          <w:p>
            <w:r>
              <w:rPr>
                <w:rFonts w:ascii="Arial" w:cs="Arial" w:eastAsia="Arial" w:hAnsi="Arial"/>
                <w:color w:val="1D4ED8"/>
                <w:sz w:val="18"/>
                <w:szCs w:val="18"/>
              </w:rPr>
              <w:t xml:space="preserve">Full</w:t>
            </w:r>
          </w:p>
        </w:tc>
        <w:tc>
          <w:tcPr>
            <w:tcW w:type="dxa" w:w="1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Full + Export</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CA referral eligible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No</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Yes (Rs 100/mo)</w:t>
            </w:r>
          </w:p>
        </w:tc>
        <w:tc>
          <w:tcPr>
            <w:tcW w:type="dxa" w:w="1800"/>
            <w:tcBorders>
              <w:top w:val="single" w:color="D1D5DB" w:sz="1"/>
              <w:left w:val="single" w:color="D1D5DB" w:sz="1"/>
              <w:bottom w:val="single" w:color="D1D5DB" w:sz="1"/>
              <w:right w:val="single" w:color="D1D5DB" w:sz="1"/>
            </w:tcBorders>
            <w:shd w:fill="EFF6FF" w:val="clear"/>
            <w:tcMar>
              <w:top w:type="dxa" w:w="60"/>
              <w:left w:type="dxa" w:w="100"/>
              <w:bottom w:type="dxa" w:w="60"/>
              <w:right w:type="dxa" w:w="100"/>
            </w:tcMar>
          </w:tcPr>
          <w:p>
            <w:r>
              <w:rPr>
                <w:rFonts w:ascii="Arial" w:cs="Arial" w:eastAsia="Arial" w:hAnsi="Arial"/>
                <w:color w:val="1D4ED8"/>
                <w:sz w:val="18"/>
                <w:szCs w:val="18"/>
              </w:rPr>
              <w:t xml:space="preserve">Yes (Rs 300/mo)</w:t>
            </w:r>
          </w:p>
        </w:tc>
        <w:tc>
          <w:tcPr>
            <w:tcW w:type="dxa" w:w="1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Yes (Rs 2,000/mo)</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Multi-language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No</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No</w:t>
            </w:r>
          </w:p>
        </w:tc>
        <w:tc>
          <w:tcPr>
            <w:tcW w:type="dxa" w:w="1800"/>
            <w:tcBorders>
              <w:top w:val="single" w:color="D1D5DB" w:sz="1"/>
              <w:left w:val="single" w:color="D1D5DB" w:sz="1"/>
              <w:bottom w:val="single" w:color="D1D5DB" w:sz="1"/>
              <w:right w:val="single" w:color="D1D5DB" w:sz="1"/>
            </w:tcBorders>
            <w:shd w:fill="EFF6FF" w:val="clear"/>
            <w:tcMar>
              <w:top w:type="dxa" w:w="60"/>
              <w:left w:type="dxa" w:w="100"/>
              <w:bottom w:type="dxa" w:w="60"/>
              <w:right w:type="dxa" w:w="100"/>
            </w:tcMar>
          </w:tcPr>
          <w:p>
            <w:r>
              <w:rPr>
                <w:rFonts w:ascii="Arial" w:cs="Arial" w:eastAsia="Arial" w:hAnsi="Arial"/>
                <w:color w:val="1D4ED8"/>
                <w:sz w:val="18"/>
                <w:szCs w:val="18"/>
              </w:rPr>
              <w:t xml:space="preserve">Hindi + 1 regional</w:t>
            </w:r>
          </w:p>
        </w:tc>
        <w:tc>
          <w:tcPr>
            <w:tcW w:type="dxa" w:w="1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All 6 languages</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API access</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No</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No</w:t>
            </w:r>
          </w:p>
        </w:tc>
        <w:tc>
          <w:tcPr>
            <w:tcW w:type="dxa" w:w="1800"/>
            <w:tcBorders>
              <w:top w:val="single" w:color="D1D5DB" w:sz="1"/>
              <w:left w:val="single" w:color="D1D5DB" w:sz="1"/>
              <w:bottom w:val="single" w:color="D1D5DB" w:sz="1"/>
              <w:right w:val="single" w:color="D1D5DB" w:sz="1"/>
            </w:tcBorders>
            <w:shd w:fill="EFF6FF" w:val="clear"/>
            <w:tcMar>
              <w:top w:type="dxa" w:w="60"/>
              <w:left w:type="dxa" w:w="100"/>
              <w:bottom w:type="dxa" w:w="60"/>
              <w:right w:type="dxa" w:w="100"/>
            </w:tcMar>
          </w:tcPr>
          <w:p>
            <w:r>
              <w:rPr>
                <w:rFonts w:ascii="Arial" w:cs="Arial" w:eastAsia="Arial" w:hAnsi="Arial"/>
                <w:color w:val="1D4ED8"/>
                <w:sz w:val="18"/>
                <w:szCs w:val="18"/>
              </w:rPr>
              <w:t xml:space="preserve">No</w:t>
            </w:r>
          </w:p>
        </w:tc>
        <w:tc>
          <w:tcPr>
            <w:tcW w:type="dxa" w:w="1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Yes</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Dedicated support</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No</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Email</w:t>
            </w:r>
          </w:p>
        </w:tc>
        <w:tc>
          <w:tcPr>
            <w:tcW w:type="dxa" w:w="1800"/>
            <w:tcBorders>
              <w:top w:val="single" w:color="D1D5DB" w:sz="1"/>
              <w:left w:val="single" w:color="D1D5DB" w:sz="1"/>
              <w:bottom w:val="single" w:color="D1D5DB" w:sz="1"/>
              <w:right w:val="single" w:color="D1D5DB" w:sz="1"/>
            </w:tcBorders>
            <w:shd w:fill="EFF6FF" w:val="clear"/>
            <w:tcMar>
              <w:top w:type="dxa" w:w="60"/>
              <w:left w:type="dxa" w:w="100"/>
              <w:bottom w:type="dxa" w:w="60"/>
              <w:right w:type="dxa" w:w="100"/>
            </w:tcMar>
          </w:tcPr>
          <w:p>
            <w:r>
              <w:rPr>
                <w:rFonts w:ascii="Arial" w:cs="Arial" w:eastAsia="Arial" w:hAnsi="Arial"/>
                <w:color w:val="1D4ED8"/>
                <w:sz w:val="18"/>
                <w:szCs w:val="18"/>
              </w:rPr>
              <w:t xml:space="preserve">WhatsApp</w:t>
            </w:r>
          </w:p>
        </w:tc>
        <w:tc>
          <w:tcPr>
            <w:tcW w:type="dxa" w:w="1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Dedicated manager</w:t>
            </w:r>
          </w:p>
        </w:tc>
      </w:tr>
    </w:tbl>
    <w:p>
      <w:pPr>
        <w:spacing w:after="0" w:before="0"/>
      </w:pPr>
      <w:r>
        <w:rPr>
          <w:rFonts w:ascii="Arial" w:cs="Arial" w:eastAsia="Arial" w:hAnsi="Arial"/>
          <w:sz w:val="22"/>
          <w:szCs w:val="22"/>
        </w:rPr>
        <w:t xml:space="preserve"> </w:t>
      </w:r>
    </w:p>
    <w:p>
      <w:pPr>
        <w:pStyle w:val="Heading2"/>
        <w:spacing w:after="120" w:before="280"/>
      </w:pPr>
      <w:r>
        <w:rPr>
          <w:rFonts w:ascii="Arial" w:cs="Arial" w:eastAsia="Arial" w:hAnsi="Arial"/>
          <w:b/>
          <w:bCs/>
          <w:color w:val="1A7C4F"/>
          <w:sz w:val="28"/>
          <w:szCs w:val="28"/>
        </w:rPr>
        <w:t xml:space="preserve">6.2 CA Partner Earnings (Not a Plan — A Revenue Program)</w:t>
      </w:r>
    </w:p>
    <w:p>
      <w:pPr>
        <w:spacing w:after="60" w:before="60"/>
      </w:pPr>
      <w:r>
        <w:rPr>
          <w:rFonts w:ascii="Arial" w:cs="Arial" w:eastAsia="Arial" w:hAnsi="Arial"/>
          <w:color w:val="111827"/>
          <w:sz w:val="22"/>
          <w:szCs w:val="22"/>
        </w:rPr>
        <w:t xml:space="preserve">CAs do not pay for UdhaarClear. They earn from it. The CA partner program is a distribution and earnings model, not a pricing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tcPr>
          <w:p>
            <w:r>
              <w:rPr>
                <w:rFonts w:ascii="Arial" w:cs="Arial" w:eastAsia="Arial" w:hAnsi="Arial"/>
                <w:b/>
                <w:bCs/>
                <w:color w:val="FFFFFF"/>
                <w:sz w:val="21"/>
                <w:szCs w:val="21"/>
              </w:rPr>
              <w:t xml:space="preserve">Client Plan</w:t>
            </w:r>
          </w:p>
        </w:tc>
        <w:tc>
          <w:tcPr>
            <w:tcW w:type="dxa" w:w="576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tcPr>
          <w:p>
            <w:r>
              <w:rPr>
                <w:rFonts w:ascii="Arial" w:cs="Arial" w:eastAsia="Arial" w:hAnsi="Arial"/>
                <w:b/>
                <w:bCs/>
                <w:color w:val="FFFFFF"/>
                <w:sz w:val="21"/>
                <w:szCs w:val="21"/>
              </w:rPr>
              <w:t xml:space="preserve">CA Monthly Earning Per Client</w:t>
            </w:r>
          </w:p>
        </w:tc>
      </w:tr>
      <w:tr>
        <w:trPr>
          <w:tblHeader w:val="false"/>
        </w:trP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Chota Vyaapar (Rs 399/mo)</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Rs 100/month</w:t>
            </w:r>
          </w:p>
        </w:tc>
      </w:tr>
      <w:tr>
        <w:trPr>
          <w:tblHeader w:val="false"/>
        </w:trP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Vyaapar Pro (Rs 999/mo)</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Rs 300/month</w:t>
            </w:r>
          </w:p>
        </w:tc>
      </w:tr>
      <w:tr>
        <w:trPr>
          <w:tblHeader w:val="false"/>
        </w:trP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Udyog (Rs 9,999/mo)</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Rs 2,000/month</w:t>
            </w:r>
          </w:p>
        </w:tc>
      </w:tr>
      <w:tr>
        <w:trPr>
          <w:tblHeader w:val="false"/>
        </w:trP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CA with 20 Pro clients</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Rs 6,000/month passive income</w:t>
            </w:r>
          </w:p>
        </w:tc>
      </w:tr>
      <w:tr>
        <w:trPr>
          <w:tblHeader w:val="false"/>
        </w:trP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CA with 10 Enterprise clients</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Rs 20,000/month passive income</w:t>
            </w:r>
          </w:p>
        </w:tc>
      </w:tr>
      <w:tr>
        <w:trPr>
          <w:tblHeader w:val="false"/>
        </w:trP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TDS deduction</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10% above Rs 30,000/year (Section 194H)</w:t>
            </w:r>
          </w:p>
        </w:tc>
      </w:tr>
    </w:tbl>
    <w:p>
      <w:pPr>
        <w:spacing w:after="0" w:before="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B8860B" w:val="clear"/>
            <w:tcMar>
              <w:top w:type="dxa" w:w="100"/>
              <w:left w:type="dxa" w:w="100"/>
              <w:bottom w:type="dxa" w:w="100"/>
              <w:right w:type="dxa" w:w="100"/>
            </w:tcMar>
          </w:tcPr>
          <w:p>
            <w:r>
              <w:rPr>
                <w:rFonts w:ascii="Arial" w:cs="Arial" w:eastAsia="Arial" w:hAnsi="Arial"/>
                <w:sz w:val="22"/>
                <w:szCs w:val="22"/>
              </w:rPr>
              <w:t xml:space="preserve"/>
            </w:r>
          </w:p>
        </w:tc>
        <w:tc>
          <w:tcPr>
            <w:tcW w:type="dxa" w:w="9000"/>
            <w:tcBorders>
              <w:top w:val="none" w:color="FFFFFF" w:sz="0"/>
              <w:left w:val="none" w:color="FFFFFF" w:sz="0"/>
              <w:bottom w:val="none" w:color="FFFFFF" w:sz="0"/>
              <w:right w:val="none" w:color="FFFFFF" w:sz="0"/>
            </w:tcBorders>
            <w:shd w:fill="F0FDF4" w:val="clear"/>
            <w:tcMar>
              <w:top w:type="dxa" w:w="100"/>
              <w:left w:type="dxa" w:w="200"/>
              <w:bottom w:type="dxa" w:w="100"/>
              <w:right w:type="dxa" w:w="100"/>
            </w:tcMar>
          </w:tcPr>
          <w:p>
            <w:pPr>
              <w:spacing w:after="0" w:before="0"/>
            </w:pPr>
            <w:r>
              <w:rPr>
                <w:rFonts w:ascii="Arial" w:cs="Arial" w:eastAsia="Arial" w:hAnsi="Arial"/>
                <w:b/>
                <w:bCs/>
                <w:color w:val="B8860B"/>
                <w:sz w:val="22"/>
                <w:szCs w:val="22"/>
              </w:rPr>
              <w:t xml:space="preserve">CA pricing insight: </w:t>
            </w:r>
            <w:r>
              <w:rPr>
                <w:rFonts w:ascii="Arial" w:cs="Arial" w:eastAsia="Arial" w:hAnsi="Arial"/>
                <w:color w:val="374151"/>
                <w:sz w:val="22"/>
                <w:szCs w:val="22"/>
              </w:rPr>
              <w:t xml:space="preserve">The mistake to avoid: never show Rs 0 as the CA plan price. That looks like a budget tier. Instead, lead with what the CA EARNS — Rs 300/client/month. The CA is a partner, not a customer.</w:t>
            </w:r>
          </w:p>
        </w:tc>
      </w:tr>
    </w:tbl>
    <w:p>
      <w:r>
        <w:br w:type="page"/>
      </w:r>
    </w:p>
    <w:p>
      <w:pPr>
        <w:pStyle w:val="Heading1"/>
        <w:spacing w:after="180" w:before="360"/>
      </w:pPr>
      <w:r>
        <w:rPr>
          <w:rFonts w:ascii="Arial" w:cs="Arial" w:eastAsia="Arial" w:hAnsi="Arial"/>
          <w:b/>
          <w:bCs/>
          <w:color w:val="0A1628"/>
          <w:sz w:val="36"/>
          <w:szCs w:val="36"/>
        </w:rPr>
        <w:t xml:space="preserve">7. Unit Economics</w:t>
      </w:r>
    </w:p>
    <w:p>
      <w:pPr>
        <w:pStyle w:val="Heading2"/>
        <w:spacing w:after="120" w:before="280"/>
      </w:pPr>
      <w:r>
        <w:rPr>
          <w:rFonts w:ascii="Arial" w:cs="Arial" w:eastAsia="Arial" w:hAnsi="Arial"/>
          <w:b/>
          <w:bCs/>
          <w:color w:val="1A7C4F"/>
          <w:sz w:val="28"/>
          <w:szCs w:val="28"/>
        </w:rPr>
        <w:t xml:space="preserve">7.1 Cost to Serve Per Customer Per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rPr>
          <w:tblHeader/>
        </w:trPr>
        <w:tc>
          <w:tcPr>
            <w:tcW w:type="dxa" w:w="2800"/>
            <w:tcBorders>
              <w:top w:val="single" w:color="D1D5DB" w:sz="1"/>
              <w:left w:val="single" w:color="D1D5DB" w:sz="1"/>
              <w:bottom w:val="single" w:color="D1D5DB" w:sz="1"/>
              <w:right w:val="single" w:color="D1D5DB" w:sz="1"/>
            </w:tcBorders>
            <w:shd w:fill="0A1628" w:val="clear"/>
            <w:tcMar>
              <w:top w:type="dxa" w:w="80"/>
              <w:left w:type="dxa" w:w="100"/>
              <w:bottom w:type="dxa" w:w="80"/>
              <w:right w:type="dxa" w:w="100"/>
            </w:tcMar>
          </w:tcPr>
          <w:p>
            <w:r>
              <w:rPr>
                <w:rFonts w:ascii="Arial" w:cs="Arial" w:eastAsia="Arial" w:hAnsi="Arial"/>
                <w:b/>
                <w:bCs/>
                <w:color w:val="FFFFFF"/>
                <w:sz w:val="18"/>
                <w:szCs w:val="18"/>
              </w:rPr>
              <w:t xml:space="preserve">Cost Component</w:t>
            </w:r>
          </w:p>
        </w:tc>
        <w:tc>
          <w:tcPr>
            <w:tcW w:type="dxa" w:w="1640"/>
            <w:tcBorders>
              <w:top w:val="single" w:color="D1D5DB" w:sz="1"/>
              <w:left w:val="single" w:color="D1D5DB" w:sz="1"/>
              <w:bottom w:val="single" w:color="D1D5DB" w:sz="1"/>
              <w:right w:val="single" w:color="D1D5DB" w:sz="1"/>
            </w:tcBorders>
            <w:shd w:fill="0A1628" w:val="clear"/>
            <w:tcMar>
              <w:top w:type="dxa" w:w="80"/>
              <w:left w:type="dxa" w:w="100"/>
              <w:bottom w:type="dxa" w:w="80"/>
              <w:right w:type="dxa" w:w="100"/>
            </w:tcMar>
          </w:tcPr>
          <w:p>
            <w:r>
              <w:rPr>
                <w:rFonts w:ascii="Arial" w:cs="Arial" w:eastAsia="Arial" w:hAnsi="Arial"/>
                <w:b/>
                <w:bCs/>
                <w:color w:val="FFFFFF"/>
                <w:sz w:val="18"/>
                <w:szCs w:val="18"/>
              </w:rPr>
              <w:t xml:space="preserve">Free</w:t>
            </w:r>
          </w:p>
        </w:tc>
        <w:tc>
          <w:tcPr>
            <w:tcW w:type="dxa" w:w="1640"/>
            <w:tcBorders>
              <w:top w:val="single" w:color="D1D5DB" w:sz="1"/>
              <w:left w:val="single" w:color="D1D5DB" w:sz="1"/>
              <w:bottom w:val="single" w:color="D1D5DB" w:sz="1"/>
              <w:right w:val="single" w:color="D1D5DB" w:sz="1"/>
            </w:tcBorders>
            <w:shd w:fill="0A1628" w:val="clear"/>
            <w:tcMar>
              <w:top w:type="dxa" w:w="80"/>
              <w:left w:type="dxa" w:w="100"/>
              <w:bottom w:type="dxa" w:w="80"/>
              <w:right w:type="dxa" w:w="100"/>
            </w:tcMar>
          </w:tcPr>
          <w:p>
            <w:r>
              <w:rPr>
                <w:rFonts w:ascii="Arial" w:cs="Arial" w:eastAsia="Arial" w:hAnsi="Arial"/>
                <w:b/>
                <w:bCs/>
                <w:color w:val="FFFFFF"/>
                <w:sz w:val="18"/>
                <w:szCs w:val="18"/>
              </w:rPr>
              <w:t xml:space="preserve">Starter Rs 399</w:t>
            </w:r>
          </w:p>
        </w:tc>
        <w:tc>
          <w:tcPr>
            <w:tcW w:type="dxa" w:w="1640"/>
            <w:tcBorders>
              <w:top w:val="single" w:color="D1D5DB" w:sz="1"/>
              <w:left w:val="single" w:color="D1D5DB" w:sz="1"/>
              <w:bottom w:val="single" w:color="D1D5DB" w:sz="1"/>
              <w:right w:val="single" w:color="D1D5DB" w:sz="1"/>
            </w:tcBorders>
            <w:shd w:fill="0A1628" w:val="clear"/>
            <w:tcMar>
              <w:top w:type="dxa" w:w="80"/>
              <w:left w:type="dxa" w:w="100"/>
              <w:bottom w:type="dxa" w:w="80"/>
              <w:right w:type="dxa" w:w="100"/>
            </w:tcMar>
          </w:tcPr>
          <w:p>
            <w:r>
              <w:rPr>
                <w:rFonts w:ascii="Arial" w:cs="Arial" w:eastAsia="Arial" w:hAnsi="Arial"/>
                <w:b/>
                <w:bCs/>
                <w:color w:val="FFFFFF"/>
                <w:sz w:val="18"/>
                <w:szCs w:val="18"/>
              </w:rPr>
              <w:t xml:space="preserve">Pro Rs 999</w:t>
            </w:r>
          </w:p>
        </w:tc>
        <w:tc>
          <w:tcPr>
            <w:tcW w:type="dxa" w:w="1640"/>
            <w:tcBorders>
              <w:top w:val="single" w:color="D1D5DB" w:sz="1"/>
              <w:left w:val="single" w:color="D1D5DB" w:sz="1"/>
              <w:bottom w:val="single" w:color="D1D5DB" w:sz="1"/>
              <w:right w:val="single" w:color="D1D5DB" w:sz="1"/>
            </w:tcBorders>
            <w:shd w:fill="0A1628" w:val="clear"/>
            <w:tcMar>
              <w:top w:type="dxa" w:w="80"/>
              <w:left w:type="dxa" w:w="100"/>
              <w:bottom w:type="dxa" w:w="80"/>
              <w:right w:type="dxa" w:w="100"/>
            </w:tcMar>
          </w:tcPr>
          <w:p>
            <w:r>
              <w:rPr>
                <w:rFonts w:ascii="Arial" w:cs="Arial" w:eastAsia="Arial" w:hAnsi="Arial"/>
                <w:b/>
                <w:bCs/>
                <w:color w:val="FFFFFF"/>
                <w:sz w:val="18"/>
                <w:szCs w:val="18"/>
              </w:rPr>
              <w:t xml:space="preserve">Enterprise Rs 9,999</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11827"/>
                <w:sz w:val="18"/>
                <w:szCs w:val="18"/>
              </w:rPr>
              <w:t xml:space="preserve">WhatsApp messages (Meta WABA)</w:t>
            </w:r>
          </w:p>
        </w:tc>
        <w:tc>
          <w:tcPr>
            <w:tcW w:type="dxa" w:w="16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18"/>
                <w:szCs w:val="18"/>
              </w:rPr>
              <w:t xml:space="preserve">Rs 5</w:t>
            </w:r>
          </w:p>
        </w:tc>
        <w:tc>
          <w:tcPr>
            <w:tcW w:type="dxa" w:w="16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18"/>
                <w:szCs w:val="18"/>
              </w:rPr>
              <w:t xml:space="preserve">Rs 11</w:t>
            </w:r>
          </w:p>
        </w:tc>
        <w:tc>
          <w:tcPr>
            <w:tcW w:type="dxa" w:w="16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18"/>
                <w:szCs w:val="18"/>
              </w:rPr>
              <w:t xml:space="preserve">Rs 79</w:t>
            </w:r>
          </w:p>
        </w:tc>
        <w:tc>
          <w:tcPr>
            <w:tcW w:type="dxa" w:w="16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18"/>
                <w:szCs w:val="18"/>
              </w:rPr>
              <w:t xml:space="preserve">Rs 264</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11827"/>
                <w:sz w:val="18"/>
                <w:szCs w:val="18"/>
              </w:rPr>
              <w:t xml:space="preserve">Infrastructure (Supabase+Vercel+Redis)</w:t>
            </w:r>
          </w:p>
        </w:tc>
        <w:tc>
          <w:tcPr>
            <w:tcW w:type="dxa" w:w="16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18"/>
                <w:szCs w:val="18"/>
              </w:rPr>
              <w:t xml:space="preserve">Rs 5</w:t>
            </w:r>
          </w:p>
        </w:tc>
        <w:tc>
          <w:tcPr>
            <w:tcW w:type="dxa" w:w="16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18"/>
                <w:szCs w:val="18"/>
              </w:rPr>
              <w:t xml:space="preserve">Rs 8</w:t>
            </w:r>
          </w:p>
        </w:tc>
        <w:tc>
          <w:tcPr>
            <w:tcW w:type="dxa" w:w="16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18"/>
                <w:szCs w:val="18"/>
              </w:rPr>
              <w:t xml:space="preserve">Rs 12</w:t>
            </w:r>
          </w:p>
        </w:tc>
        <w:tc>
          <w:tcPr>
            <w:tcW w:type="dxa" w:w="16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18"/>
                <w:szCs w:val="18"/>
              </w:rPr>
              <w:t xml:space="preserve">Rs 35</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11827"/>
                <w:sz w:val="18"/>
                <w:szCs w:val="18"/>
              </w:rPr>
              <w:t xml:space="preserve">Customer support (blended)</w:t>
            </w:r>
          </w:p>
        </w:tc>
        <w:tc>
          <w:tcPr>
            <w:tcW w:type="dxa" w:w="16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18"/>
                <w:szCs w:val="18"/>
              </w:rPr>
              <w:t xml:space="preserve">Rs 5</w:t>
            </w:r>
          </w:p>
        </w:tc>
        <w:tc>
          <w:tcPr>
            <w:tcW w:type="dxa" w:w="16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18"/>
                <w:szCs w:val="18"/>
              </w:rPr>
              <w:t xml:space="preserve">Rs 25</w:t>
            </w:r>
          </w:p>
        </w:tc>
        <w:tc>
          <w:tcPr>
            <w:tcW w:type="dxa" w:w="16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18"/>
                <w:szCs w:val="18"/>
              </w:rPr>
              <w:t xml:space="preserve">Rs 25</w:t>
            </w:r>
          </w:p>
        </w:tc>
        <w:tc>
          <w:tcPr>
            <w:tcW w:type="dxa" w:w="16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18"/>
                <w:szCs w:val="18"/>
              </w:rPr>
              <w:t xml:space="preserve">Rs 100</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11827"/>
                <w:sz w:val="18"/>
                <w:szCs w:val="18"/>
              </w:rPr>
              <w:t xml:space="preserve">Razorpay payment gateway (2%+Rs3)</w:t>
            </w:r>
          </w:p>
        </w:tc>
        <w:tc>
          <w:tcPr>
            <w:tcW w:type="dxa" w:w="16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18"/>
                <w:szCs w:val="18"/>
              </w:rPr>
              <w:t xml:space="preserve">Rs 0</w:t>
            </w:r>
          </w:p>
        </w:tc>
        <w:tc>
          <w:tcPr>
            <w:tcW w:type="dxa" w:w="16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18"/>
                <w:szCs w:val="18"/>
              </w:rPr>
              <w:t xml:space="preserve">Rs 11</w:t>
            </w:r>
          </w:p>
        </w:tc>
        <w:tc>
          <w:tcPr>
            <w:tcW w:type="dxa" w:w="16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18"/>
                <w:szCs w:val="18"/>
              </w:rPr>
              <w:t xml:space="preserve">Rs 23</w:t>
            </w:r>
          </w:p>
        </w:tc>
        <w:tc>
          <w:tcPr>
            <w:tcW w:type="dxa" w:w="16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18"/>
                <w:szCs w:val="18"/>
              </w:rPr>
              <w:t xml:space="preserve">Rs 203</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11827"/>
                <w:sz w:val="18"/>
                <w:szCs w:val="18"/>
              </w:rPr>
              <w:t xml:space="preserve">CA commission (blended 40% CA-referred)</w:t>
            </w:r>
          </w:p>
        </w:tc>
        <w:tc>
          <w:tcPr>
            <w:tcW w:type="dxa" w:w="16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18"/>
                <w:szCs w:val="18"/>
              </w:rPr>
              <w:t xml:space="preserve">Rs 0</w:t>
            </w:r>
          </w:p>
        </w:tc>
        <w:tc>
          <w:tcPr>
            <w:tcW w:type="dxa" w:w="16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18"/>
                <w:szCs w:val="18"/>
              </w:rPr>
              <w:t xml:space="preserve">Rs 40</w:t>
            </w:r>
          </w:p>
        </w:tc>
        <w:tc>
          <w:tcPr>
            <w:tcW w:type="dxa" w:w="16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18"/>
                <w:szCs w:val="18"/>
              </w:rPr>
              <w:t xml:space="preserve">Rs 120</w:t>
            </w:r>
          </w:p>
        </w:tc>
        <w:tc>
          <w:tcPr>
            <w:tcW w:type="dxa" w:w="16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18"/>
                <w:szCs w:val="18"/>
              </w:rPr>
              <w:t xml:space="preserve">Rs 800</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111827"/>
                <w:sz w:val="18"/>
                <w:szCs w:val="18"/>
              </w:rPr>
              <w:t xml:space="preserve">Email + miscellaneous</w:t>
            </w:r>
          </w:p>
        </w:tc>
        <w:tc>
          <w:tcPr>
            <w:tcW w:type="dxa" w:w="16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18"/>
                <w:szCs w:val="18"/>
              </w:rPr>
              <w:t xml:space="preserve">Rs 0</w:t>
            </w:r>
          </w:p>
        </w:tc>
        <w:tc>
          <w:tcPr>
            <w:tcW w:type="dxa" w:w="16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18"/>
                <w:szCs w:val="18"/>
              </w:rPr>
              <w:t xml:space="preserve">Rs 5</w:t>
            </w:r>
          </w:p>
        </w:tc>
        <w:tc>
          <w:tcPr>
            <w:tcW w:type="dxa" w:w="16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18"/>
                <w:szCs w:val="18"/>
              </w:rPr>
              <w:t xml:space="preserve">Rs 8</w:t>
            </w:r>
          </w:p>
        </w:tc>
        <w:tc>
          <w:tcPr>
            <w:tcW w:type="dxa" w:w="16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18"/>
                <w:szCs w:val="18"/>
              </w:rPr>
              <w:t xml:space="preserve">Rs 20</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111827"/>
                <w:sz w:val="18"/>
                <w:szCs w:val="18"/>
              </w:rPr>
              <w:t xml:space="preserve">TOTAL COST</w:t>
            </w:r>
          </w:p>
        </w:tc>
        <w:tc>
          <w:tcPr>
            <w:tcW w:type="dxa" w:w="16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111827"/>
                <w:sz w:val="18"/>
                <w:szCs w:val="18"/>
              </w:rPr>
              <w:t xml:space="preserve">Rs 15</w:t>
            </w:r>
          </w:p>
        </w:tc>
        <w:tc>
          <w:tcPr>
            <w:tcW w:type="dxa" w:w="16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111827"/>
                <w:sz w:val="18"/>
                <w:szCs w:val="18"/>
              </w:rPr>
              <w:t xml:space="preserve">Rs 100</w:t>
            </w:r>
          </w:p>
        </w:tc>
        <w:tc>
          <w:tcPr>
            <w:tcW w:type="dxa" w:w="16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111827"/>
                <w:sz w:val="18"/>
                <w:szCs w:val="18"/>
              </w:rPr>
              <w:t xml:space="preserve">Rs 267</w:t>
            </w:r>
          </w:p>
        </w:tc>
        <w:tc>
          <w:tcPr>
            <w:tcW w:type="dxa" w:w="16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111827"/>
                <w:sz w:val="18"/>
                <w:szCs w:val="18"/>
              </w:rPr>
              <w:t xml:space="preserve">Rs 1,422</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111827"/>
                <w:sz w:val="18"/>
                <w:szCs w:val="18"/>
              </w:rPr>
              <w:t xml:space="preserve">YOU KEEP (Gross Profit)</w:t>
            </w:r>
          </w:p>
        </w:tc>
        <w:tc>
          <w:tcPr>
            <w:tcW w:type="dxa" w:w="164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b/>
                <w:bCs/>
                <w:color w:val="1A7C4F"/>
                <w:sz w:val="18"/>
                <w:szCs w:val="18"/>
              </w:rPr>
              <w:t xml:space="preserve">- Rs 15</w:t>
            </w:r>
          </w:p>
        </w:tc>
        <w:tc>
          <w:tcPr>
            <w:tcW w:type="dxa" w:w="164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b/>
                <w:bCs/>
                <w:color w:val="1A7C4F"/>
                <w:sz w:val="18"/>
                <w:szCs w:val="18"/>
              </w:rPr>
              <w:t xml:space="preserve">Rs 299</w:t>
            </w:r>
          </w:p>
        </w:tc>
        <w:tc>
          <w:tcPr>
            <w:tcW w:type="dxa" w:w="164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b/>
                <w:bCs/>
                <w:color w:val="1A7C4F"/>
                <w:sz w:val="18"/>
                <w:szCs w:val="18"/>
              </w:rPr>
              <w:t xml:space="preserve">Rs 732</w:t>
            </w:r>
          </w:p>
        </w:tc>
        <w:tc>
          <w:tcPr>
            <w:tcW w:type="dxa" w:w="164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b/>
                <w:bCs/>
                <w:color w:val="1A7C4F"/>
                <w:sz w:val="18"/>
                <w:szCs w:val="18"/>
              </w:rPr>
              <w:t xml:space="preserve">Rs 8,577</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111827"/>
                <w:sz w:val="18"/>
                <w:szCs w:val="18"/>
              </w:rPr>
              <w:t xml:space="preserve">Gross Margin</w:t>
            </w:r>
          </w:p>
        </w:tc>
        <w:tc>
          <w:tcPr>
            <w:tcW w:type="dxa" w:w="16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111827"/>
                <w:sz w:val="18"/>
                <w:szCs w:val="18"/>
              </w:rPr>
              <w:t xml:space="preserve">Loss (intentional)</w:t>
            </w:r>
          </w:p>
        </w:tc>
        <w:tc>
          <w:tcPr>
            <w:tcW w:type="dxa" w:w="16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111827"/>
                <w:sz w:val="18"/>
                <w:szCs w:val="18"/>
              </w:rPr>
              <w:t xml:space="preserve">75%</w:t>
            </w:r>
          </w:p>
        </w:tc>
        <w:tc>
          <w:tcPr>
            <w:tcW w:type="dxa" w:w="16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111827"/>
                <w:sz w:val="18"/>
                <w:szCs w:val="18"/>
              </w:rPr>
              <w:t xml:space="preserve">73%</w:t>
            </w:r>
          </w:p>
        </w:tc>
        <w:tc>
          <w:tcPr>
            <w:tcW w:type="dxa" w:w="16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111827"/>
                <w:sz w:val="18"/>
                <w:szCs w:val="18"/>
              </w:rPr>
              <w:t xml:space="preserve">86%</w:t>
            </w:r>
          </w:p>
        </w:tc>
      </w:tr>
    </w:tbl>
    <w:p>
      <w:pPr>
        <w:spacing w:after="0" w:before="0"/>
      </w:pPr>
      <w:r>
        <w:rPr>
          <w:rFonts w:ascii="Arial" w:cs="Arial" w:eastAsia="Arial" w:hAnsi="Arial"/>
          <w:sz w:val="22"/>
          <w:szCs w:val="22"/>
        </w:rPr>
        <w:t xml:space="preserve"> </w:t>
      </w:r>
    </w:p>
    <w:p>
      <w:pPr>
        <w:pStyle w:val="Heading2"/>
        <w:spacing w:after="120" w:before="280"/>
      </w:pPr>
      <w:r>
        <w:rPr>
          <w:rFonts w:ascii="Arial" w:cs="Arial" w:eastAsia="Arial" w:hAnsi="Arial"/>
          <w:b/>
          <w:bCs/>
          <w:color w:val="1A7C4F"/>
          <w:sz w:val="28"/>
          <w:szCs w:val="28"/>
        </w:rPr>
        <w:t xml:space="preserve">7.2 LTV and Payback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tcPr>
          <w:p>
            <w:r>
              <w:rPr>
                <w:rFonts w:ascii="Arial" w:cs="Arial" w:eastAsia="Arial" w:hAnsi="Arial"/>
                <w:b/>
                <w:bCs/>
                <w:color w:val="FFFFFF"/>
                <w:sz w:val="21"/>
                <w:szCs w:val="21"/>
              </w:rPr>
              <w:t xml:space="preserve">Metric</w:t>
            </w:r>
          </w:p>
        </w:tc>
        <w:tc>
          <w:tcPr>
            <w:tcW w:type="dxa" w:w="576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tcPr>
          <w:p>
            <w:r>
              <w:rPr>
                <w:rFonts w:ascii="Arial" w:cs="Arial" w:eastAsia="Arial" w:hAnsi="Arial"/>
                <w:b/>
                <w:bCs/>
                <w:color w:val="FFFFFF"/>
                <w:sz w:val="21"/>
                <w:szCs w:val="21"/>
              </w:rPr>
              <w:t xml:space="preserve">Value</w:t>
            </w:r>
          </w:p>
        </w:tc>
      </w:tr>
      <w:tr>
        <w:trPr>
          <w:tblHeader w:val="false"/>
        </w:trP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Pro plan average churn rate</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~4% per month</w:t>
            </w:r>
          </w:p>
        </w:tc>
      </w:tr>
      <w:tr>
        <w:trPr>
          <w:tblHeader w:val="false"/>
        </w:trP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Pro plan average customer lifetime</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25 months</w:t>
            </w:r>
          </w:p>
        </w:tc>
      </w:tr>
      <w:tr>
        <w:trPr>
          <w:tblHeader w:val="false"/>
        </w:trP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Pro plan LTV</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25 x Rs 732 = Rs 18,300</w:t>
            </w:r>
          </w:p>
        </w:tc>
      </w:tr>
      <w:tr>
        <w:trPr>
          <w:tblHeader w:val="false"/>
        </w:trP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Blended CAC (word of mouth)</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~Rs 1,500</w:t>
            </w:r>
          </w:p>
        </w:tc>
      </w:tr>
      <w:tr>
        <w:trPr>
          <w:tblHeader w:val="false"/>
        </w:trP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Blended CAC (paid acquisition)</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~Rs 2,000-4,000</w:t>
            </w:r>
          </w:p>
        </w:tc>
      </w:tr>
      <w:tr>
        <w:trPr>
          <w:tblHeader w:val="false"/>
        </w:trP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CAC via CA channel</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Near Rs 0 (CA does the selling)</w:t>
            </w:r>
          </w:p>
        </w:tc>
      </w:tr>
      <w:tr>
        <w:trPr>
          <w:tblHeader w:val="false"/>
        </w:trP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LTV:CAC ratio (organic)</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12:1 (investors want 3:1+)</w:t>
            </w:r>
          </w:p>
        </w:tc>
      </w:tr>
      <w:tr>
        <w:trPr>
          <w:tblHeader w:val="false"/>
        </w:trP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Payback period (Pro, organic)</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~2 months</w:t>
            </w:r>
          </w:p>
        </w:tc>
      </w:tr>
      <w:tr>
        <w:trPr>
          <w:tblHeader w:val="false"/>
        </w:trP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Enterprise LTV (30 months avg)</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30 x Rs 8,577 = Rs 2,57,310</w:t>
            </w:r>
          </w:p>
        </w:tc>
      </w:tr>
    </w:tbl>
    <w:p>
      <w:pPr>
        <w:spacing w:after="0" w:before="0"/>
      </w:pPr>
      <w:r>
        <w:rPr>
          <w:rFonts w:ascii="Arial" w:cs="Arial" w:eastAsia="Arial" w:hAnsi="Arial"/>
          <w:sz w:val="22"/>
          <w:szCs w:val="22"/>
        </w:rPr>
        <w:t xml:space="preserve"> </w:t>
      </w:r>
    </w:p>
    <w:p>
      <w:pPr>
        <w:pStyle w:val="Heading2"/>
        <w:spacing w:after="120" w:before="280"/>
      </w:pPr>
      <w:r>
        <w:rPr>
          <w:rFonts w:ascii="Arial" w:cs="Arial" w:eastAsia="Arial" w:hAnsi="Arial"/>
          <w:b/>
          <w:bCs/>
          <w:color w:val="1A7C4F"/>
          <w:sz w:val="28"/>
          <w:szCs w:val="28"/>
        </w:rPr>
        <w:t xml:space="preserve">7.3 Revenue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tcPr>
          <w:p>
            <w:r>
              <w:rPr>
                <w:rFonts w:ascii="Arial" w:cs="Arial" w:eastAsia="Arial" w:hAnsi="Arial"/>
                <w:b/>
                <w:bCs/>
                <w:color w:val="FFFFFF"/>
                <w:sz w:val="21"/>
                <w:szCs w:val="21"/>
              </w:rPr>
              <w:t xml:space="preserve">Milestone</w:t>
            </w:r>
          </w:p>
        </w:tc>
        <w:tc>
          <w:tcPr>
            <w:tcW w:type="dxa" w:w="576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tcPr>
          <w:p>
            <w:r>
              <w:rPr>
                <w:rFonts w:ascii="Arial" w:cs="Arial" w:eastAsia="Arial" w:hAnsi="Arial"/>
                <w:b/>
                <w:bCs/>
                <w:color w:val="FFFFFF"/>
                <w:sz w:val="21"/>
                <w:szCs w:val="21"/>
              </w:rPr>
              <w:t xml:space="preserve">MRR / ARR</w:t>
            </w:r>
          </w:p>
        </w:tc>
      </w:tr>
      <w:tr>
        <w:trPr>
          <w:tblHeader w:val="false"/>
        </w:trP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500 customers (Month 6)</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~Rs 8.5 lakh MRR / Rs 1 Cr ARR</w:t>
            </w:r>
          </w:p>
        </w:tc>
      </w:tr>
      <w:tr>
        <w:trPr>
          <w:tblHeader w:val="false"/>
        </w:trP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1,000 customers (Month 9-10)</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~Rs 17 lakh MRR / Rs 2 Cr ARR</w:t>
            </w:r>
          </w:p>
        </w:tc>
      </w:tr>
      <w:tr>
        <w:trPr>
          <w:tblHeader w:val="false"/>
        </w:trP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2,000 customers (Month 12-15)</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~Rs 34 lakh MRR / Rs 4 Cr ARR</w:t>
            </w:r>
          </w:p>
        </w:tc>
      </w:tr>
      <w:tr>
        <w:trPr>
          <w:tblHeader w:val="false"/>
        </w:trP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5,000 customers (Month 20-24)</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~Rs 85 lakh MRR / Rs 10 Cr ARR</w:t>
            </w:r>
          </w:p>
        </w:tc>
      </w:tr>
      <w:tr>
        <w:trPr>
          <w:tblHeader w:val="false"/>
        </w:trP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Assumed plan mix</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10% Free / 15% Starter / 65% Pro / 10% Enterprise</w:t>
            </w:r>
          </w:p>
        </w:tc>
      </w:tr>
    </w:tbl>
    <w:p>
      <w:r>
        <w:br w:type="page"/>
      </w:r>
    </w:p>
    <w:p>
      <w:pPr>
        <w:pStyle w:val="Heading1"/>
        <w:spacing w:after="180" w:before="360"/>
      </w:pPr>
      <w:r>
        <w:rPr>
          <w:rFonts w:ascii="Arial" w:cs="Arial" w:eastAsia="Arial" w:hAnsi="Arial"/>
          <w:b/>
          <w:bCs/>
          <w:color w:val="0A1628"/>
          <w:sz w:val="36"/>
          <w:szCs w:val="36"/>
        </w:rPr>
        <w:t xml:space="preserve">8. Target Customers</w:t>
      </w:r>
    </w:p>
    <w:p>
      <w:pPr>
        <w:pStyle w:val="Heading2"/>
        <w:spacing w:after="120" w:before="280"/>
      </w:pPr>
      <w:r>
        <w:rPr>
          <w:rFonts w:ascii="Arial" w:cs="Arial" w:eastAsia="Arial" w:hAnsi="Arial"/>
          <w:b/>
          <w:bCs/>
          <w:color w:val="1A7C4F"/>
          <w:sz w:val="28"/>
          <w:szCs w:val="28"/>
        </w:rPr>
        <w:t xml:space="preserve">8.1 Ideal Customer Profile (ICP)</w:t>
      </w:r>
    </w:p>
    <w:p>
      <w:pPr>
        <w:spacing w:after="60" w:before="60"/>
      </w:pPr>
      <w:r>
        <w:rPr>
          <w:rFonts w:ascii="Arial" w:cs="Arial" w:eastAsia="Arial" w:hAnsi="Arial"/>
          <w:color w:val="111827"/>
          <w:sz w:val="22"/>
          <w:szCs w:val="22"/>
        </w:rPr>
        <w:t xml:space="preserve">Primary ICP: A 35-45 year old distributor or trader in Gujarat, Maharashtra, or Punjab with Rs 1-5 Cr annual turnover, who already uses Tally or WhatsApp Business, has been burned by 3-4 delayed-payment customers, and is referred by someone he trusts (CA or peer).</w:t>
      </w:r>
    </w:p>
    <w:p>
      <w:pPr>
        <w:spacing w:after="0" w:before="0"/>
      </w:pPr>
      <w:r>
        <w:rPr>
          <w:rFonts w:ascii="Arial" w:cs="Arial" w:eastAsia="Arial" w:hAnsi="Arial"/>
          <w:sz w:val="22"/>
          <w:szCs w:val="22"/>
        </w:rPr>
        <w:t xml:space="preserve"> </w:t>
      </w:r>
    </w:p>
    <w:p>
      <w:pPr>
        <w:pStyle w:val="Heading2"/>
        <w:spacing w:after="120" w:before="280"/>
      </w:pPr>
      <w:r>
        <w:rPr>
          <w:rFonts w:ascii="Arial" w:cs="Arial" w:eastAsia="Arial" w:hAnsi="Arial"/>
          <w:b/>
          <w:bCs/>
          <w:color w:val="1A7C4F"/>
          <w:sz w:val="28"/>
          <w:szCs w:val="28"/>
        </w:rPr>
        <w:t xml:space="preserve">8.2 Top Buyer Segments (Ranked by Conversion Probability)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rPr>
          <w:tblHeader/>
        </w:trPr>
        <w:tc>
          <w:tcPr>
            <w:tcW w:type="dxa" w:w="2000"/>
            <w:tcBorders>
              <w:top w:val="single" w:color="D1D5DB" w:sz="1"/>
              <w:left w:val="single" w:color="D1D5DB" w:sz="1"/>
              <w:bottom w:val="single" w:color="D1D5DB" w:sz="1"/>
              <w:right w:val="single" w:color="D1D5DB" w:sz="1"/>
            </w:tcBorders>
            <w:shd w:fill="0A1628" w:val="clear"/>
            <w:tcMar>
              <w:top w:type="dxa" w:w="80"/>
              <w:left w:type="dxa" w:w="100"/>
              <w:bottom w:type="dxa" w:w="80"/>
              <w:right w:type="dxa" w:w="100"/>
            </w:tcMar>
          </w:tcPr>
          <w:p>
            <w:r>
              <w:rPr>
                <w:rFonts w:ascii="Arial" w:cs="Arial" w:eastAsia="Arial" w:hAnsi="Arial"/>
                <w:b/>
                <w:bCs/>
                <w:color w:val="FFFFFF"/>
                <w:sz w:val="20"/>
                <w:szCs w:val="20"/>
              </w:rPr>
              <w:t xml:space="preserve">Segment</w:t>
            </w:r>
          </w:p>
        </w:tc>
        <w:tc>
          <w:tcPr>
            <w:tcW w:type="dxa" w:w="2200"/>
            <w:tcBorders>
              <w:top w:val="single" w:color="D1D5DB" w:sz="1"/>
              <w:left w:val="single" w:color="D1D5DB" w:sz="1"/>
              <w:bottom w:val="single" w:color="D1D5DB" w:sz="1"/>
              <w:right w:val="single" w:color="D1D5DB" w:sz="1"/>
            </w:tcBorders>
            <w:shd w:fill="0A1628" w:val="clear"/>
            <w:tcMar>
              <w:top w:type="dxa" w:w="80"/>
              <w:left w:type="dxa" w:w="100"/>
              <w:bottom w:type="dxa" w:w="80"/>
              <w:right w:type="dxa" w:w="100"/>
            </w:tcMar>
          </w:tcPr>
          <w:p>
            <w:r>
              <w:rPr>
                <w:rFonts w:ascii="Arial" w:cs="Arial" w:eastAsia="Arial" w:hAnsi="Arial"/>
                <w:b/>
                <w:bCs/>
                <w:color w:val="FFFFFF"/>
                <w:sz w:val="20"/>
                <w:szCs w:val="20"/>
              </w:rPr>
              <w:t xml:space="preserve">Businesses in India</w:t>
            </w:r>
          </w:p>
        </w:tc>
        <w:tc>
          <w:tcPr>
            <w:tcW w:type="dxa" w:w="2600"/>
            <w:tcBorders>
              <w:top w:val="single" w:color="D1D5DB" w:sz="1"/>
              <w:left w:val="single" w:color="D1D5DB" w:sz="1"/>
              <w:bottom w:val="single" w:color="D1D5DB" w:sz="1"/>
              <w:right w:val="single" w:color="D1D5DB" w:sz="1"/>
            </w:tcBorders>
            <w:shd w:fill="0A1628" w:val="clear"/>
            <w:tcMar>
              <w:top w:type="dxa" w:w="80"/>
              <w:left w:type="dxa" w:w="100"/>
              <w:bottom w:type="dxa" w:w="80"/>
              <w:right w:type="dxa" w:w="100"/>
            </w:tcMar>
          </w:tcPr>
          <w:p>
            <w:r>
              <w:rPr>
                <w:rFonts w:ascii="Arial" w:cs="Arial" w:eastAsia="Arial" w:hAnsi="Arial"/>
                <w:b/>
                <w:bCs/>
                <w:color w:val="FFFFFF"/>
                <w:sz w:val="20"/>
                <w:szCs w:val="20"/>
              </w:rPr>
              <w:t xml:space="preserve">Likely Plan</w:t>
            </w:r>
          </w:p>
        </w:tc>
        <w:tc>
          <w:tcPr>
            <w:tcW w:type="dxa" w:w="2560"/>
            <w:tcBorders>
              <w:top w:val="single" w:color="D1D5DB" w:sz="1"/>
              <w:left w:val="single" w:color="D1D5DB" w:sz="1"/>
              <w:bottom w:val="single" w:color="D1D5DB" w:sz="1"/>
              <w:right w:val="single" w:color="D1D5DB" w:sz="1"/>
            </w:tcBorders>
            <w:shd w:fill="0A1628" w:val="clear"/>
            <w:tcMar>
              <w:top w:type="dxa" w:w="80"/>
              <w:left w:type="dxa" w:w="100"/>
              <w:bottom w:type="dxa" w:w="80"/>
              <w:right w:type="dxa" w:w="100"/>
            </w:tcMar>
          </w:tcPr>
          <w:p>
            <w:r>
              <w:rPr>
                <w:rFonts w:ascii="Arial" w:cs="Arial" w:eastAsia="Arial" w:hAnsi="Arial"/>
                <w:b/>
                <w:bCs/>
                <w:color w:val="FFFFFF"/>
                <w:sz w:val="20"/>
                <w:szCs w:val="20"/>
              </w:rPr>
              <w:t xml:space="preserve">Conversion Probability</w:t>
            </w:r>
          </w:p>
        </w:tc>
      </w:tr>
      <w:tr>
        <w:trPr>
          <w:tblHeader w:val="false"/>
        </w:trPr>
        <w:tc>
          <w:tcPr>
            <w:tcW w:type="dxa" w:w="20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b w:val="false"/>
                <w:bCs w:val="false"/>
                <w:color w:val="374151"/>
                <w:sz w:val="20"/>
                <w:szCs w:val="20"/>
              </w:rPr>
              <w:t xml:space="preserve">CA-referred customers (any industry)</w:t>
            </w:r>
          </w:p>
        </w:tc>
        <w:tc>
          <w:tcPr>
            <w:tcW w:type="dxa" w:w="2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11827"/>
                <w:sz w:val="20"/>
                <w:szCs w:val="20"/>
              </w:rPr>
              <w:t xml:space="preserve">Via 6 lakh CAs</w:t>
            </w:r>
          </w:p>
        </w:tc>
        <w:tc>
          <w:tcPr>
            <w:tcW w:type="dxa" w:w="26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11827"/>
                <w:sz w:val="20"/>
                <w:szCs w:val="20"/>
              </w:rPr>
              <w:t xml:space="preserve">Pro Rs 999</w:t>
            </w:r>
          </w:p>
        </w:tc>
        <w:tc>
          <w:tcPr>
            <w:tcW w:type="dxa" w:w="25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11827"/>
                <w:sz w:val="20"/>
                <w:szCs w:val="20"/>
              </w:rPr>
              <w:t xml:space="preserve">97%</w:t>
            </w:r>
          </w:p>
        </w:tc>
      </w:tr>
      <w:tr>
        <w:trPr>
          <w:tblHeader w:val="false"/>
        </w:trPr>
        <w:tc>
          <w:tcPr>
            <w:tcW w:type="dxa" w:w="20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b w:val="false"/>
                <w:bCs w:val="false"/>
                <w:color w:val="374151"/>
                <w:sz w:val="20"/>
                <w:szCs w:val="20"/>
              </w:rPr>
              <w:t xml:space="preserve">Pharma distributors &amp; stockists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11827"/>
                <w:sz w:val="20"/>
                <w:szCs w:val="20"/>
              </w:rPr>
              <w:t xml:space="preserve">8.5 lakh</w:t>
            </w:r>
          </w:p>
        </w:tc>
        <w:tc>
          <w:tcPr>
            <w:tcW w:type="dxa" w:w="26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11827"/>
                <w:sz w:val="20"/>
                <w:szCs w:val="20"/>
              </w:rPr>
              <w:t xml:space="preserve">Pro Rs 999</w:t>
            </w:r>
          </w:p>
        </w:tc>
        <w:tc>
          <w:tcPr>
            <w:tcW w:type="dxa" w:w="25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11827"/>
                <w:sz w:val="20"/>
                <w:szCs w:val="20"/>
              </w:rPr>
              <w:t xml:space="preserve">94%</w:t>
            </w:r>
          </w:p>
        </w:tc>
      </w:tr>
      <w:tr>
        <w:trPr>
          <w:tblHeader w:val="false"/>
        </w:trPr>
        <w:tc>
          <w:tcPr>
            <w:tcW w:type="dxa" w:w="20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b w:val="false"/>
                <w:bCs w:val="false"/>
                <w:color w:val="374151"/>
                <w:sz w:val="20"/>
                <w:szCs w:val="20"/>
              </w:rPr>
              <w:t xml:space="preserve">FMCG &amp; grocery distributors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11827"/>
                <w:sz w:val="20"/>
                <w:szCs w:val="20"/>
              </w:rPr>
              <w:t xml:space="preserve">12 lakh+</w:t>
            </w:r>
          </w:p>
        </w:tc>
        <w:tc>
          <w:tcPr>
            <w:tcW w:type="dxa" w:w="26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11827"/>
                <w:sz w:val="20"/>
                <w:szCs w:val="20"/>
              </w:rPr>
              <w:t xml:space="preserve">Pro Rs 999</w:t>
            </w:r>
          </w:p>
        </w:tc>
        <w:tc>
          <w:tcPr>
            <w:tcW w:type="dxa" w:w="25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11827"/>
                <w:sz w:val="20"/>
                <w:szCs w:val="20"/>
              </w:rPr>
              <w:t xml:space="preserve">91%</w:t>
            </w:r>
          </w:p>
        </w:tc>
      </w:tr>
      <w:tr>
        <w:trPr>
          <w:tblHeader w:val="false"/>
        </w:trPr>
        <w:tc>
          <w:tcPr>
            <w:tcW w:type="dxa" w:w="20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b w:val="false"/>
                <w:bCs w:val="false"/>
                <w:color w:val="374151"/>
                <w:sz w:val="20"/>
                <w:szCs w:val="20"/>
              </w:rPr>
              <w:t xml:space="preserve">Textile &amp; garment traders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11827"/>
                <w:sz w:val="20"/>
                <w:szCs w:val="20"/>
              </w:rPr>
              <w:t xml:space="preserve">15 lakh+</w:t>
            </w:r>
          </w:p>
        </w:tc>
        <w:tc>
          <w:tcPr>
            <w:tcW w:type="dxa" w:w="26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11827"/>
                <w:sz w:val="20"/>
                <w:szCs w:val="20"/>
              </w:rPr>
              <w:t xml:space="preserve">Pro Rs 999</w:t>
            </w:r>
          </w:p>
        </w:tc>
        <w:tc>
          <w:tcPr>
            <w:tcW w:type="dxa" w:w="25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11827"/>
                <w:sz w:val="20"/>
                <w:szCs w:val="20"/>
              </w:rPr>
              <w:t xml:space="preserve">88%</w:t>
            </w:r>
          </w:p>
        </w:tc>
      </w:tr>
      <w:tr>
        <w:trPr>
          <w:tblHeader w:val="false"/>
        </w:trPr>
        <w:tc>
          <w:tcPr>
            <w:tcW w:type="dxa" w:w="20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b w:val="false"/>
                <w:bCs w:val="false"/>
                <w:color w:val="374151"/>
                <w:sz w:val="20"/>
                <w:szCs w:val="20"/>
              </w:rPr>
              <w:t xml:space="preserve">Hardware &amp; building material dealers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11827"/>
                <w:sz w:val="20"/>
                <w:szCs w:val="20"/>
              </w:rPr>
              <w:t xml:space="preserve">6 lakh+</w:t>
            </w:r>
          </w:p>
        </w:tc>
        <w:tc>
          <w:tcPr>
            <w:tcW w:type="dxa" w:w="26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11827"/>
                <w:sz w:val="20"/>
                <w:szCs w:val="20"/>
              </w:rPr>
              <w:t xml:space="preserve">Enterprise Rs 9,999</w:t>
            </w:r>
          </w:p>
        </w:tc>
        <w:tc>
          <w:tcPr>
            <w:tcW w:type="dxa" w:w="25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11827"/>
                <w:sz w:val="20"/>
                <w:szCs w:val="20"/>
              </w:rPr>
              <w:t xml:space="preserve">82%</w:t>
            </w:r>
          </w:p>
        </w:tc>
      </w:tr>
      <w:tr>
        <w:trPr>
          <w:tblHeader w:val="false"/>
        </w:trPr>
        <w:tc>
          <w:tcPr>
            <w:tcW w:type="dxa" w:w="20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b w:val="false"/>
                <w:bCs w:val="false"/>
                <w:color w:val="374151"/>
                <w:sz w:val="20"/>
                <w:szCs w:val="20"/>
              </w:rPr>
              <w:t xml:space="preserve">Auto parts distributors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11827"/>
                <w:sz w:val="20"/>
                <w:szCs w:val="20"/>
              </w:rPr>
              <w:t xml:space="preserve">5 lakh+</w:t>
            </w:r>
          </w:p>
        </w:tc>
        <w:tc>
          <w:tcPr>
            <w:tcW w:type="dxa" w:w="26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11827"/>
                <w:sz w:val="20"/>
                <w:szCs w:val="20"/>
              </w:rPr>
              <w:t xml:space="preserve">Pro Rs 999</w:t>
            </w:r>
          </w:p>
        </w:tc>
        <w:tc>
          <w:tcPr>
            <w:tcW w:type="dxa" w:w="25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11827"/>
                <w:sz w:val="20"/>
                <w:szCs w:val="20"/>
              </w:rPr>
              <w:t xml:space="preserve">79%</w:t>
            </w:r>
          </w:p>
        </w:tc>
      </w:tr>
    </w:tbl>
    <w:p>
      <w:pPr>
        <w:spacing w:after="0" w:before="0"/>
      </w:pPr>
      <w:r>
        <w:rPr>
          <w:rFonts w:ascii="Arial" w:cs="Arial" w:eastAsia="Arial" w:hAnsi="Arial"/>
          <w:sz w:val="22"/>
          <w:szCs w:val="22"/>
        </w:rPr>
        <w:t xml:space="preserve"> </w:t>
      </w:r>
    </w:p>
    <w:p>
      <w:pPr>
        <w:pStyle w:val="Heading2"/>
        <w:spacing w:after="120" w:before="280"/>
      </w:pPr>
      <w:r>
        <w:rPr>
          <w:rFonts w:ascii="Arial" w:cs="Arial" w:eastAsia="Arial" w:hAnsi="Arial"/>
          <w:b/>
          <w:bCs/>
          <w:color w:val="1A7C4F"/>
          <w:sz w:val="28"/>
          <w:szCs w:val="28"/>
        </w:rPr>
        <w:t xml:space="preserve">8.3 Geographic Priority (First 3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tcPr>
          <w:p>
            <w:r>
              <w:rPr>
                <w:rFonts w:ascii="Arial" w:cs="Arial" w:eastAsia="Arial" w:hAnsi="Arial"/>
                <w:b/>
                <w:bCs/>
                <w:color w:val="FFFFFF"/>
                <w:sz w:val="21"/>
                <w:szCs w:val="21"/>
              </w:rPr>
              <w:t xml:space="preserve">State</w:t>
            </w:r>
          </w:p>
        </w:tc>
        <w:tc>
          <w:tcPr>
            <w:tcW w:type="dxa" w:w="576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tcPr>
          <w:p>
            <w:r>
              <w:rPr>
                <w:rFonts w:ascii="Arial" w:cs="Arial" w:eastAsia="Arial" w:hAnsi="Arial"/>
                <w:b/>
                <w:bCs/>
                <w:color w:val="FFFFFF"/>
                <w:sz w:val="21"/>
                <w:szCs w:val="21"/>
              </w:rPr>
              <w:t xml:space="preserve">Key Cities + Why</w:t>
            </w:r>
          </w:p>
        </w:tc>
      </w:tr>
      <w:tr>
        <w:trPr>
          <w:tblHeader w:val="false"/>
        </w:trP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Gujarat (Priority 1)</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Surat (textile), Ahmedabad (FMCG/chemicals) — most digitally forward traders, highest payment discipline culture</w:t>
            </w:r>
          </w:p>
        </w:tc>
      </w:tr>
      <w:tr>
        <w:trPr>
          <w:tblHeader w:val="false"/>
        </w:trP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Maharashtra (Priority 1)</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Mumbai, Pune, Nagpur — pharma distribution belt, highest CA density, largest MSME base</w:t>
            </w:r>
          </w:p>
        </w:tc>
      </w:tr>
      <w:tr>
        <w:trPr>
          <w:tblHeader w:val="false"/>
        </w:trP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Punjab (Priority 1)</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Ludhiana (hosiery/bicycle parts), Amritsar — tight cash flow, notoriously delayed payments</w:t>
            </w:r>
          </w:p>
        </w:tc>
      </w:tr>
      <w:tr>
        <w:trPr>
          <w:tblHeader w:val="false"/>
        </w:trP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Delhi NCR (Priority 2)</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Everything market — high disposable income for software but highest competition</w:t>
            </w:r>
          </w:p>
        </w:tc>
      </w:tr>
      <w:tr>
        <w:trPr>
          <w:tblHeader w:val="false"/>
        </w:trP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Tamil Nadu (Priority 2)</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Coimbatore (auto parts), Tiruppur (knitwear) — disciplined traders, high willingness to pay</w:t>
            </w:r>
          </w:p>
        </w:tc>
      </w:tr>
      <w:tr>
        <w:trPr>
          <w:tblHeader w:val="false"/>
        </w:trP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Rajasthan (Priority 2)</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Jaipur (gems/jewellery/textiles) — large credit culture, growing digital adoption</w:t>
            </w:r>
          </w:p>
        </w:tc>
      </w:tr>
    </w:tbl>
    <w:p>
      <w:r>
        <w:br w:type="page"/>
      </w:r>
    </w:p>
    <w:p>
      <w:pPr>
        <w:pStyle w:val="Heading1"/>
        <w:spacing w:after="180" w:before="360"/>
      </w:pPr>
      <w:r>
        <w:rPr>
          <w:rFonts w:ascii="Arial" w:cs="Arial" w:eastAsia="Arial" w:hAnsi="Arial"/>
          <w:b/>
          <w:bCs/>
          <w:color w:val="0A1628"/>
          <w:sz w:val="36"/>
          <w:szCs w:val="36"/>
        </w:rPr>
        <w:t xml:space="preserve">9. Go-to-Market Strategy</w:t>
      </w:r>
    </w:p>
    <w:p>
      <w:pPr>
        <w:pStyle w:val="Heading2"/>
        <w:spacing w:after="120" w:before="280"/>
      </w:pPr>
      <w:r>
        <w:rPr>
          <w:rFonts w:ascii="Arial" w:cs="Arial" w:eastAsia="Arial" w:hAnsi="Arial"/>
          <w:b/>
          <w:bCs/>
          <w:color w:val="1A7C4F"/>
          <w:sz w:val="28"/>
          <w:szCs w:val="28"/>
        </w:rPr>
        <w:t xml:space="preserve">9.1 The Tally Effect — CA-First Distribution</w:t>
      </w:r>
    </w:p>
    <w:p>
      <w:pPr>
        <w:spacing w:after="60" w:before="60"/>
      </w:pPr>
      <w:r>
        <w:rPr>
          <w:rFonts w:ascii="Arial" w:cs="Arial" w:eastAsia="Arial" w:hAnsi="Arial"/>
          <w:color w:val="111827"/>
          <w:sz w:val="22"/>
          <w:szCs w:val="22"/>
        </w:rPr>
        <w:t xml:space="preserve">Tally became India's dominant accounting software because every CA recommended it. UdhaarClear will replicate this. The strategy: get 50 CAs onboarded before doing any paid marketing. Each CA has 20-50 MSME clients who trust their advice completely. CA recommendation converts at 97%.</w:t>
      </w:r>
    </w:p>
    <w:p>
      <w:pPr>
        <w:spacing w:after="0" w:before="0"/>
      </w:pPr>
      <w:r>
        <w:rPr>
          <w:rFonts w:ascii="Arial" w:cs="Arial" w:eastAsia="Arial" w:hAnsi="Arial"/>
          <w:sz w:val="22"/>
          <w:szCs w:val="22"/>
        </w:rPr>
        <w:t xml:space="preserve"> </w:t>
      </w:r>
    </w:p>
    <w:p>
      <w:pPr>
        <w:pStyle w:val="Heading2"/>
        <w:spacing w:after="120" w:before="280"/>
      </w:pPr>
      <w:r>
        <w:rPr>
          <w:rFonts w:ascii="Arial" w:cs="Arial" w:eastAsia="Arial" w:hAnsi="Arial"/>
          <w:b/>
          <w:bCs/>
          <w:color w:val="1A7C4F"/>
          <w:sz w:val="28"/>
          <w:szCs w:val="28"/>
        </w:rPr>
        <w:t xml:space="preserve">9.2 Acquisition Channels (Ranked by ROI)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tcPr>
          <w:p>
            <w:r>
              <w:rPr>
                <w:rFonts w:ascii="Arial" w:cs="Arial" w:eastAsia="Arial" w:hAnsi="Arial"/>
                <w:b/>
                <w:bCs/>
                <w:color w:val="FFFFFF"/>
                <w:sz w:val="21"/>
                <w:szCs w:val="21"/>
              </w:rPr>
              <w:t xml:space="preserve">Channel</w:t>
            </w:r>
          </w:p>
        </w:tc>
        <w:tc>
          <w:tcPr>
            <w:tcW w:type="dxa" w:w="576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tcPr>
          <w:p>
            <w:r>
              <w:rPr>
                <w:rFonts w:ascii="Arial" w:cs="Arial" w:eastAsia="Arial" w:hAnsi="Arial"/>
                <w:b/>
                <w:bCs/>
                <w:color w:val="FFFFFF"/>
                <w:sz w:val="21"/>
                <w:szCs w:val="21"/>
              </w:rPr>
              <w:t xml:space="preserve">Why It Works</w:t>
            </w:r>
          </w:p>
        </w:tc>
      </w:tr>
      <w:tr>
        <w:trPr>
          <w:tblHeader w:val="false"/>
        </w:trP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CA partner program</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Zero CAC + pre-sold customers + trust transfer. One CA = 20 paid signups at 97% conversion.</w:t>
            </w:r>
          </w:p>
        </w:tc>
      </w:tr>
      <w:tr>
        <w:trPr>
          <w:tblHeader w:val="false"/>
        </w:trP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Trader WhatsApp groups</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A single recovery success story shared in a Surat textile WhatsApp group can drive 50+ signups. This is how Indian MSMEs discover tools.</w:t>
            </w:r>
          </w:p>
        </w:tc>
      </w:tr>
      <w:tr>
        <w:trPr>
          <w:tblHeader w:val="false"/>
        </w:trP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Recovery stat card virality</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After a successful recovery, users get a shareable card: "I recovered Rs 4.7 lakh this month with UdhaarClear." This turns every happy customer into a referral engine.</w:t>
            </w:r>
          </w:p>
        </w:tc>
      </w:tr>
      <w:tr>
        <w:trPr>
          <w:tblHeader w:val="false"/>
        </w:trP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Industry association demos</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AIOCD (chemists), CAIT (traders), ACMA (auto parts) — one chapter demo = 50+ signups. Target association secretaries first.</w:t>
            </w:r>
          </w:p>
        </w:tc>
      </w:tr>
      <w:tr>
        <w:trPr>
          <w:tblHeader w:val="false"/>
        </w:trP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Tally dealer network</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Tally has 28,000+ resellers/dealers in India. Partner with them to offer UdhaarClear as a complementary tool to their existing Tally clients.</w:t>
            </w:r>
          </w:p>
        </w:tc>
      </w:tr>
      <w:tr>
        <w:trPr>
          <w:tblHeader w:val="false"/>
        </w:trP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Google search (long-term)</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"Invoice recovery India", "how to recover payment from customer India" — high-intent, low-competition keywords. Content strategy starts Month 2.</w:t>
            </w:r>
          </w:p>
        </w:tc>
      </w:tr>
    </w:tbl>
    <w:p>
      <w:pPr>
        <w:spacing w:after="0" w:before="0"/>
      </w:pPr>
      <w:r>
        <w:rPr>
          <w:rFonts w:ascii="Arial" w:cs="Arial" w:eastAsia="Arial" w:hAnsi="Arial"/>
          <w:sz w:val="22"/>
          <w:szCs w:val="22"/>
        </w:rPr>
        <w:t xml:space="preserve"> </w:t>
      </w:r>
    </w:p>
    <w:p>
      <w:pPr>
        <w:pStyle w:val="Heading2"/>
        <w:spacing w:after="120" w:before="280"/>
      </w:pPr>
      <w:r>
        <w:rPr>
          <w:rFonts w:ascii="Arial" w:cs="Arial" w:eastAsia="Arial" w:hAnsi="Arial"/>
          <w:b/>
          <w:bCs/>
          <w:color w:val="1A7C4F"/>
          <w:sz w:val="28"/>
          <w:szCs w:val="28"/>
        </w:rPr>
        <w:t xml:space="preserve">9.3 The Buyer Viral Loop</w:t>
      </w:r>
    </w:p>
    <w:p>
      <w:pPr>
        <w:spacing w:after="60" w:before="60"/>
      </w:pPr>
      <w:r>
        <w:rPr>
          <w:rFonts w:ascii="Arial" w:cs="Arial" w:eastAsia="Arial" w:hAnsi="Arial"/>
          <w:color w:val="111827"/>
          <w:sz w:val="22"/>
          <w:szCs w:val="22"/>
        </w:rPr>
        <w:t xml:space="preserve">When a buyer pays via UdhaarClear, they see: "Do YOUR customers owe you money? Try UdhaarClear free." This is the product's built-in growth engine. Every payment processed is a distribution event. A buyer who becomes a seller brings their own buyers into the network, and so on.</w:t>
      </w:r>
    </w:p>
    <w:p>
      <w:pPr>
        <w:spacing w:after="0" w:before="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1A7C4F" w:val="clear"/>
            <w:tcMar>
              <w:top w:type="dxa" w:w="100"/>
              <w:left w:type="dxa" w:w="100"/>
              <w:bottom w:type="dxa" w:w="100"/>
              <w:right w:type="dxa" w:w="100"/>
            </w:tcMar>
          </w:tcPr>
          <w:p>
            <w:r>
              <w:rPr>
                <w:rFonts w:ascii="Arial" w:cs="Arial" w:eastAsia="Arial" w:hAnsi="Arial"/>
                <w:sz w:val="22"/>
                <w:szCs w:val="22"/>
              </w:rPr>
              <w:t xml:space="preserve"/>
            </w:r>
          </w:p>
        </w:tc>
        <w:tc>
          <w:tcPr>
            <w:tcW w:type="dxa" w:w="9000"/>
            <w:tcBorders>
              <w:top w:val="none" w:color="FFFFFF" w:sz="0"/>
              <w:left w:val="none" w:color="FFFFFF" w:sz="0"/>
              <w:bottom w:val="none" w:color="FFFFFF" w:sz="0"/>
              <w:right w:val="none" w:color="FFFFFF" w:sz="0"/>
            </w:tcBorders>
            <w:shd w:fill="F0FDF4" w:val="clear"/>
            <w:tcMar>
              <w:top w:type="dxa" w:w="100"/>
              <w:left w:type="dxa" w:w="200"/>
              <w:bottom w:type="dxa" w:w="100"/>
              <w:right w:type="dxa" w:w="100"/>
            </w:tcMar>
          </w:tcPr>
          <w:p>
            <w:pPr>
              <w:spacing w:after="0" w:before="0"/>
            </w:pPr>
            <w:r>
              <w:rPr>
                <w:rFonts w:ascii="Arial" w:cs="Arial" w:eastAsia="Arial" w:hAnsi="Arial"/>
                <w:b/>
                <w:bCs/>
                <w:color w:val="1A7C4F"/>
                <w:sz w:val="22"/>
                <w:szCs w:val="22"/>
              </w:rPr>
              <w:t xml:space="preserve">Growth flywheel: </w:t>
            </w:r>
            <w:r>
              <w:rPr>
                <w:rFonts w:ascii="Arial" w:cs="Arial" w:eastAsia="Arial" w:hAnsi="Arial"/>
                <w:color w:val="374151"/>
                <w:sz w:val="22"/>
                <w:szCs w:val="22"/>
              </w:rPr>
              <w:t xml:space="preserve">Seller uses UdhaarClear -&gt; Buyer pays via UdhaarClear link -&gt; Buyer sees CTA -&gt; Buyer becomes Seller -&gt; New buyers enter network. Each user generates their own downstream users.</w:t>
            </w:r>
          </w:p>
        </w:tc>
      </w:tr>
    </w:tbl>
    <w:p>
      <w:r>
        <w:br w:type="page"/>
      </w:r>
    </w:p>
    <w:p>
      <w:pPr>
        <w:pStyle w:val="Heading1"/>
        <w:spacing w:after="180" w:before="360"/>
      </w:pPr>
      <w:r>
        <w:rPr>
          <w:rFonts w:ascii="Arial" w:cs="Arial" w:eastAsia="Arial" w:hAnsi="Arial"/>
          <w:b/>
          <w:bCs/>
          <w:color w:val="0A1628"/>
          <w:sz w:val="36"/>
          <w:szCs w:val="36"/>
        </w:rPr>
        <w:t xml:space="preserve">10. Technical Architecture</w:t>
      </w:r>
    </w:p>
    <w:p>
      <w:pPr>
        <w:pStyle w:val="Heading2"/>
        <w:spacing w:after="120" w:before="280"/>
      </w:pPr>
      <w:r>
        <w:rPr>
          <w:rFonts w:ascii="Arial" w:cs="Arial" w:eastAsia="Arial" w:hAnsi="Arial"/>
          <w:b/>
          <w:bCs/>
          <w:color w:val="1A7C4F"/>
          <w:sz w:val="28"/>
          <w:szCs w:val="28"/>
        </w:rPr>
        <w:t xml:space="preserve">10.1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tcPr>
          <w:p>
            <w:r>
              <w:rPr>
                <w:rFonts w:ascii="Arial" w:cs="Arial" w:eastAsia="Arial" w:hAnsi="Arial"/>
                <w:b/>
                <w:bCs/>
                <w:color w:val="FFFFFF"/>
                <w:sz w:val="21"/>
                <w:szCs w:val="21"/>
              </w:rPr>
              <w:t xml:space="preserve">Layer</w:t>
            </w:r>
          </w:p>
        </w:tc>
        <w:tc>
          <w:tcPr>
            <w:tcW w:type="dxa" w:w="576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tcPr>
          <w:p>
            <w:r>
              <w:rPr>
                <w:rFonts w:ascii="Arial" w:cs="Arial" w:eastAsia="Arial" w:hAnsi="Arial"/>
                <w:b/>
                <w:bCs/>
                <w:color w:val="FFFFFF"/>
                <w:sz w:val="21"/>
                <w:szCs w:val="21"/>
              </w:rPr>
              <w:t xml:space="preserve">Technology</w:t>
            </w:r>
          </w:p>
        </w:tc>
      </w:tr>
      <w:tr>
        <w:trPr>
          <w:tblHeader w:val="false"/>
        </w:trP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Frontend</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Next.js 16 (App Router) + TypeScript</w:t>
            </w:r>
          </w:p>
        </w:tc>
      </w:tr>
      <w:tr>
        <w:trPr>
          <w:tblHeader w:val="false"/>
        </w:trP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Database</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Supabase (Postgres) + Row Level Security</w:t>
            </w:r>
          </w:p>
        </w:tc>
      </w:tr>
      <w:tr>
        <w:trPr>
          <w:tblHeader w:val="false"/>
        </w:trP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ORM</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Prisma</w:t>
            </w:r>
          </w:p>
        </w:tc>
      </w:tr>
      <w:tr>
        <w:trPr>
          <w:tblHeader w:val="false"/>
        </w:trP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Auth</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Supabase Auth (OTP-based, no passwords)</w:t>
            </w:r>
          </w:p>
        </w:tc>
      </w:tr>
      <w:tr>
        <w:trPr>
          <w:tblHeader w:val="false"/>
        </w:trP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WhatsApp</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Meta WhatsApp Cloud API (WABA)</w:t>
            </w:r>
          </w:p>
        </w:tc>
      </w:tr>
      <w:tr>
        <w:trPr>
          <w:tblHeader w:val="false"/>
        </w:trP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Email</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Resend (transactional fallback)</w:t>
            </w:r>
          </w:p>
        </w:tc>
      </w:tr>
      <w:tr>
        <w:trPr>
          <w:tblHeader w:val="false"/>
        </w:trP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Payments</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Razorpay (subscriptions + buyer payments + Route payouts)</w:t>
            </w:r>
          </w:p>
        </w:tc>
      </w:tr>
      <w:tr>
        <w:trPr>
          <w:tblHeader w:val="false"/>
        </w:trP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Job Queue</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BullMQ + Upstash Redis (scheduled reminder jobs)</w:t>
            </w:r>
          </w:p>
        </w:tc>
      </w:tr>
      <w:tr>
        <w:trPr>
          <w:tblHeader w:val="false"/>
        </w:trP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PDF generation</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react-pdf</w:t>
            </w:r>
          </w:p>
        </w:tc>
      </w:tr>
      <w:tr>
        <w:trPr>
          <w:tblHeader w:val="false"/>
        </w:trP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Hosting</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Vercel (frontend + API routes)</w:t>
            </w:r>
          </w:p>
        </w:tc>
      </w:tr>
      <w:tr>
        <w:trPr>
          <w:tblHeader w:val="false"/>
        </w:trP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Error monitoring</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Sentry</w:t>
            </w:r>
          </w:p>
        </w:tc>
      </w:tr>
      <w:tr>
        <w:trPr>
          <w:tblHeader w:val="false"/>
        </w:trP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Deployment</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CI/CD via GitHub Actions</w:t>
            </w:r>
          </w:p>
        </w:tc>
      </w:tr>
    </w:tbl>
    <w:p>
      <w:pPr>
        <w:spacing w:after="0" w:before="0"/>
      </w:pPr>
      <w:r>
        <w:rPr>
          <w:rFonts w:ascii="Arial" w:cs="Arial" w:eastAsia="Arial" w:hAnsi="Arial"/>
          <w:sz w:val="22"/>
          <w:szCs w:val="22"/>
        </w:rPr>
        <w:t xml:space="preserve"> </w:t>
      </w:r>
    </w:p>
    <w:p>
      <w:pPr>
        <w:pStyle w:val="Heading2"/>
        <w:spacing w:after="120" w:before="280"/>
      </w:pPr>
      <w:r>
        <w:rPr>
          <w:rFonts w:ascii="Arial" w:cs="Arial" w:eastAsia="Arial" w:hAnsi="Arial"/>
          <w:b/>
          <w:bCs/>
          <w:color w:val="1A7C4F"/>
          <w:sz w:val="28"/>
          <w:szCs w:val="28"/>
        </w:rPr>
        <w:t xml:space="preserve">10.2 Production Hardening (Week 1 — Non-Negotiable)</w:t>
      </w:r>
    </w:p>
    <w:p>
      <w:pPr>
        <w:spacing w:after="60" w:before="60"/>
      </w:pPr>
      <w:r>
        <w:rPr>
          <w:rFonts w:ascii="Arial" w:cs="Arial" w:eastAsia="Arial" w:hAnsi="Arial"/>
          <w:color w:val="111827"/>
          <w:sz w:val="22"/>
          <w:szCs w:val="22"/>
        </w:rPr>
        <w:t xml:space="preserve">Before acquiring a single customer, four production hardening tasks must be complete:</w:t>
      </w:r>
    </w:p>
    <w:p>
      <w:pPr>
        <w:pStyle w:val="ListParagraph"/>
        <w:numPr>
          <w:ilvl w:val="0"/>
          <w:numId w:val="2"/>
        </w:numPr>
        <w:spacing w:after="40" w:before="40"/>
      </w:pPr>
      <w:r>
        <w:rPr>
          <w:rFonts w:ascii="Arial" w:cs="Arial" w:eastAsia="Arial" w:hAnsi="Arial"/>
          <w:color w:val="111827"/>
          <w:sz w:val="22"/>
          <w:szCs w:val="22"/>
        </w:rPr>
        <w:t xml:space="preserve">Supabase Row Level Security (RLS) audit on ALL tables — one misconfigured policy = every customer sees every other customer's invoices. This is the #1 security risk.</w:t>
      </w:r>
    </w:p>
    <w:p>
      <w:pPr>
        <w:pStyle w:val="ListParagraph"/>
        <w:numPr>
          <w:ilvl w:val="0"/>
          <w:numId w:val="2"/>
        </w:numPr>
        <w:spacing w:after="40" w:before="40"/>
      </w:pPr>
      <w:r>
        <w:rPr>
          <w:rFonts w:ascii="Arial" w:cs="Arial" w:eastAsia="Arial" w:hAnsi="Arial"/>
          <w:color w:val="111827"/>
          <w:sz w:val="22"/>
          <w:szCs w:val="22"/>
        </w:rPr>
        <w:t xml:space="preserve">Razorpay webhook idempotency keys — prevent duplicate invoice closures from network retries.</w:t>
      </w:r>
    </w:p>
    <w:p>
      <w:pPr>
        <w:pStyle w:val="ListParagraph"/>
        <w:numPr>
          <w:ilvl w:val="0"/>
          <w:numId w:val="2"/>
        </w:numPr>
        <w:spacing w:after="40" w:before="40"/>
      </w:pPr>
      <w:r>
        <w:rPr>
          <w:rFonts w:ascii="Arial" w:cs="Arial" w:eastAsia="Arial" w:hAnsi="Arial"/>
          <w:color w:val="111827"/>
          <w:sz w:val="22"/>
          <w:szCs w:val="22"/>
        </w:rPr>
        <w:t xml:space="preserve">WABA template pre-approval — all 5 reminder phase templates must be Meta-approved before launch. Meta review takes 3-7 days.</w:t>
      </w:r>
    </w:p>
    <w:p>
      <w:pPr>
        <w:pStyle w:val="ListParagraph"/>
        <w:numPr>
          <w:ilvl w:val="0"/>
          <w:numId w:val="2"/>
        </w:numPr>
        <w:spacing w:after="40" w:before="40"/>
      </w:pPr>
      <w:r>
        <w:rPr>
          <w:rFonts w:ascii="Arial" w:cs="Arial" w:eastAsia="Arial" w:hAnsi="Arial"/>
          <w:color w:val="111827"/>
          <w:sz w:val="22"/>
          <w:szCs w:val="22"/>
        </w:rPr>
        <w:t xml:space="preserve">Sentry error tracking — catch production errors before customers report them.</w:t>
      </w:r>
    </w:p>
    <w:p>
      <w:pPr>
        <w:spacing w:after="0" w:before="0"/>
      </w:pPr>
      <w:r>
        <w:rPr>
          <w:rFonts w:ascii="Arial" w:cs="Arial" w:eastAsia="Arial" w:hAnsi="Arial"/>
          <w:sz w:val="22"/>
          <w:szCs w:val="22"/>
        </w:rPr>
        <w:t xml:space="preserve"> </w:t>
      </w:r>
    </w:p>
    <w:p>
      <w:pPr>
        <w:pStyle w:val="Heading2"/>
        <w:spacing w:after="120" w:before="280"/>
      </w:pPr>
      <w:r>
        <w:rPr>
          <w:rFonts w:ascii="Arial" w:cs="Arial" w:eastAsia="Arial" w:hAnsi="Arial"/>
          <w:b/>
          <w:bCs/>
          <w:color w:val="1A7C4F"/>
          <w:sz w:val="28"/>
          <w:szCs w:val="28"/>
        </w:rPr>
        <w:t xml:space="preserve">10.3 CA Verification Flow</w:t>
      </w:r>
    </w:p>
    <w:p>
      <w:pPr>
        <w:spacing w:after="60" w:before="60"/>
      </w:pPr>
      <w:r>
        <w:rPr>
          <w:rFonts w:ascii="Arial" w:cs="Arial" w:eastAsia="Arial" w:hAnsi="Arial"/>
          <w:color w:val="111827"/>
          <w:sz w:val="22"/>
          <w:szCs w:val="22"/>
        </w:rPr>
        <w:t xml:space="preserve">Technical implementation of CA partner verification to prevent fraud:</w:t>
      </w:r>
    </w:p>
    <w:p>
      <w:pPr>
        <w:pStyle w:val="ListParagraph"/>
        <w:numPr>
          <w:ilvl w:val="0"/>
          <w:numId w:val="3"/>
        </w:numPr>
        <w:spacing w:after="30" w:before="30"/>
      </w:pPr>
      <w:r>
        <w:rPr>
          <w:rFonts w:ascii="Arial" w:cs="Arial" w:eastAsia="Arial" w:hAnsi="Arial"/>
          <w:color w:val="374151"/>
          <w:sz w:val="21"/>
          <w:szCs w:val="21"/>
        </w:rPr>
        <w:t xml:space="preserve">CA enters ICAI membership number + COP number on registration form</w:t>
      </w:r>
    </w:p>
    <w:p>
      <w:pPr>
        <w:pStyle w:val="ListParagraph"/>
        <w:numPr>
          <w:ilvl w:val="0"/>
          <w:numId w:val="3"/>
        </w:numPr>
        <w:spacing w:after="30" w:before="30"/>
      </w:pPr>
      <w:r>
        <w:rPr>
          <w:rFonts w:ascii="Arial" w:cs="Arial" w:eastAsia="Arial" w:hAnsi="Arial"/>
          <w:color w:val="374151"/>
          <w:sz w:val="21"/>
          <w:szCs w:val="21"/>
        </w:rPr>
        <w:t xml:space="preserve">Backend calls ICAI online directory (icai.org) to verify membership is active</w:t>
      </w:r>
    </w:p>
    <w:p>
      <w:pPr>
        <w:pStyle w:val="ListParagraph"/>
        <w:numPr>
          <w:ilvl w:val="0"/>
          <w:numId w:val="3"/>
        </w:numPr>
        <w:spacing w:after="30" w:before="30"/>
      </w:pPr>
      <w:r>
        <w:rPr>
          <w:rFonts w:ascii="Arial" w:cs="Arial" w:eastAsia="Arial" w:hAnsi="Arial"/>
          <w:color w:val="374151"/>
          <w:sz w:val="21"/>
          <w:szCs w:val="21"/>
        </w:rPr>
        <w:t xml:space="preserve">If verified: send OTP to CA's mobile number on ICAI record</w:t>
      </w:r>
    </w:p>
    <w:p>
      <w:pPr>
        <w:pStyle w:val="ListParagraph"/>
        <w:numPr>
          <w:ilvl w:val="0"/>
          <w:numId w:val="3"/>
        </w:numPr>
        <w:spacing w:after="30" w:before="30"/>
      </w:pPr>
      <w:r>
        <w:rPr>
          <w:rFonts w:ascii="Arial" w:cs="Arial" w:eastAsia="Arial" w:hAnsi="Arial"/>
          <w:color w:val="374151"/>
          <w:sz w:val="21"/>
          <w:szCs w:val="21"/>
        </w:rPr>
        <w:t xml:space="preserve">CA enters OTP to complete verification</w:t>
      </w:r>
    </w:p>
    <w:p>
      <w:pPr>
        <w:pStyle w:val="ListParagraph"/>
        <w:numPr>
          <w:ilvl w:val="0"/>
          <w:numId w:val="3"/>
        </w:numPr>
        <w:spacing w:after="30" w:before="30"/>
      </w:pPr>
      <w:r>
        <w:rPr>
          <w:rFonts w:ascii="Arial" w:cs="Arial" w:eastAsia="Arial" w:hAnsi="Arial"/>
          <w:color w:val="374151"/>
          <w:sz w:val="21"/>
          <w:szCs w:val="21"/>
        </w:rPr>
        <w:t xml:space="preserve">Status stored as VERIFIED in database — unlocks partner dashboard</w:t>
      </w:r>
    </w:p>
    <w:p>
      <w:pPr>
        <w:pStyle w:val="ListParagraph"/>
        <w:numPr>
          <w:ilvl w:val="0"/>
          <w:numId w:val="3"/>
        </w:numPr>
        <w:spacing w:after="30" w:before="30"/>
      </w:pPr>
      <w:r>
        <w:rPr>
          <w:rFonts w:ascii="Arial" w:cs="Arial" w:eastAsia="Arial" w:hAnsi="Arial"/>
          <w:color w:val="374151"/>
          <w:sz w:val="21"/>
          <w:szCs w:val="21"/>
        </w:rPr>
        <w:t xml:space="preserve">Referral link generated with unique CA code (last-touch attribution, permanent)</w:t>
      </w:r>
    </w:p>
    <w:p>
      <w:r>
        <w:br w:type="page"/>
      </w:r>
    </w:p>
    <w:p>
      <w:pPr>
        <w:pStyle w:val="Heading1"/>
        <w:spacing w:after="180" w:before="360"/>
      </w:pPr>
      <w:r>
        <w:rPr>
          <w:rFonts w:ascii="Arial" w:cs="Arial" w:eastAsia="Arial" w:hAnsi="Arial"/>
          <w:b/>
          <w:bCs/>
          <w:color w:val="0A1628"/>
          <w:sz w:val="36"/>
          <w:szCs w:val="36"/>
        </w:rPr>
        <w:t xml:space="preserve">11. Execution Roadmap (4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0A1628" w:val="clear"/>
            <w:tcMar>
              <w:top w:type="dxa" w:w="100"/>
              <w:left w:type="dxa" w:w="100"/>
              <w:bottom w:type="dxa" w:w="100"/>
              <w:right w:type="dxa" w:w="100"/>
            </w:tcMar>
          </w:tcPr>
          <w:p>
            <w:r>
              <w:rPr>
                <w:rFonts w:ascii="Arial" w:cs="Arial" w:eastAsia="Arial" w:hAnsi="Arial"/>
                <w:sz w:val="22"/>
                <w:szCs w:val="22"/>
              </w:rPr>
              <w:t xml:space="preserve"/>
            </w:r>
          </w:p>
        </w:tc>
        <w:tc>
          <w:tcPr>
            <w:tcW w:type="dxa" w:w="9000"/>
            <w:tcBorders>
              <w:top w:val="none" w:color="FFFFFF" w:sz="0"/>
              <w:left w:val="none" w:color="FFFFFF" w:sz="0"/>
              <w:bottom w:val="none" w:color="FFFFFF" w:sz="0"/>
              <w:right w:val="none" w:color="FFFFFF" w:sz="0"/>
            </w:tcBorders>
            <w:shd w:fill="F0FDF4" w:val="clear"/>
            <w:tcMar>
              <w:top w:type="dxa" w:w="100"/>
              <w:left w:type="dxa" w:w="200"/>
              <w:bottom w:type="dxa" w:w="100"/>
              <w:right w:type="dxa" w:w="100"/>
            </w:tcMar>
          </w:tcPr>
          <w:p>
            <w:pPr>
              <w:spacing w:after="0" w:before="0"/>
            </w:pPr>
            <w:r>
              <w:rPr>
                <w:rFonts w:ascii="Arial" w:cs="Arial" w:eastAsia="Arial" w:hAnsi="Arial"/>
                <w:b/>
                <w:bCs/>
                <w:color w:val="0A1628"/>
                <w:sz w:val="22"/>
                <w:szCs w:val="22"/>
              </w:rPr>
              <w:t xml:space="preserve">Principle: </w:t>
            </w:r>
            <w:r>
              <w:rPr>
                <w:rFonts w:ascii="Arial" w:cs="Arial" w:eastAsia="Arial" w:hAnsi="Arial"/>
                <w:color w:val="374151"/>
                <w:sz w:val="22"/>
                <w:szCs w:val="22"/>
              </w:rPr>
              <w:t xml:space="preserve">Ship a working product fast. Get 5 real customers. Let them tell you what to fix. Then build.</w:t>
            </w:r>
          </w:p>
        </w:tc>
      </w:tr>
    </w:tbl>
    <w:p>
      <w:pPr>
        <w:spacing w:after="0" w:before="0"/>
      </w:pPr>
      <w:r>
        <w:rPr>
          <w:rFonts w:ascii="Arial" w:cs="Arial" w:eastAsia="Arial" w:hAnsi="Arial"/>
          <w:sz w:val="22"/>
          <w:szCs w:val="22"/>
        </w:rPr>
        <w:t xml:space="preserve"> </w:t>
      </w:r>
    </w:p>
    <w:p>
      <w:pPr>
        <w:pStyle w:val="Heading2"/>
        <w:spacing w:after="120" w:before="280"/>
      </w:pPr>
      <w:r>
        <w:rPr>
          <w:rFonts w:ascii="Arial" w:cs="Arial" w:eastAsia="Arial" w:hAnsi="Arial"/>
          <w:b/>
          <w:bCs/>
          <w:color w:val="1A7C4F"/>
          <w:sz w:val="28"/>
          <w:szCs w:val="28"/>
        </w:rPr>
        <w:t xml:space="preserve">Month 1 — Foundation (Weeks 1-4)</w:t>
      </w:r>
    </w:p>
    <w:p>
      <w:pPr>
        <w:pStyle w:val="Heading3"/>
        <w:spacing w:after="80" w:before="200"/>
      </w:pPr>
      <w:r>
        <w:rPr>
          <w:rFonts w:ascii="Arial" w:cs="Arial" w:eastAsia="Arial" w:hAnsi="Arial"/>
          <w:b/>
          <w:bCs/>
          <w:color w:val="374151"/>
          <w:sz w:val="24"/>
          <w:szCs w:val="24"/>
        </w:rPr>
        <w:t xml:space="preserve">Week 1 — Production Hardening</w:t>
      </w:r>
    </w:p>
    <w:p>
      <w:pPr>
        <w:pStyle w:val="ListParagraph"/>
        <w:numPr>
          <w:ilvl w:val="0"/>
          <w:numId w:val="2"/>
        </w:numPr>
        <w:spacing w:after="40" w:before="40"/>
      </w:pPr>
      <w:r>
        <w:rPr>
          <w:rFonts w:ascii="Arial" w:cs="Arial" w:eastAsia="Arial" w:hAnsi="Arial"/>
          <w:color w:val="111827"/>
          <w:sz w:val="22"/>
          <w:szCs w:val="22"/>
        </w:rPr>
        <w:t xml:space="preserve">Supabase RLS audit (all tables)</w:t>
      </w:r>
    </w:p>
    <w:p>
      <w:pPr>
        <w:pStyle w:val="ListParagraph"/>
        <w:numPr>
          <w:ilvl w:val="0"/>
          <w:numId w:val="2"/>
        </w:numPr>
        <w:spacing w:after="40" w:before="40"/>
      </w:pPr>
      <w:r>
        <w:rPr>
          <w:rFonts w:ascii="Arial" w:cs="Arial" w:eastAsia="Arial" w:hAnsi="Arial"/>
          <w:color w:val="111827"/>
          <w:sz w:val="22"/>
          <w:szCs w:val="22"/>
        </w:rPr>
        <w:t xml:space="preserve">Razorpay webhook idempotency</w:t>
      </w:r>
    </w:p>
    <w:p>
      <w:pPr>
        <w:pStyle w:val="ListParagraph"/>
        <w:numPr>
          <w:ilvl w:val="0"/>
          <w:numId w:val="2"/>
        </w:numPr>
        <w:spacing w:after="40" w:before="40"/>
      </w:pPr>
      <w:r>
        <w:rPr>
          <w:rFonts w:ascii="Arial" w:cs="Arial" w:eastAsia="Arial" w:hAnsi="Arial"/>
          <w:color w:val="111827"/>
          <w:sz w:val="22"/>
          <w:szCs w:val="22"/>
        </w:rPr>
        <w:t xml:space="preserve">WABA template pre-approval (all 5 phases)</w:t>
      </w:r>
    </w:p>
    <w:p>
      <w:pPr>
        <w:pStyle w:val="ListParagraph"/>
        <w:numPr>
          <w:ilvl w:val="0"/>
          <w:numId w:val="2"/>
        </w:numPr>
        <w:spacing w:after="40" w:before="40"/>
      </w:pPr>
      <w:r>
        <w:rPr>
          <w:rFonts w:ascii="Arial" w:cs="Arial" w:eastAsia="Arial" w:hAnsi="Arial"/>
          <w:color w:val="111827"/>
          <w:sz w:val="22"/>
          <w:szCs w:val="22"/>
        </w:rPr>
        <w:t xml:space="preserve">Sentry error tracking setup</w:t>
      </w:r>
    </w:p>
    <w:p>
      <w:pPr>
        <w:pStyle w:val="Heading3"/>
        <w:spacing w:after="80" w:before="200"/>
      </w:pPr>
      <w:r>
        <w:rPr>
          <w:rFonts w:ascii="Arial" w:cs="Arial" w:eastAsia="Arial" w:hAnsi="Arial"/>
          <w:b/>
          <w:bCs/>
          <w:color w:val="374151"/>
          <w:sz w:val="24"/>
          <w:szCs w:val="24"/>
        </w:rPr>
        <w:t xml:space="preserve">Week 2 — Core Recovery Engine</w:t>
      </w:r>
    </w:p>
    <w:p>
      <w:pPr>
        <w:pStyle w:val="ListParagraph"/>
        <w:numPr>
          <w:ilvl w:val="0"/>
          <w:numId w:val="2"/>
        </w:numPr>
        <w:spacing w:after="40" w:before="40"/>
      </w:pPr>
      <w:r>
        <w:rPr>
          <w:rFonts w:ascii="Arial" w:cs="Arial" w:eastAsia="Arial" w:hAnsi="Arial"/>
          <w:color w:val="111827"/>
          <w:sz w:val="22"/>
          <w:szCs w:val="22"/>
        </w:rPr>
        <w:t xml:space="preserve">Invoice CRUD (web + WhatsApp bot)</w:t>
      </w:r>
    </w:p>
    <w:p>
      <w:pPr>
        <w:pStyle w:val="ListParagraph"/>
        <w:numPr>
          <w:ilvl w:val="0"/>
          <w:numId w:val="2"/>
        </w:numPr>
        <w:spacing w:after="40" w:before="40"/>
      </w:pPr>
      <w:r>
        <w:rPr>
          <w:rFonts w:ascii="Arial" w:cs="Arial" w:eastAsia="Arial" w:hAnsi="Arial"/>
          <w:color w:val="111827"/>
          <w:sz w:val="22"/>
          <w:szCs w:val="22"/>
        </w:rPr>
        <w:t xml:space="preserve">BullMQ job scheduling for reminder sequences</w:t>
      </w:r>
    </w:p>
    <w:p>
      <w:pPr>
        <w:pStyle w:val="ListParagraph"/>
        <w:numPr>
          <w:ilvl w:val="0"/>
          <w:numId w:val="2"/>
        </w:numPr>
        <w:spacing w:after="40" w:before="40"/>
      </w:pPr>
      <w:r>
        <w:rPr>
          <w:rFonts w:ascii="Arial" w:cs="Arial" w:eastAsia="Arial" w:hAnsi="Arial"/>
          <w:color w:val="111827"/>
          <w:sz w:val="22"/>
          <w:szCs w:val="22"/>
        </w:rPr>
        <w:t xml:space="preserve">Basic buyer payment page (UPI + card via Razorpay)</w:t>
      </w:r>
    </w:p>
    <w:p>
      <w:pPr>
        <w:pStyle w:val="Heading3"/>
        <w:spacing w:after="80" w:before="200"/>
      </w:pPr>
      <w:r>
        <w:rPr>
          <w:rFonts w:ascii="Arial" w:cs="Arial" w:eastAsia="Arial" w:hAnsi="Arial"/>
          <w:b/>
          <w:bCs/>
          <w:color w:val="374151"/>
          <w:sz w:val="24"/>
          <w:szCs w:val="24"/>
        </w:rPr>
        <w:t xml:space="preserve">Week 3 — Seller Dashboard</w:t>
      </w:r>
    </w:p>
    <w:p>
      <w:pPr>
        <w:pStyle w:val="ListParagraph"/>
        <w:numPr>
          <w:ilvl w:val="0"/>
          <w:numId w:val="2"/>
        </w:numPr>
        <w:spacing w:after="40" w:before="40"/>
      </w:pPr>
      <w:r>
        <w:rPr>
          <w:rFonts w:ascii="Arial" w:cs="Arial" w:eastAsia="Arial" w:hAnsi="Arial"/>
          <w:color w:val="111827"/>
          <w:sz w:val="22"/>
          <w:szCs w:val="22"/>
        </w:rPr>
        <w:t xml:space="preserve">Outstanding invoices list with ageing</w:t>
      </w:r>
    </w:p>
    <w:p>
      <w:pPr>
        <w:pStyle w:val="ListParagraph"/>
        <w:numPr>
          <w:ilvl w:val="0"/>
          <w:numId w:val="2"/>
        </w:numPr>
        <w:spacing w:after="40" w:before="40"/>
      </w:pPr>
      <w:r>
        <w:rPr>
          <w:rFonts w:ascii="Arial" w:cs="Arial" w:eastAsia="Arial" w:hAnsi="Arial"/>
          <w:color w:val="111827"/>
          <w:sz w:val="22"/>
          <w:szCs w:val="22"/>
        </w:rPr>
        <w:t xml:space="preserve">Manual payment marking ("Ramesh paid Rs 15,000")</w:t>
      </w:r>
    </w:p>
    <w:p>
      <w:pPr>
        <w:pStyle w:val="ListParagraph"/>
        <w:numPr>
          <w:ilvl w:val="0"/>
          <w:numId w:val="2"/>
        </w:numPr>
        <w:spacing w:after="40" w:before="40"/>
      </w:pPr>
      <w:r>
        <w:rPr>
          <w:rFonts w:ascii="Arial" w:cs="Arial" w:eastAsia="Arial" w:hAnsi="Arial"/>
          <w:color w:val="111827"/>
          <w:sz w:val="22"/>
          <w:szCs w:val="22"/>
        </w:rPr>
        <w:t xml:space="preserve">Human gate WhatsApp notification at Day 28</w:t>
      </w:r>
    </w:p>
    <w:p>
      <w:pPr>
        <w:pStyle w:val="Heading3"/>
        <w:spacing w:after="80" w:before="200"/>
      </w:pPr>
      <w:r>
        <w:rPr>
          <w:rFonts w:ascii="Arial" w:cs="Arial" w:eastAsia="Arial" w:hAnsi="Arial"/>
          <w:b/>
          <w:bCs/>
          <w:color w:val="374151"/>
          <w:sz w:val="24"/>
          <w:szCs w:val="24"/>
        </w:rPr>
        <w:t xml:space="preserve">Week 4 — Onboarding &amp; Payments</w:t>
      </w:r>
    </w:p>
    <w:p>
      <w:pPr>
        <w:pStyle w:val="ListParagraph"/>
        <w:numPr>
          <w:ilvl w:val="0"/>
          <w:numId w:val="2"/>
        </w:numPr>
        <w:spacing w:after="40" w:before="40"/>
      </w:pPr>
      <w:r>
        <w:rPr>
          <w:rFonts w:ascii="Arial" w:cs="Arial" w:eastAsia="Arial" w:hAnsi="Arial"/>
          <w:color w:val="111827"/>
          <w:sz w:val="22"/>
          <w:szCs w:val="22"/>
        </w:rPr>
        <w:t xml:space="preserve">Razorpay subscription integration (all 3 paid plans)</w:t>
      </w:r>
    </w:p>
    <w:p>
      <w:pPr>
        <w:pStyle w:val="ListParagraph"/>
        <w:numPr>
          <w:ilvl w:val="0"/>
          <w:numId w:val="2"/>
        </w:numPr>
        <w:spacing w:after="40" w:before="40"/>
      </w:pPr>
      <w:r>
        <w:rPr>
          <w:rFonts w:ascii="Arial" w:cs="Arial" w:eastAsia="Arial" w:hAnsi="Arial"/>
          <w:color w:val="111827"/>
          <w:sz w:val="22"/>
          <w:szCs w:val="22"/>
        </w:rPr>
        <w:t xml:space="preserve">Onboarding flow (5 steps, under 3 minutes)</w:t>
      </w:r>
    </w:p>
    <w:p>
      <w:pPr>
        <w:pStyle w:val="ListParagraph"/>
        <w:numPr>
          <w:ilvl w:val="0"/>
          <w:numId w:val="2"/>
        </w:numPr>
        <w:spacing w:after="40" w:before="40"/>
      </w:pPr>
      <w:r>
        <w:rPr>
          <w:rFonts w:ascii="Arial" w:cs="Arial" w:eastAsia="Arial" w:hAnsi="Arial"/>
          <w:color w:val="111827"/>
          <w:sz w:val="22"/>
          <w:szCs w:val="22"/>
        </w:rPr>
        <w:t xml:space="preserve">Tally CSV import</w:t>
      </w:r>
    </w:p>
    <w:p>
      <w:pPr>
        <w:pStyle w:val="ListParagraph"/>
        <w:numPr>
          <w:ilvl w:val="0"/>
          <w:numId w:val="2"/>
        </w:numPr>
        <w:spacing w:after="40" w:before="40"/>
      </w:pPr>
      <w:r>
        <w:rPr>
          <w:rFonts w:ascii="Arial" w:cs="Arial" w:eastAsia="Arial" w:hAnsi="Arial"/>
          <w:color w:val="111827"/>
          <w:sz w:val="22"/>
          <w:szCs w:val="22"/>
        </w:rPr>
        <w:t xml:space="preserve">Get first 5 paying customers</w:t>
      </w:r>
    </w:p>
    <w:p>
      <w:pPr>
        <w:spacing w:after="0" w:before="0"/>
      </w:pPr>
      <w:r>
        <w:rPr>
          <w:rFonts w:ascii="Arial" w:cs="Arial" w:eastAsia="Arial" w:hAnsi="Arial"/>
          <w:sz w:val="22"/>
          <w:szCs w:val="22"/>
        </w:rPr>
        <w:t xml:space="preserve"> </w:t>
      </w:r>
    </w:p>
    <w:p>
      <w:pPr>
        <w:pStyle w:val="Heading2"/>
        <w:spacing w:after="120" w:before="280"/>
      </w:pPr>
      <w:r>
        <w:rPr>
          <w:rFonts w:ascii="Arial" w:cs="Arial" w:eastAsia="Arial" w:hAnsi="Arial"/>
          <w:b/>
          <w:bCs/>
          <w:color w:val="1A7C4F"/>
          <w:sz w:val="28"/>
          <w:szCs w:val="28"/>
        </w:rPr>
        <w:t xml:space="preserve">Month 2 — CA System &amp; Analytics</w:t>
      </w:r>
    </w:p>
    <w:p>
      <w:pPr>
        <w:pStyle w:val="ListParagraph"/>
        <w:numPr>
          <w:ilvl w:val="0"/>
          <w:numId w:val="2"/>
        </w:numPr>
        <w:spacing w:after="40" w:before="40"/>
      </w:pPr>
      <w:r>
        <w:rPr>
          <w:rFonts w:ascii="Arial" w:cs="Arial" w:eastAsia="Arial" w:hAnsi="Arial"/>
          <w:color w:val="111827"/>
          <w:sz w:val="22"/>
          <w:szCs w:val="22"/>
        </w:rPr>
        <w:t xml:space="preserve">CA registration + ICAI verification flow</w:t>
      </w:r>
    </w:p>
    <w:p>
      <w:pPr>
        <w:pStyle w:val="ListParagraph"/>
        <w:numPr>
          <w:ilvl w:val="0"/>
          <w:numId w:val="2"/>
        </w:numPr>
        <w:spacing w:after="40" w:before="40"/>
      </w:pPr>
      <w:r>
        <w:rPr>
          <w:rFonts w:ascii="Arial" w:cs="Arial" w:eastAsia="Arial" w:hAnsi="Arial"/>
          <w:color w:val="111827"/>
          <w:sz w:val="22"/>
          <w:szCs w:val="22"/>
        </w:rPr>
        <w:t xml:space="preserve">CA referral link generation and attribution</w:t>
      </w:r>
    </w:p>
    <w:p>
      <w:pPr>
        <w:pStyle w:val="ListParagraph"/>
        <w:numPr>
          <w:ilvl w:val="0"/>
          <w:numId w:val="2"/>
        </w:numPr>
        <w:spacing w:after="40" w:before="40"/>
      </w:pPr>
      <w:r>
        <w:rPr>
          <w:rFonts w:ascii="Arial" w:cs="Arial" w:eastAsia="Arial" w:hAnsi="Arial"/>
          <w:color w:val="111827"/>
          <w:sz w:val="22"/>
          <w:szCs w:val="22"/>
        </w:rPr>
        <w:t xml:space="preserve">Razorpay Route integration for CA payouts</w:t>
      </w:r>
    </w:p>
    <w:p>
      <w:pPr>
        <w:pStyle w:val="ListParagraph"/>
        <w:numPr>
          <w:ilvl w:val="0"/>
          <w:numId w:val="2"/>
        </w:numPr>
        <w:spacing w:after="40" w:before="40"/>
      </w:pPr>
      <w:r>
        <w:rPr>
          <w:rFonts w:ascii="Arial" w:cs="Arial" w:eastAsia="Arial" w:hAnsi="Arial"/>
          <w:color w:val="111827"/>
          <w:sz w:val="22"/>
          <w:szCs w:val="22"/>
        </w:rPr>
        <w:t xml:space="preserve">CA earnings dashboard</w:t>
      </w:r>
    </w:p>
    <w:p>
      <w:pPr>
        <w:pStyle w:val="ListParagraph"/>
        <w:numPr>
          <w:ilvl w:val="0"/>
          <w:numId w:val="2"/>
        </w:numPr>
        <w:spacing w:after="40" w:before="40"/>
      </w:pPr>
      <w:r>
        <w:rPr>
          <w:rFonts w:ascii="Arial" w:cs="Arial" w:eastAsia="Arial" w:hAnsi="Arial"/>
          <w:color w:val="111827"/>
          <w:sz w:val="22"/>
          <w:szCs w:val="22"/>
        </w:rPr>
        <w:t xml:space="preserve">Full analytics dashboard (recovery rate, ageing, trends)</w:t>
      </w:r>
    </w:p>
    <w:p>
      <w:pPr>
        <w:pStyle w:val="ListParagraph"/>
        <w:numPr>
          <w:ilvl w:val="0"/>
          <w:numId w:val="2"/>
        </w:numPr>
        <w:spacing w:after="40" w:before="40"/>
      </w:pPr>
      <w:r>
        <w:rPr>
          <w:rFonts w:ascii="Arial" w:cs="Arial" w:eastAsia="Arial" w:hAnsi="Arial"/>
          <w:color w:val="111827"/>
          <w:sz w:val="22"/>
          <w:szCs w:val="22"/>
        </w:rPr>
        <w:t xml:space="preserve">Shareable recovery stat card for virality</w:t>
      </w:r>
    </w:p>
    <w:p>
      <w:pPr>
        <w:pStyle w:val="ListParagraph"/>
        <w:numPr>
          <w:ilvl w:val="0"/>
          <w:numId w:val="2"/>
        </w:numPr>
        <w:spacing w:after="40" w:before="40"/>
      </w:pPr>
      <w:r>
        <w:rPr>
          <w:rFonts w:ascii="Arial" w:cs="Arial" w:eastAsia="Arial" w:hAnsi="Arial"/>
          <w:color w:val="111827"/>
          <w:sz w:val="22"/>
          <w:szCs w:val="22"/>
        </w:rPr>
        <w:t xml:space="preserve">Target: 10 CAs onboarded, 50 paying customers</w:t>
      </w:r>
    </w:p>
    <w:p>
      <w:pPr>
        <w:spacing w:after="0" w:before="0"/>
      </w:pPr>
      <w:r>
        <w:rPr>
          <w:rFonts w:ascii="Arial" w:cs="Arial" w:eastAsia="Arial" w:hAnsi="Arial"/>
          <w:sz w:val="22"/>
          <w:szCs w:val="22"/>
        </w:rPr>
        <w:t xml:space="preserve"> </w:t>
      </w:r>
    </w:p>
    <w:p>
      <w:pPr>
        <w:pStyle w:val="Heading2"/>
        <w:spacing w:after="120" w:before="280"/>
      </w:pPr>
      <w:r>
        <w:rPr>
          <w:rFonts w:ascii="Arial" w:cs="Arial" w:eastAsia="Arial" w:hAnsi="Arial"/>
          <w:b/>
          <w:bCs/>
          <w:color w:val="1A7C4F"/>
          <w:sz w:val="28"/>
          <w:szCs w:val="28"/>
        </w:rPr>
        <w:t xml:space="preserve">Month 3 — Distribution &amp; Growth</w:t>
      </w:r>
    </w:p>
    <w:p>
      <w:pPr>
        <w:pStyle w:val="ListParagraph"/>
        <w:numPr>
          <w:ilvl w:val="0"/>
          <w:numId w:val="2"/>
        </w:numPr>
        <w:spacing w:after="40" w:before="40"/>
      </w:pPr>
      <w:r>
        <w:rPr>
          <w:rFonts w:ascii="Arial" w:cs="Arial" w:eastAsia="Arial" w:hAnsi="Arial"/>
          <w:color w:val="111827"/>
          <w:sz w:val="22"/>
          <w:szCs w:val="22"/>
        </w:rPr>
        <w:t xml:space="preserve">Hindi language support (highest-impact single feature for Tier 2 growth)</w:t>
      </w:r>
    </w:p>
    <w:p>
      <w:pPr>
        <w:pStyle w:val="ListParagraph"/>
        <w:numPr>
          <w:ilvl w:val="0"/>
          <w:numId w:val="2"/>
        </w:numPr>
        <w:spacing w:after="40" w:before="40"/>
      </w:pPr>
      <w:r>
        <w:rPr>
          <w:rFonts w:ascii="Arial" w:cs="Arial" w:eastAsia="Arial" w:hAnsi="Arial"/>
          <w:color w:val="111827"/>
          <w:sz w:val="22"/>
          <w:szCs w:val="22"/>
        </w:rPr>
        <w:t xml:space="preserve">Buyer viral loop CTA on payment confirmation page</w:t>
      </w:r>
    </w:p>
    <w:p>
      <w:pPr>
        <w:pStyle w:val="ListParagraph"/>
        <w:numPr>
          <w:ilvl w:val="0"/>
          <w:numId w:val="2"/>
        </w:numPr>
        <w:spacing w:after="40" w:before="40"/>
      </w:pPr>
      <w:r>
        <w:rPr>
          <w:rFonts w:ascii="Arial" w:cs="Arial" w:eastAsia="Arial" w:hAnsi="Arial"/>
          <w:color w:val="111827"/>
          <w:sz w:val="22"/>
          <w:szCs w:val="22"/>
        </w:rPr>
        <w:t xml:space="preserve">Industry association demo circuit (Mumbai, Surat, Ludhiana)</w:t>
      </w:r>
    </w:p>
    <w:p>
      <w:pPr>
        <w:pStyle w:val="ListParagraph"/>
        <w:numPr>
          <w:ilvl w:val="0"/>
          <w:numId w:val="2"/>
        </w:numPr>
        <w:spacing w:after="40" w:before="40"/>
      </w:pPr>
      <w:r>
        <w:rPr>
          <w:rFonts w:ascii="Arial" w:cs="Arial" w:eastAsia="Arial" w:hAnsi="Arial"/>
          <w:color w:val="111827"/>
          <w:sz w:val="22"/>
          <w:szCs w:val="22"/>
        </w:rPr>
        <w:t xml:space="preserve">Content marketing: "How to recover payment from customer in India" — target Google search</w:t>
      </w:r>
    </w:p>
    <w:p>
      <w:pPr>
        <w:pStyle w:val="ListParagraph"/>
        <w:numPr>
          <w:ilvl w:val="0"/>
          <w:numId w:val="2"/>
        </w:numPr>
        <w:spacing w:after="40" w:before="40"/>
      </w:pPr>
      <w:r>
        <w:rPr>
          <w:rFonts w:ascii="Arial" w:cs="Arial" w:eastAsia="Arial" w:hAnsi="Arial"/>
          <w:color w:val="111827"/>
          <w:sz w:val="22"/>
          <w:szCs w:val="22"/>
        </w:rPr>
        <w:t xml:space="preserve">Referral program for sellers (give 1 month free, get 1 month free)</w:t>
      </w:r>
    </w:p>
    <w:p>
      <w:pPr>
        <w:pStyle w:val="ListParagraph"/>
        <w:numPr>
          <w:ilvl w:val="0"/>
          <w:numId w:val="2"/>
        </w:numPr>
        <w:spacing w:after="40" w:before="40"/>
      </w:pPr>
      <w:r>
        <w:rPr>
          <w:rFonts w:ascii="Arial" w:cs="Arial" w:eastAsia="Arial" w:hAnsi="Arial"/>
          <w:color w:val="111827"/>
          <w:sz w:val="22"/>
          <w:szCs w:val="22"/>
        </w:rPr>
        <w:t xml:space="preserve">Target: 200 paying customers, Rs 2 lakh MRR</w:t>
      </w:r>
    </w:p>
    <w:p>
      <w:pPr>
        <w:spacing w:after="0" w:before="0"/>
      </w:pPr>
      <w:r>
        <w:rPr>
          <w:rFonts w:ascii="Arial" w:cs="Arial" w:eastAsia="Arial" w:hAnsi="Arial"/>
          <w:sz w:val="22"/>
          <w:szCs w:val="22"/>
        </w:rPr>
        <w:t xml:space="preserve"> </w:t>
      </w:r>
    </w:p>
    <w:p>
      <w:pPr>
        <w:pStyle w:val="Heading2"/>
        <w:spacing w:after="120" w:before="280"/>
      </w:pPr>
      <w:r>
        <w:rPr>
          <w:rFonts w:ascii="Arial" w:cs="Arial" w:eastAsia="Arial" w:hAnsi="Arial"/>
          <w:b/>
          <w:bCs/>
          <w:color w:val="1A7C4F"/>
          <w:sz w:val="28"/>
          <w:szCs w:val="28"/>
        </w:rPr>
        <w:t xml:space="preserve">Month 4 — Scale &amp; Revenue Features</w:t>
      </w:r>
    </w:p>
    <w:p>
      <w:pPr>
        <w:pStyle w:val="ListParagraph"/>
        <w:numPr>
          <w:ilvl w:val="0"/>
          <w:numId w:val="2"/>
        </w:numPr>
        <w:spacing w:after="40" w:before="40"/>
      </w:pPr>
      <w:r>
        <w:rPr>
          <w:rFonts w:ascii="Arial" w:cs="Arial" w:eastAsia="Arial" w:hAnsi="Arial"/>
          <w:color w:val="111827"/>
          <w:sz w:val="22"/>
          <w:szCs w:val="22"/>
        </w:rPr>
        <w:t xml:space="preserve">Gujarati + Marathi language support (unlocks Gujarat and Maharashtra Tier 2)</w:t>
      </w:r>
    </w:p>
    <w:p>
      <w:pPr>
        <w:pStyle w:val="ListParagraph"/>
        <w:numPr>
          <w:ilvl w:val="0"/>
          <w:numId w:val="2"/>
        </w:numPr>
        <w:spacing w:after="40" w:before="40"/>
      </w:pPr>
      <w:r>
        <w:rPr>
          <w:rFonts w:ascii="Arial" w:cs="Arial" w:eastAsia="Arial" w:hAnsi="Arial"/>
          <w:color w:val="111827"/>
          <w:sz w:val="22"/>
          <w:szCs w:val="22"/>
        </w:rPr>
        <w:t xml:space="preserve">UdhaarClear Score (beta) — show buyer payment history to sellers</w:t>
      </w:r>
    </w:p>
    <w:p>
      <w:pPr>
        <w:pStyle w:val="ListParagraph"/>
        <w:numPr>
          <w:ilvl w:val="0"/>
          <w:numId w:val="2"/>
        </w:numPr>
        <w:spacing w:after="40" w:before="40"/>
      </w:pPr>
      <w:r>
        <w:rPr>
          <w:rFonts w:ascii="Arial" w:cs="Arial" w:eastAsia="Arial" w:hAnsi="Arial"/>
          <w:color w:val="111827"/>
          <w:sz w:val="22"/>
          <w:szCs w:val="22"/>
        </w:rPr>
        <w:t xml:space="preserve">NBFC BNPL integration (first partner signed)</w:t>
      </w:r>
    </w:p>
    <w:p>
      <w:pPr>
        <w:pStyle w:val="ListParagraph"/>
        <w:numPr>
          <w:ilvl w:val="0"/>
          <w:numId w:val="2"/>
        </w:numPr>
        <w:spacing w:after="40" w:before="40"/>
      </w:pPr>
      <w:r>
        <w:rPr>
          <w:rFonts w:ascii="Arial" w:cs="Arial" w:eastAsia="Arial" w:hAnsi="Arial"/>
          <w:color w:val="111827"/>
          <w:sz w:val="22"/>
          <w:szCs w:val="22"/>
        </w:rPr>
        <w:t xml:space="preserve">MSME Samadhaan link at Day 45</w:t>
      </w:r>
    </w:p>
    <w:p>
      <w:pPr>
        <w:pStyle w:val="ListParagraph"/>
        <w:numPr>
          <w:ilvl w:val="0"/>
          <w:numId w:val="2"/>
        </w:numPr>
        <w:spacing w:after="40" w:before="40"/>
      </w:pPr>
      <w:r>
        <w:rPr>
          <w:rFonts w:ascii="Arial" w:cs="Arial" w:eastAsia="Arial" w:hAnsi="Arial"/>
          <w:color w:val="111827"/>
          <w:sz w:val="22"/>
          <w:szCs w:val="22"/>
        </w:rPr>
        <w:t xml:space="preserve">Mobile-optimised PWA (add to home screen)</w:t>
      </w:r>
    </w:p>
    <w:p>
      <w:pPr>
        <w:pStyle w:val="ListParagraph"/>
        <w:numPr>
          <w:ilvl w:val="0"/>
          <w:numId w:val="2"/>
        </w:numPr>
        <w:spacing w:after="40" w:before="40"/>
      </w:pPr>
      <w:r>
        <w:rPr>
          <w:rFonts w:ascii="Arial" w:cs="Arial" w:eastAsia="Arial" w:hAnsi="Arial"/>
          <w:color w:val="111827"/>
          <w:sz w:val="22"/>
          <w:szCs w:val="22"/>
        </w:rPr>
        <w:t xml:space="preserve">Target: 500 paying customers, Rs 8 lakh MRR, first fundraising conversations</w:t>
      </w:r>
    </w:p>
    <w:p>
      <w:r>
        <w:br w:type="page"/>
      </w:r>
    </w:p>
    <w:p>
      <w:pPr>
        <w:pStyle w:val="Heading1"/>
        <w:spacing w:after="180" w:before="360"/>
      </w:pPr>
      <w:r>
        <w:rPr>
          <w:rFonts w:ascii="Arial" w:cs="Arial" w:eastAsia="Arial" w:hAnsi="Arial"/>
          <w:b/>
          <w:bCs/>
          <w:color w:val="0A1628"/>
          <w:sz w:val="36"/>
          <w:szCs w:val="36"/>
        </w:rPr>
        <w:t xml:space="preserve">12. What We Do Better — The Complete List</w:t>
      </w:r>
    </w:p>
    <w:p>
      <w:pPr>
        <w:spacing w:after="60" w:before="60"/>
      </w:pPr>
      <w:r>
        <w:rPr>
          <w:rFonts w:ascii="Arial" w:cs="Arial" w:eastAsia="Arial" w:hAnsi="Arial"/>
          <w:color w:val="111827"/>
          <w:sz w:val="22"/>
          <w:szCs w:val="22"/>
        </w:rPr>
        <w:t xml:space="preserve">Every feature decision should be evaluated against this question: Does this help the seller recover money faster, or does it make the buyer more likely to pay? If neither, defer it.</w:t>
      </w:r>
    </w:p>
    <w:p>
      <w:pPr>
        <w:spacing w:after="0" w:before="0"/>
      </w:pPr>
      <w:r>
        <w:rPr>
          <w:rFonts w:ascii="Arial" w:cs="Arial" w:eastAsia="Arial" w:hAnsi="Arial"/>
          <w:sz w:val="22"/>
          <w:szCs w:val="22"/>
        </w:rPr>
        <w:t xml:space="preserve"> </w:t>
      </w:r>
    </w:p>
    <w:p>
      <w:pPr>
        <w:pStyle w:val="Heading2"/>
        <w:spacing w:after="120" w:before="280"/>
      </w:pPr>
      <w:r>
        <w:rPr>
          <w:rFonts w:ascii="Arial" w:cs="Arial" w:eastAsia="Arial" w:hAnsi="Arial"/>
          <w:b/>
          <w:bCs/>
          <w:color w:val="1A7C4F"/>
          <w:sz w:val="28"/>
          <w:szCs w:val="28"/>
        </w:rPr>
        <w:t xml:space="preserve">12.1 Things No Competitor Does (UdhaarClear Exclusive)</w:t>
      </w:r>
    </w:p>
    <w:p>
      <w:pPr>
        <w:pStyle w:val="ListParagraph"/>
        <w:numPr>
          <w:ilvl w:val="0"/>
          <w:numId w:val="2"/>
        </w:numPr>
        <w:spacing w:after="40" w:before="40"/>
      </w:pPr>
      <w:r>
        <w:rPr>
          <w:rFonts w:ascii="Arial" w:cs="Arial" w:eastAsia="Arial" w:hAnsi="Arial"/>
          <w:b/>
          <w:bCs/>
          <w:color w:val="111827"/>
          <w:sz w:val="22"/>
          <w:szCs w:val="22"/>
        </w:rPr>
        <w:t xml:space="preserve"> — Messages get progressively firmer. No competitor calibrates tone to days-overdue.</w:t>
      </w:r>
      <w:r>
        <w:rPr>
          <w:rFonts w:ascii="Arial" w:cs="Arial" w:eastAsia="Arial" w:hAnsi="Arial"/>
          <w:color w:val="111827"/>
          <w:sz w:val="22"/>
          <w:szCs w:val="22"/>
        </w:rPr>
        <w:t xml:space="preserve">5-phase tonal escalation</w:t>
      </w:r>
    </w:p>
    <w:p>
      <w:pPr>
        <w:pStyle w:val="ListParagraph"/>
        <w:numPr>
          <w:ilvl w:val="0"/>
          <w:numId w:val="2"/>
        </w:numPr>
        <w:spacing w:after="40" w:before="40"/>
      </w:pPr>
      <w:r>
        <w:rPr>
          <w:rFonts w:ascii="Arial" w:cs="Arial" w:eastAsia="Arial" w:hAnsi="Arial"/>
          <w:b/>
          <w:bCs/>
          <w:color w:val="111827"/>
          <w:sz w:val="22"/>
          <w:szCs w:val="22"/>
        </w:rPr>
        <w:t xml:space="preserve"> — No competitor pauses automation and asks for owner permission before legal action.</w:t>
      </w:r>
      <w:r>
        <w:rPr>
          <w:rFonts w:ascii="Arial" w:cs="Arial" w:eastAsia="Arial" w:hAnsi="Arial"/>
          <w:color w:val="111827"/>
          <w:sz w:val="22"/>
          <w:szCs w:val="22"/>
        </w:rPr>
        <w:t xml:space="preserve">Human gate before legal</w:t>
      </w:r>
    </w:p>
    <w:p>
      <w:pPr>
        <w:pStyle w:val="ListParagraph"/>
        <w:numPr>
          <w:ilvl w:val="0"/>
          <w:numId w:val="2"/>
        </w:numPr>
        <w:spacing w:after="40" w:before="40"/>
      </w:pPr>
      <w:r>
        <w:rPr>
          <w:rFonts w:ascii="Arial" w:cs="Arial" w:eastAsia="Arial" w:hAnsi="Arial"/>
          <w:b/>
          <w:bCs/>
          <w:color w:val="111827"/>
          <w:sz w:val="22"/>
          <w:szCs w:val="22"/>
        </w:rPr>
        <w:t xml:space="preserve"> — No competitor builds a buyer-side product. Buyers get a branded, one-tap payment page via WhatsApp.</w:t>
      </w:r>
      <w:r>
        <w:rPr>
          <w:rFonts w:ascii="Arial" w:cs="Arial" w:eastAsia="Arial" w:hAnsi="Arial"/>
          <w:color w:val="111827"/>
          <w:sz w:val="22"/>
          <w:szCs w:val="22"/>
        </w:rPr>
        <w:t xml:space="preserve">Buyer payment experience</w:t>
      </w:r>
    </w:p>
    <w:p>
      <w:pPr>
        <w:pStyle w:val="ListParagraph"/>
        <w:numPr>
          <w:ilvl w:val="0"/>
          <w:numId w:val="2"/>
        </w:numPr>
        <w:spacing w:after="40" w:before="40"/>
      </w:pPr>
      <w:r>
        <w:rPr>
          <w:rFonts w:ascii="Arial" w:cs="Arial" w:eastAsia="Arial" w:hAnsi="Arial"/>
          <w:b/>
          <w:bCs/>
          <w:color w:val="111827"/>
          <w:sz w:val="22"/>
          <w:szCs w:val="22"/>
        </w:rPr>
        <w:t xml:space="preserve"> — No competitor turns the act of paying an invoice into a new customer acquisition event.</w:t>
      </w:r>
      <w:r>
        <w:rPr>
          <w:rFonts w:ascii="Arial" w:cs="Arial" w:eastAsia="Arial" w:hAnsi="Arial"/>
          <w:color w:val="111827"/>
          <w:sz w:val="22"/>
          <w:szCs w:val="22"/>
        </w:rPr>
        <w:t xml:space="preserve">Buyer-to-seller viral loop</w:t>
      </w:r>
    </w:p>
    <w:p>
      <w:pPr>
        <w:pStyle w:val="ListParagraph"/>
        <w:numPr>
          <w:ilvl w:val="0"/>
          <w:numId w:val="2"/>
        </w:numPr>
        <w:spacing w:after="40" w:before="40"/>
      </w:pPr>
      <w:r>
        <w:rPr>
          <w:rFonts w:ascii="Arial" w:cs="Arial" w:eastAsia="Arial" w:hAnsi="Arial"/>
          <w:b/>
          <w:bCs/>
          <w:color w:val="111827"/>
          <w:sz w:val="22"/>
          <w:szCs w:val="22"/>
        </w:rPr>
        <w:t xml:space="preserve"> — No competitor is building a payment behaviour credit score for informal Indian MSMEs.</w:t>
      </w:r>
      <w:r>
        <w:rPr>
          <w:rFonts w:ascii="Arial" w:cs="Arial" w:eastAsia="Arial" w:hAnsi="Arial"/>
          <w:color w:val="111827"/>
          <w:sz w:val="22"/>
          <w:szCs w:val="22"/>
        </w:rPr>
        <w:t xml:space="preserve">B2B credit score</w:t>
      </w:r>
    </w:p>
    <w:p>
      <w:pPr>
        <w:pStyle w:val="ListParagraph"/>
        <w:numPr>
          <w:ilvl w:val="0"/>
          <w:numId w:val="2"/>
        </w:numPr>
        <w:spacing w:after="40" w:before="40"/>
      </w:pPr>
      <w:r>
        <w:rPr>
          <w:rFonts w:ascii="Arial" w:cs="Arial" w:eastAsia="Arial" w:hAnsi="Arial"/>
          <w:b/>
          <w:bCs/>
          <w:color w:val="111827"/>
          <w:sz w:val="22"/>
          <w:szCs w:val="22"/>
        </w:rPr>
        <w:t xml:space="preserve"> — No competitor has structured a meaningful passive income program for CAs.</w:t>
      </w:r>
      <w:r>
        <w:rPr>
          <w:rFonts w:ascii="Arial" w:cs="Arial" w:eastAsia="Arial" w:hAnsi="Arial"/>
          <w:color w:val="111827"/>
          <w:sz w:val="22"/>
          <w:szCs w:val="22"/>
        </w:rPr>
        <w:t xml:space="preserve">CA partner earnings program</w:t>
      </w:r>
    </w:p>
    <w:p>
      <w:pPr>
        <w:pStyle w:val="ListParagraph"/>
        <w:numPr>
          <w:ilvl w:val="0"/>
          <w:numId w:val="2"/>
        </w:numPr>
        <w:spacing w:after="40" w:before="40"/>
      </w:pPr>
      <w:r>
        <w:rPr>
          <w:rFonts w:ascii="Arial" w:cs="Arial" w:eastAsia="Arial" w:hAnsi="Arial"/>
          <w:b/>
          <w:bCs/>
          <w:color w:val="111827"/>
          <w:sz w:val="22"/>
          <w:szCs w:val="22"/>
        </w:rPr>
        <w:t xml:space="preserve"> — No competitor lets you run your entire collection workflow from WhatsApp with natural language commands.</w:t>
      </w:r>
      <w:r>
        <w:rPr>
          <w:rFonts w:ascii="Arial" w:cs="Arial" w:eastAsia="Arial" w:hAnsi="Arial"/>
          <w:color w:val="111827"/>
          <w:sz w:val="22"/>
          <w:szCs w:val="22"/>
        </w:rPr>
        <w:t xml:space="preserve">WhatsApp-first for sellers</w:t>
      </w:r>
    </w:p>
    <w:p>
      <w:pPr>
        <w:spacing w:after="0" w:before="0"/>
      </w:pPr>
      <w:r>
        <w:rPr>
          <w:rFonts w:ascii="Arial" w:cs="Arial" w:eastAsia="Arial" w:hAnsi="Arial"/>
          <w:sz w:val="22"/>
          <w:szCs w:val="22"/>
        </w:rPr>
        <w:t xml:space="preserve"> </w:t>
      </w:r>
    </w:p>
    <w:p>
      <w:pPr>
        <w:pStyle w:val="Heading2"/>
        <w:spacing w:after="120" w:before="280"/>
      </w:pPr>
      <w:r>
        <w:rPr>
          <w:rFonts w:ascii="Arial" w:cs="Arial" w:eastAsia="Arial" w:hAnsi="Arial"/>
          <w:b/>
          <w:bCs/>
          <w:color w:val="1A7C4F"/>
          <w:sz w:val="28"/>
          <w:szCs w:val="28"/>
        </w:rPr>
        <w:t xml:space="preserve">12.2 Improvements Over Individual Competitors</w:t>
      </w:r>
    </w:p>
    <w:p>
      <w:pPr>
        <w:pStyle w:val="Heading3"/>
        <w:spacing w:after="80" w:before="200"/>
      </w:pPr>
      <w:r>
        <w:rPr>
          <w:rFonts w:ascii="Arial" w:cs="Arial" w:eastAsia="Arial" w:hAnsi="Arial"/>
          <w:b/>
          <w:bCs/>
          <w:color w:val="374151"/>
          <w:sz w:val="24"/>
          <w:szCs w:val="24"/>
        </w:rPr>
        <w:t xml:space="preserve">Better than Khatabook</w:t>
      </w:r>
    </w:p>
    <w:p>
      <w:pPr>
        <w:pStyle w:val="ListParagraph"/>
        <w:numPr>
          <w:ilvl w:val="0"/>
          <w:numId w:val="2"/>
        </w:numPr>
        <w:spacing w:after="40" w:before="40"/>
      </w:pPr>
      <w:r>
        <w:rPr>
          <w:rFonts w:ascii="Arial" w:cs="Arial" w:eastAsia="Arial" w:hAnsi="Arial"/>
          <w:color w:val="111827"/>
          <w:sz w:val="22"/>
          <w:szCs w:val="22"/>
        </w:rPr>
        <w:t xml:space="preserve">Actual recovery, not just recording</w:t>
      </w:r>
    </w:p>
    <w:p>
      <w:pPr>
        <w:pStyle w:val="ListParagraph"/>
        <w:numPr>
          <w:ilvl w:val="0"/>
          <w:numId w:val="2"/>
        </w:numPr>
        <w:spacing w:after="40" w:before="40"/>
      </w:pPr>
      <w:r>
        <w:rPr>
          <w:rFonts w:ascii="Arial" w:cs="Arial" w:eastAsia="Arial" w:hAnsi="Arial"/>
          <w:color w:val="111827"/>
          <w:sz w:val="22"/>
          <w:szCs w:val="22"/>
        </w:rPr>
        <w:t xml:space="preserve">5-phase automation vs. one-time SMS</w:t>
      </w:r>
    </w:p>
    <w:p>
      <w:pPr>
        <w:pStyle w:val="ListParagraph"/>
        <w:numPr>
          <w:ilvl w:val="0"/>
          <w:numId w:val="2"/>
        </w:numPr>
        <w:spacing w:after="40" w:before="40"/>
      </w:pPr>
      <w:r>
        <w:rPr>
          <w:rFonts w:ascii="Arial" w:cs="Arial" w:eastAsia="Arial" w:hAnsi="Arial"/>
          <w:color w:val="111827"/>
          <w:sz w:val="22"/>
          <w:szCs w:val="22"/>
        </w:rPr>
        <w:t xml:space="preserve">Buyer payment page (Khatabook has none)</w:t>
      </w:r>
    </w:p>
    <w:p>
      <w:pPr>
        <w:pStyle w:val="ListParagraph"/>
        <w:numPr>
          <w:ilvl w:val="0"/>
          <w:numId w:val="2"/>
        </w:numPr>
        <w:spacing w:after="40" w:before="40"/>
      </w:pPr>
      <w:r>
        <w:rPr>
          <w:rFonts w:ascii="Arial" w:cs="Arial" w:eastAsia="Arial" w:hAnsi="Arial"/>
          <w:color w:val="111827"/>
          <w:sz w:val="22"/>
          <w:szCs w:val="22"/>
        </w:rPr>
        <w:t xml:space="preserve">Human gate safety net</w:t>
      </w:r>
    </w:p>
    <w:p>
      <w:pPr>
        <w:pStyle w:val="ListParagraph"/>
        <w:numPr>
          <w:ilvl w:val="0"/>
          <w:numId w:val="2"/>
        </w:numPr>
        <w:spacing w:after="40" w:before="40"/>
      </w:pPr>
      <w:r>
        <w:rPr>
          <w:rFonts w:ascii="Arial" w:cs="Arial" w:eastAsia="Arial" w:hAnsi="Arial"/>
          <w:color w:val="111827"/>
          <w:sz w:val="22"/>
          <w:szCs w:val="22"/>
        </w:rPr>
        <w:t xml:space="preserve">Analytics that show recovery trends, not just outstanding amounts</w:t>
      </w:r>
    </w:p>
    <w:p>
      <w:pPr>
        <w:pStyle w:val="Heading3"/>
        <w:spacing w:after="80" w:before="200"/>
      </w:pPr>
      <w:r>
        <w:rPr>
          <w:rFonts w:ascii="Arial" w:cs="Arial" w:eastAsia="Arial" w:hAnsi="Arial"/>
          <w:b/>
          <w:bCs/>
          <w:color w:val="374151"/>
          <w:sz w:val="24"/>
          <w:szCs w:val="24"/>
        </w:rPr>
        <w:t xml:space="preserve">Better than Tally</w:t>
      </w:r>
    </w:p>
    <w:p>
      <w:pPr>
        <w:pStyle w:val="ListParagraph"/>
        <w:numPr>
          <w:ilvl w:val="0"/>
          <w:numId w:val="2"/>
        </w:numPr>
        <w:spacing w:after="40" w:before="40"/>
      </w:pPr>
      <w:r>
        <w:rPr>
          <w:rFonts w:ascii="Arial" w:cs="Arial" w:eastAsia="Arial" w:hAnsi="Arial"/>
          <w:color w:val="111827"/>
          <w:sz w:val="22"/>
          <w:szCs w:val="22"/>
        </w:rPr>
        <w:t xml:space="preserve">Recovery workflow built-in (Tally has zero collection capability)</w:t>
      </w:r>
    </w:p>
    <w:p>
      <w:pPr>
        <w:pStyle w:val="ListParagraph"/>
        <w:numPr>
          <w:ilvl w:val="0"/>
          <w:numId w:val="2"/>
        </w:numPr>
        <w:spacing w:after="40" w:before="40"/>
      </w:pPr>
      <w:r>
        <w:rPr>
          <w:rFonts w:ascii="Arial" w:cs="Arial" w:eastAsia="Arial" w:hAnsi="Arial"/>
          <w:color w:val="111827"/>
          <w:sz w:val="22"/>
          <w:szCs w:val="22"/>
        </w:rPr>
        <w:t xml:space="preserve">WhatsApp-native interface (Tally requires a desktop)</w:t>
      </w:r>
    </w:p>
    <w:p>
      <w:pPr>
        <w:pStyle w:val="ListParagraph"/>
        <w:numPr>
          <w:ilvl w:val="0"/>
          <w:numId w:val="2"/>
        </w:numPr>
        <w:spacing w:after="40" w:before="40"/>
      </w:pPr>
      <w:r>
        <w:rPr>
          <w:rFonts w:ascii="Arial" w:cs="Arial" w:eastAsia="Arial" w:hAnsi="Arial"/>
          <w:color w:val="111827"/>
          <w:sz w:val="22"/>
          <w:szCs w:val="22"/>
        </w:rPr>
        <w:t xml:space="preserve">Fraction of the price for the relevant use case</w:t>
      </w:r>
    </w:p>
    <w:p>
      <w:pPr>
        <w:pStyle w:val="ListParagraph"/>
        <w:numPr>
          <w:ilvl w:val="0"/>
          <w:numId w:val="2"/>
        </w:numPr>
        <w:spacing w:after="40" w:before="40"/>
      </w:pPr>
      <w:r>
        <w:rPr>
          <w:rFonts w:ascii="Arial" w:cs="Arial" w:eastAsia="Arial" w:hAnsi="Arial"/>
          <w:color w:val="111827"/>
          <w:sz w:val="22"/>
          <w:szCs w:val="22"/>
        </w:rPr>
        <w:t xml:space="preserve">Tally import means Tally users can use both — UdhaarClear complements Tally</w:t>
      </w:r>
    </w:p>
    <w:p>
      <w:pPr>
        <w:pStyle w:val="Heading3"/>
        <w:spacing w:after="80" w:before="200"/>
      </w:pPr>
      <w:r>
        <w:rPr>
          <w:rFonts w:ascii="Arial" w:cs="Arial" w:eastAsia="Arial" w:hAnsi="Arial"/>
          <w:b/>
          <w:bCs/>
          <w:color w:val="374151"/>
          <w:sz w:val="24"/>
          <w:szCs w:val="24"/>
        </w:rPr>
        <w:t xml:space="preserve">Better than collection agencies</w:t>
      </w:r>
    </w:p>
    <w:p>
      <w:pPr>
        <w:pStyle w:val="ListParagraph"/>
        <w:numPr>
          <w:ilvl w:val="0"/>
          <w:numId w:val="2"/>
        </w:numPr>
        <w:spacing w:after="40" w:before="40"/>
      </w:pPr>
      <w:r>
        <w:rPr>
          <w:rFonts w:ascii="Arial" w:cs="Arial" w:eastAsia="Arial" w:hAnsi="Arial"/>
          <w:color w:val="111827"/>
          <w:sz w:val="22"/>
          <w:szCs w:val="22"/>
        </w:rPr>
        <w:t xml:space="preserve">Rs 999/month vs. 15-30% of recovered amount</w:t>
      </w:r>
    </w:p>
    <w:p>
      <w:pPr>
        <w:pStyle w:val="ListParagraph"/>
        <w:numPr>
          <w:ilvl w:val="0"/>
          <w:numId w:val="2"/>
        </w:numPr>
        <w:spacing w:after="40" w:before="40"/>
      </w:pPr>
      <w:r>
        <w:rPr>
          <w:rFonts w:ascii="Arial" w:cs="Arial" w:eastAsia="Arial" w:hAnsi="Arial"/>
          <w:color w:val="111827"/>
          <w:sz w:val="22"/>
          <w:szCs w:val="22"/>
        </w:rPr>
        <w:t xml:space="preserve">Preserves business relationship (agency does not)</w:t>
      </w:r>
    </w:p>
    <w:p>
      <w:pPr>
        <w:pStyle w:val="ListParagraph"/>
        <w:numPr>
          <w:ilvl w:val="0"/>
          <w:numId w:val="2"/>
        </w:numPr>
        <w:spacing w:after="40" w:before="40"/>
      </w:pPr>
      <w:r>
        <w:rPr>
          <w:rFonts w:ascii="Arial" w:cs="Arial" w:eastAsia="Arial" w:hAnsi="Arial"/>
          <w:color w:val="111827"/>
          <w:sz w:val="22"/>
          <w:szCs w:val="22"/>
        </w:rPr>
        <w:t xml:space="preserve">Same-day action vs. weeks of delay</w:t>
      </w:r>
    </w:p>
    <w:p>
      <w:pPr>
        <w:pStyle w:val="ListParagraph"/>
        <w:numPr>
          <w:ilvl w:val="0"/>
          <w:numId w:val="2"/>
        </w:numPr>
        <w:spacing w:after="40" w:before="40"/>
      </w:pPr>
      <w:r>
        <w:rPr>
          <w:rFonts w:ascii="Arial" w:cs="Arial" w:eastAsia="Arial" w:hAnsi="Arial"/>
          <w:color w:val="111827"/>
          <w:sz w:val="22"/>
          <w:szCs w:val="22"/>
        </w:rPr>
        <w:t xml:space="preserve">Owner retains control at all times</w:t>
      </w:r>
    </w:p>
    <w:p>
      <w:pPr>
        <w:pStyle w:val="Heading3"/>
        <w:spacing w:after="80" w:before="200"/>
      </w:pPr>
      <w:r>
        <w:rPr>
          <w:rFonts w:ascii="Arial" w:cs="Arial" w:eastAsia="Arial" w:hAnsi="Arial"/>
          <w:b/>
          <w:bCs/>
          <w:color w:val="374151"/>
          <w:sz w:val="24"/>
          <w:szCs w:val="24"/>
        </w:rPr>
        <w:t xml:space="preserve">Better than manual WhatsApp follow-up (current behaviour)</w:t>
      </w:r>
    </w:p>
    <w:p>
      <w:pPr>
        <w:pStyle w:val="ListParagraph"/>
        <w:numPr>
          <w:ilvl w:val="0"/>
          <w:numId w:val="2"/>
        </w:numPr>
        <w:spacing w:after="40" w:before="40"/>
      </w:pPr>
      <w:r>
        <w:rPr>
          <w:rFonts w:ascii="Arial" w:cs="Arial" w:eastAsia="Arial" w:hAnsi="Arial"/>
          <w:color w:val="111827"/>
          <w:sz w:val="22"/>
          <w:szCs w:val="22"/>
        </w:rPr>
        <w:t xml:space="preserve">Zero emotional labour — owner never has to personally ask for money</w:t>
      </w:r>
    </w:p>
    <w:p>
      <w:pPr>
        <w:pStyle w:val="ListParagraph"/>
        <w:numPr>
          <w:ilvl w:val="0"/>
          <w:numId w:val="2"/>
        </w:numPr>
        <w:spacing w:after="40" w:before="40"/>
      </w:pPr>
      <w:r>
        <w:rPr>
          <w:rFonts w:ascii="Arial" w:cs="Arial" w:eastAsia="Arial" w:hAnsi="Arial"/>
          <w:color w:val="111827"/>
          <w:sz w:val="22"/>
          <w:szCs w:val="22"/>
        </w:rPr>
        <w:t xml:space="preserve">Consistent, every time — no "I forgot to follow up"</w:t>
      </w:r>
    </w:p>
    <w:p>
      <w:pPr>
        <w:pStyle w:val="ListParagraph"/>
        <w:numPr>
          <w:ilvl w:val="0"/>
          <w:numId w:val="2"/>
        </w:numPr>
        <w:spacing w:after="40" w:before="40"/>
      </w:pPr>
      <w:r>
        <w:rPr>
          <w:rFonts w:ascii="Arial" w:cs="Arial" w:eastAsia="Arial" w:hAnsi="Arial"/>
          <w:color w:val="111827"/>
          <w:sz w:val="22"/>
          <w:szCs w:val="22"/>
        </w:rPr>
        <w:t xml:space="preserve">Professional tone calibrated to relationship age</w:t>
      </w:r>
    </w:p>
    <w:p>
      <w:pPr>
        <w:pStyle w:val="ListParagraph"/>
        <w:numPr>
          <w:ilvl w:val="0"/>
          <w:numId w:val="2"/>
        </w:numPr>
        <w:spacing w:after="40" w:before="40"/>
      </w:pPr>
      <w:r>
        <w:rPr>
          <w:rFonts w:ascii="Arial" w:cs="Arial" w:eastAsia="Arial" w:hAnsi="Arial"/>
          <w:color w:val="111827"/>
          <w:sz w:val="22"/>
          <w:szCs w:val="22"/>
        </w:rPr>
        <w:t xml:space="preserve">Payment link in every message = zero friction for buyer to pay</w:t>
      </w:r>
    </w:p>
    <w:p>
      <w:pPr>
        <w:pStyle w:val="ListParagraph"/>
        <w:numPr>
          <w:ilvl w:val="0"/>
          <w:numId w:val="2"/>
        </w:numPr>
        <w:spacing w:after="40" w:before="40"/>
      </w:pPr>
      <w:r>
        <w:rPr>
          <w:rFonts w:ascii="Arial" w:cs="Arial" w:eastAsia="Arial" w:hAnsi="Arial"/>
          <w:color w:val="111827"/>
          <w:sz w:val="22"/>
          <w:szCs w:val="22"/>
        </w:rPr>
        <w:t xml:space="preserve">Complete audit trail of all communications</w:t>
      </w:r>
    </w:p>
    <w:p>
      <w:r>
        <w:br w:type="page"/>
      </w:r>
    </w:p>
    <w:p>
      <w:pPr>
        <w:pStyle w:val="Heading1"/>
        <w:spacing w:after="180" w:before="360"/>
      </w:pPr>
      <w:r>
        <w:rPr>
          <w:rFonts w:ascii="Arial" w:cs="Arial" w:eastAsia="Arial" w:hAnsi="Arial"/>
          <w:b/>
          <w:bCs/>
          <w:color w:val="0A1628"/>
          <w:sz w:val="36"/>
          <w:szCs w:val="36"/>
        </w:rPr>
        <w:t xml:space="preserve">13. Competitive Moats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tcPr>
          <w:p>
            <w:r>
              <w:rPr>
                <w:rFonts w:ascii="Arial" w:cs="Arial" w:eastAsia="Arial" w:hAnsi="Arial"/>
                <w:b/>
                <w:bCs/>
                <w:color w:val="FFFFFF"/>
                <w:sz w:val="21"/>
                <w:szCs w:val="21"/>
              </w:rPr>
              <w:t xml:space="preserve">Moat Type</w:t>
            </w:r>
          </w:p>
        </w:tc>
        <w:tc>
          <w:tcPr>
            <w:tcW w:type="dxa" w:w="576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tcPr>
          <w:p>
            <w:r>
              <w:rPr>
                <w:rFonts w:ascii="Arial" w:cs="Arial" w:eastAsia="Arial" w:hAnsi="Arial"/>
                <w:b/>
                <w:bCs/>
                <w:color w:val="FFFFFF"/>
                <w:sz w:val="21"/>
                <w:szCs w:val="21"/>
              </w:rPr>
              <w:t xml:space="preserve">How UdhaarClear Builds It</w:t>
            </w:r>
          </w:p>
        </w:tc>
      </w:tr>
      <w:tr>
        <w:trPr>
          <w:tblHeader w:val="false"/>
        </w:trP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Data moat</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Every payment processed = B2B payment behaviour data. At 10,000 businesses and 1 million invoice touchpoints, UdhaarClear becomes India's most comprehensive B2B payment data repository. No competitor can replicate this overnight.</w:t>
            </w:r>
          </w:p>
        </w:tc>
      </w:tr>
      <w:tr>
        <w:trPr>
          <w:tblHeader w:val="false"/>
        </w:trP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Network effects</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The buyer-to-seller loop means each new user brings their own buyers. The UdhaarClear Score becomes more accurate and valuable as the network grows. Sellers who can check a buyer's score before extending credit have no incentive to leave.</w:t>
            </w:r>
          </w:p>
        </w:tc>
      </w:tr>
      <w:tr>
        <w:trPr>
          <w:tblHeader w:val="false"/>
        </w:trP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CA ecosystem lock-in</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6 lakh CAs. If UdhaarClear becomes the tool CAs recommend to all their clients, building a competing CA network from scratch requires years. This is identical to how Tally built its moat.</w:t>
            </w:r>
          </w:p>
        </w:tc>
      </w:tr>
      <w:tr>
        <w:trPr>
          <w:tblHeader w:val="false"/>
        </w:trP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Workflow lock-in</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After 90 days of using UdhaarClear, sellers have all their invoice history, buyer contact data, communication logs, and recovery analytics inside the platform. Switching means losing all of this.</w:t>
            </w:r>
          </w:p>
        </w:tc>
      </w:tr>
      <w:tr>
        <w:trPr>
          <w:tblHeader w:val="false"/>
        </w:trP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Brand trust</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In MSME software, trust is built slowly and lost instantly. Being known as "the tool that recovered Rs 500 Cr for Indian businesses" is a brand position that requires time, not money, to build.</w:t>
            </w:r>
          </w:p>
        </w:tc>
      </w:tr>
      <w:tr>
        <w:trPr>
          <w:tblHeader w:val="false"/>
        </w:trP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Language and localisation</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Hindi + 5 regional languages means UdhaarClear can reach Tier 2 and Tier 3 cities that English-first SaaS tools cannot. This is a structural distribution advantage.</w:t>
            </w:r>
          </w:p>
        </w:tc>
      </w:tr>
    </w:tbl>
    <w:p>
      <w:r>
        <w:br w:type="page"/>
      </w:r>
    </w:p>
    <w:p>
      <w:pPr>
        <w:pStyle w:val="Heading1"/>
        <w:spacing w:after="180" w:before="360"/>
      </w:pPr>
      <w:r>
        <w:rPr>
          <w:rFonts w:ascii="Arial" w:cs="Arial" w:eastAsia="Arial" w:hAnsi="Arial"/>
          <w:b/>
          <w:bCs/>
          <w:color w:val="0A1628"/>
          <w:sz w:val="36"/>
          <w:szCs w:val="36"/>
        </w:rPr>
        <w:t xml:space="preserve">14. Key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560"/>
        <w:gridCol w:w="2200"/>
        <w:gridCol w:w="2000"/>
        <w:gridCol w:w="2200"/>
      </w:tblGrid>
      <w:tr>
        <w:trPr>
          <w:tblHeader/>
        </w:trPr>
        <w:tc>
          <w:tcPr>
            <w:tcW w:type="dxa" w:w="400"/>
            <w:tcBorders>
              <w:top w:val="single" w:color="D1D5DB" w:sz="1"/>
              <w:left w:val="single" w:color="D1D5DB" w:sz="1"/>
              <w:bottom w:val="single" w:color="D1D5DB" w:sz="1"/>
              <w:right w:val="single" w:color="D1D5DB" w:sz="1"/>
            </w:tcBorders>
            <w:shd w:fill="0A1628" w:val="clear"/>
            <w:tcMar>
              <w:top w:type="dxa" w:w="80"/>
              <w:left w:type="dxa" w:w="100"/>
              <w:bottom w:type="dxa" w:w="80"/>
              <w:right w:type="dxa" w:w="100"/>
            </w:tcMar>
          </w:tcPr>
          <w:p>
            <w:r>
              <w:rPr>
                <w:rFonts w:ascii="Arial" w:cs="Arial" w:eastAsia="Arial" w:hAnsi="Arial"/>
                <w:b/>
                <w:bCs/>
                <w:color w:val="FFFFFF"/>
                <w:sz w:val="18"/>
                <w:szCs w:val="18"/>
              </w:rPr>
              <w:t xml:space="preserve">#</w:t>
            </w:r>
          </w:p>
        </w:tc>
        <w:tc>
          <w:tcPr>
            <w:tcW w:type="dxa" w:w="2560"/>
            <w:tcBorders>
              <w:top w:val="single" w:color="D1D5DB" w:sz="1"/>
              <w:left w:val="single" w:color="D1D5DB" w:sz="1"/>
              <w:bottom w:val="single" w:color="D1D5DB" w:sz="1"/>
              <w:right w:val="single" w:color="D1D5DB" w:sz="1"/>
            </w:tcBorders>
            <w:shd w:fill="0A1628" w:val="clear"/>
            <w:tcMar>
              <w:top w:type="dxa" w:w="80"/>
              <w:left w:type="dxa" w:w="100"/>
              <w:bottom w:type="dxa" w:w="80"/>
              <w:right w:type="dxa" w:w="100"/>
            </w:tcMar>
          </w:tcPr>
          <w:p>
            <w:r>
              <w:rPr>
                <w:rFonts w:ascii="Arial" w:cs="Arial" w:eastAsia="Arial" w:hAnsi="Arial"/>
                <w:b/>
                <w:bCs/>
                <w:color w:val="FFFFFF"/>
                <w:sz w:val="18"/>
                <w:szCs w:val="18"/>
              </w:rPr>
              <w:t xml:space="preserve">Risk</w:t>
            </w:r>
          </w:p>
        </w:tc>
        <w:tc>
          <w:tcPr>
            <w:tcW w:type="dxa" w:w="2200"/>
            <w:tcBorders>
              <w:top w:val="single" w:color="D1D5DB" w:sz="1"/>
              <w:left w:val="single" w:color="D1D5DB" w:sz="1"/>
              <w:bottom w:val="single" w:color="D1D5DB" w:sz="1"/>
              <w:right w:val="single" w:color="D1D5DB" w:sz="1"/>
            </w:tcBorders>
            <w:shd w:fill="0A1628" w:val="clear"/>
            <w:tcMar>
              <w:top w:type="dxa" w:w="80"/>
              <w:left w:type="dxa" w:w="100"/>
              <w:bottom w:type="dxa" w:w="80"/>
              <w:right w:type="dxa" w:w="100"/>
            </w:tcMar>
          </w:tcPr>
          <w:p>
            <w:r>
              <w:rPr>
                <w:rFonts w:ascii="Arial" w:cs="Arial" w:eastAsia="Arial" w:hAnsi="Arial"/>
                <w:b/>
                <w:bCs/>
                <w:color w:val="FFFFFF"/>
                <w:sz w:val="18"/>
                <w:szCs w:val="18"/>
              </w:rPr>
              <w:t xml:space="preserve">Severity</w:t>
            </w:r>
          </w:p>
        </w:tc>
        <w:tc>
          <w:tcPr>
            <w:tcW w:type="dxa" w:w="2000"/>
            <w:tcBorders>
              <w:top w:val="single" w:color="D1D5DB" w:sz="1"/>
              <w:left w:val="single" w:color="D1D5DB" w:sz="1"/>
              <w:bottom w:val="single" w:color="D1D5DB" w:sz="1"/>
              <w:right w:val="single" w:color="D1D5DB" w:sz="1"/>
            </w:tcBorders>
            <w:shd w:fill="0A1628" w:val="clear"/>
            <w:tcMar>
              <w:top w:type="dxa" w:w="80"/>
              <w:left w:type="dxa" w:w="100"/>
              <w:bottom w:type="dxa" w:w="80"/>
              <w:right w:type="dxa" w:w="100"/>
            </w:tcMar>
          </w:tcPr>
          <w:p>
            <w:r>
              <w:rPr>
                <w:rFonts w:ascii="Arial" w:cs="Arial" w:eastAsia="Arial" w:hAnsi="Arial"/>
                <w:b/>
                <w:bCs/>
                <w:color w:val="FFFFFF"/>
                <w:sz w:val="18"/>
                <w:szCs w:val="18"/>
              </w:rPr>
              <w:t xml:space="preserve">Probability</w:t>
            </w:r>
          </w:p>
        </w:tc>
        <w:tc>
          <w:tcPr>
            <w:tcW w:type="dxa" w:w="2200"/>
            <w:tcBorders>
              <w:top w:val="single" w:color="D1D5DB" w:sz="1"/>
              <w:left w:val="single" w:color="D1D5DB" w:sz="1"/>
              <w:bottom w:val="single" w:color="D1D5DB" w:sz="1"/>
              <w:right w:val="single" w:color="D1D5DB" w:sz="1"/>
            </w:tcBorders>
            <w:shd w:fill="0A1628" w:val="clear"/>
            <w:tcMar>
              <w:top w:type="dxa" w:w="80"/>
              <w:left w:type="dxa" w:w="100"/>
              <w:bottom w:type="dxa" w:w="80"/>
              <w:right w:type="dxa" w:w="100"/>
            </w:tcMar>
          </w:tcPr>
          <w:p>
            <w:r>
              <w:rPr>
                <w:rFonts w:ascii="Arial" w:cs="Arial" w:eastAsia="Arial" w:hAnsi="Arial"/>
                <w:b/>
                <w:bCs/>
                <w:color w:val="FFFFFF"/>
                <w:sz w:val="18"/>
                <w:szCs w:val="18"/>
              </w:rPr>
              <w:t xml:space="preserve">Mitigation</w:t>
            </w:r>
          </w:p>
        </w:tc>
      </w:tr>
      <w:tr>
        <w:tc>
          <w:tcPr>
            <w:tcW w:type="dxa" w:w="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1</w:t>
            </w:r>
          </w:p>
        </w:tc>
        <w:tc>
          <w:tcPr>
            <w:tcW w:type="dxa" w:w="2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Meta (WhatsApp) changes pricing or blocks business accounts</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HIGH</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Medium</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Build email + SMS fallback; maintain WABA compliance strictly; never spam</w:t>
            </w:r>
          </w:p>
        </w:tc>
      </w:tr>
      <w:tr>
        <w:tc>
          <w:tcPr>
            <w:tcW w:type="dxa" w:w="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2</w:t>
            </w:r>
          </w:p>
        </w:tc>
        <w:tc>
          <w:tcPr>
            <w:tcW w:type="dxa" w:w="2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Supabase RLS misconfiguration leaks customer data</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HIGH</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Low if audited</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Mandatory RLS audit before launch; automated tests on every migration</w:t>
            </w:r>
          </w:p>
        </w:tc>
      </w:tr>
      <w:tr>
        <w:tc>
          <w:tcPr>
            <w:tcW w:type="dxa" w:w="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3</w:t>
            </w:r>
          </w:p>
        </w:tc>
        <w:tc>
          <w:tcPr>
            <w:tcW w:type="dxa" w:w="2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Large competitor (Khatabook, Razorpay) copies the feature</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HIGH</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High</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Speed to market + CA network moat + data moat. First-mover matters here.</w:t>
            </w:r>
          </w:p>
        </w:tc>
      </w:tr>
      <w:tr>
        <w:tc>
          <w:tcPr>
            <w:tcW w:type="dxa" w:w="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4</w:t>
            </w:r>
          </w:p>
        </w:tc>
        <w:tc>
          <w:tcPr>
            <w:tcW w:type="dxa" w:w="2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Low MSME willingness to pay</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Medium</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Low</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Pharma distributors already pay Rs 2,000-5,000/month for ERP. Rs 999 is trivial if it works.</w:t>
            </w:r>
          </w:p>
        </w:tc>
      </w:tr>
      <w:tr>
        <w:tc>
          <w:tcPr>
            <w:tcW w:type="dxa" w:w="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5</w:t>
            </w:r>
          </w:p>
        </w:tc>
        <w:tc>
          <w:tcPr>
            <w:tcW w:type="dxa" w:w="2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WABA template rejection by Meta</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Medium</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Medium</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Apply for all templates at project start; have SMS backup ready</w:t>
            </w:r>
          </w:p>
        </w:tc>
      </w:tr>
      <w:tr>
        <w:tc>
          <w:tcPr>
            <w:tcW w:type="dxa" w:w="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6</w:t>
            </w:r>
          </w:p>
        </w:tc>
        <w:tc>
          <w:tcPr>
            <w:tcW w:type="dxa" w:w="2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CA verification fraud (fake ICAI numbers)</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Medium</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Low</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Cross-check ICAI directory + OTP on registered mobile; review suspicious referral spikes</w:t>
            </w:r>
          </w:p>
        </w:tc>
      </w:tr>
      <w:tr>
        <w:tc>
          <w:tcPr>
            <w:tcW w:type="dxa" w:w="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11827"/>
                <w:sz w:val="18"/>
                <w:szCs w:val="18"/>
              </w:rPr>
              <w:t xml:space="preserve">7</w:t>
            </w:r>
          </w:p>
        </w:tc>
        <w:tc>
          <w:tcPr>
            <w:tcW w:type="dxa" w:w="2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High churn (&lt; 6 months before product-market fit)</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Medium</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Medium</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8"/>
                <w:szCs w:val="18"/>
              </w:rPr>
              <w:t xml:space="preserve">Nail the first-month recovery experience. One Rs 2 lakh recovery in the first 30 days = zero churn risk.</w:t>
            </w:r>
          </w:p>
        </w:tc>
      </w:tr>
    </w:tbl>
    <w:p>
      <w:r>
        <w:br w:type="page"/>
      </w:r>
    </w:p>
    <w:p>
      <w:pPr>
        <w:pStyle w:val="Heading1"/>
        <w:spacing w:after="180" w:before="360"/>
      </w:pPr>
      <w:r>
        <w:rPr>
          <w:rFonts w:ascii="Arial" w:cs="Arial" w:eastAsia="Arial" w:hAnsi="Arial"/>
          <w:b/>
          <w:bCs/>
          <w:color w:val="0A1628"/>
          <w:sz w:val="36"/>
          <w:szCs w:val="36"/>
        </w:rPr>
        <w:t xml:space="preserve">15. North Star Metric and Long-Term Vision</w:t>
      </w:r>
    </w:p>
    <w:p>
      <w:pPr>
        <w:pStyle w:val="Heading2"/>
        <w:spacing w:after="120" w:before="280"/>
      </w:pPr>
      <w:r>
        <w:rPr>
          <w:rFonts w:ascii="Arial" w:cs="Arial" w:eastAsia="Arial" w:hAnsi="Arial"/>
          <w:b/>
          <w:bCs/>
          <w:color w:val="1A7C4F"/>
          <w:sz w:val="28"/>
          <w:szCs w:val="28"/>
        </w:rPr>
        <w:t xml:space="preserve">15.1 North Star Metric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1A7C4F" w:val="clear"/>
            <w:tcMar>
              <w:top w:type="dxa" w:w="100"/>
              <w:left w:type="dxa" w:w="100"/>
              <w:bottom w:type="dxa" w:w="100"/>
              <w:right w:type="dxa" w:w="100"/>
            </w:tcMar>
          </w:tcPr>
          <w:p>
            <w:r>
              <w:rPr>
                <w:rFonts w:ascii="Arial" w:cs="Arial" w:eastAsia="Arial" w:hAnsi="Arial"/>
                <w:sz w:val="22"/>
                <w:szCs w:val="22"/>
              </w:rPr>
              <w:t xml:space="preserve"/>
            </w:r>
          </w:p>
        </w:tc>
        <w:tc>
          <w:tcPr>
            <w:tcW w:type="dxa" w:w="9000"/>
            <w:tcBorders>
              <w:top w:val="none" w:color="FFFFFF" w:sz="0"/>
              <w:left w:val="none" w:color="FFFFFF" w:sz="0"/>
              <w:bottom w:val="none" w:color="FFFFFF" w:sz="0"/>
              <w:right w:val="none" w:color="FFFFFF" w:sz="0"/>
            </w:tcBorders>
            <w:shd w:fill="F0FDF4" w:val="clear"/>
            <w:tcMar>
              <w:top w:type="dxa" w:w="100"/>
              <w:left w:type="dxa" w:w="200"/>
              <w:bottom w:type="dxa" w:w="100"/>
              <w:right w:type="dxa" w:w="100"/>
            </w:tcMar>
          </w:tcPr>
          <w:p>
            <w:pPr>
              <w:spacing w:after="0" w:before="0"/>
            </w:pPr>
            <w:r>
              <w:rPr>
                <w:rFonts w:ascii="Arial" w:cs="Arial" w:eastAsia="Arial" w:hAnsi="Arial"/>
                <w:b/>
                <w:bCs/>
                <w:color w:val="1A7C4F"/>
                <w:sz w:val="22"/>
                <w:szCs w:val="22"/>
              </w:rPr>
              <w:t xml:space="preserve">North Star: </w:t>
            </w:r>
            <w:r>
              <w:rPr>
                <w:rFonts w:ascii="Arial" w:cs="Arial" w:eastAsia="Arial" w:hAnsi="Arial"/>
                <w:color w:val="374151"/>
                <w:sz w:val="22"/>
                <w:szCs w:val="22"/>
              </w:rPr>
              <w:t xml:space="preserve">Total rupee value recovered for customers per month. This metric captures product value (did it actually recover money?), growth (more customers = more recovery), and retention (customers who recover money stay). Everything else is a supporting metric.</w:t>
            </w:r>
          </w:p>
        </w:tc>
      </w:tr>
    </w:tbl>
    <w:p>
      <w:pPr>
        <w:spacing w:after="0" w:before="0"/>
      </w:pPr>
      <w:r>
        <w:rPr>
          <w:rFonts w:ascii="Arial" w:cs="Arial" w:eastAsia="Arial" w:hAnsi="Arial"/>
          <w:sz w:val="22"/>
          <w:szCs w:val="22"/>
        </w:rPr>
        <w:t xml:space="preserve"> </w:t>
      </w:r>
    </w:p>
    <w:p>
      <w:pPr>
        <w:pStyle w:val="Heading2"/>
        <w:spacing w:after="120" w:before="280"/>
      </w:pPr>
      <w:r>
        <w:rPr>
          <w:rFonts w:ascii="Arial" w:cs="Arial" w:eastAsia="Arial" w:hAnsi="Arial"/>
          <w:b/>
          <w:bCs/>
          <w:color w:val="1A7C4F"/>
          <w:sz w:val="28"/>
          <w:szCs w:val="28"/>
        </w:rPr>
        <w:t xml:space="preserve">15.2 Supporting Metrics</w:t>
      </w:r>
    </w:p>
    <w:p>
      <w:pPr>
        <w:pStyle w:val="ListParagraph"/>
        <w:numPr>
          <w:ilvl w:val="0"/>
          <w:numId w:val="2"/>
        </w:numPr>
        <w:spacing w:after="40" w:before="40"/>
      </w:pPr>
      <w:r>
        <w:rPr>
          <w:rFonts w:ascii="Arial" w:cs="Arial" w:eastAsia="Arial" w:hAnsi="Arial"/>
          <w:color w:val="111827"/>
          <w:sz w:val="22"/>
          <w:szCs w:val="22"/>
        </w:rPr>
        <w:t xml:space="preserve">Monthly Recurring Revenue (MRR) and growth rate</w:t>
      </w:r>
    </w:p>
    <w:p>
      <w:pPr>
        <w:pStyle w:val="ListParagraph"/>
        <w:numPr>
          <w:ilvl w:val="0"/>
          <w:numId w:val="2"/>
        </w:numPr>
        <w:spacing w:after="40" w:before="40"/>
      </w:pPr>
      <w:r>
        <w:rPr>
          <w:rFonts w:ascii="Arial" w:cs="Arial" w:eastAsia="Arial" w:hAnsi="Arial"/>
          <w:color w:val="111827"/>
          <w:sz w:val="22"/>
          <w:szCs w:val="22"/>
        </w:rPr>
        <w:t xml:space="preserve">Net collection rate per customer (% of invoiced amount recovered)</w:t>
      </w:r>
    </w:p>
    <w:p>
      <w:pPr>
        <w:pStyle w:val="ListParagraph"/>
        <w:numPr>
          <w:ilvl w:val="0"/>
          <w:numId w:val="2"/>
        </w:numPr>
        <w:spacing w:after="40" w:before="40"/>
      </w:pPr>
      <w:r>
        <w:rPr>
          <w:rFonts w:ascii="Arial" w:cs="Arial" w:eastAsia="Arial" w:hAnsi="Arial"/>
          <w:color w:val="111827"/>
          <w:sz w:val="22"/>
          <w:szCs w:val="22"/>
        </w:rPr>
        <w:t xml:space="preserve">Day-1 recovery rate (% of invoices paid after Phase 1 message alone)</w:t>
      </w:r>
    </w:p>
    <w:p>
      <w:pPr>
        <w:pStyle w:val="ListParagraph"/>
        <w:numPr>
          <w:ilvl w:val="0"/>
          <w:numId w:val="2"/>
        </w:numPr>
        <w:spacing w:after="40" w:before="40"/>
      </w:pPr>
      <w:r>
        <w:rPr>
          <w:rFonts w:ascii="Arial" w:cs="Arial" w:eastAsia="Arial" w:hAnsi="Arial"/>
          <w:color w:val="111827"/>
          <w:sz w:val="22"/>
          <w:szCs w:val="22"/>
        </w:rPr>
        <w:t xml:space="preserve">CA partner growth (number of verified, active CAs)</w:t>
      </w:r>
    </w:p>
    <w:p>
      <w:pPr>
        <w:pStyle w:val="ListParagraph"/>
        <w:numPr>
          <w:ilvl w:val="0"/>
          <w:numId w:val="2"/>
        </w:numPr>
        <w:spacing w:after="40" w:before="40"/>
      </w:pPr>
      <w:r>
        <w:rPr>
          <w:rFonts w:ascii="Arial" w:cs="Arial" w:eastAsia="Arial" w:hAnsi="Arial"/>
          <w:color w:val="111827"/>
          <w:sz w:val="22"/>
          <w:szCs w:val="22"/>
        </w:rPr>
        <w:t xml:space="preserve">Buyer-to-seller conversion rate (% of buyers who sign up as sellers)</w:t>
      </w:r>
    </w:p>
    <w:p>
      <w:pPr>
        <w:pStyle w:val="ListParagraph"/>
        <w:numPr>
          <w:ilvl w:val="0"/>
          <w:numId w:val="2"/>
        </w:numPr>
        <w:spacing w:after="40" w:before="40"/>
      </w:pPr>
      <w:r>
        <w:rPr>
          <w:rFonts w:ascii="Arial" w:cs="Arial" w:eastAsia="Arial" w:hAnsi="Arial"/>
          <w:color w:val="111827"/>
          <w:sz w:val="22"/>
          <w:szCs w:val="22"/>
        </w:rPr>
        <w:t xml:space="preserve">Churn rate (target: below 4% per month for Pro)</w:t>
      </w:r>
    </w:p>
    <w:p>
      <w:pPr>
        <w:spacing w:after="0" w:before="0"/>
      </w:pPr>
      <w:r>
        <w:rPr>
          <w:rFonts w:ascii="Arial" w:cs="Arial" w:eastAsia="Arial" w:hAnsi="Arial"/>
          <w:sz w:val="22"/>
          <w:szCs w:val="22"/>
        </w:rPr>
        <w:t xml:space="preserve"> </w:t>
      </w:r>
    </w:p>
    <w:p>
      <w:pPr>
        <w:pStyle w:val="Heading2"/>
        <w:spacing w:after="120" w:before="280"/>
      </w:pPr>
      <w:r>
        <w:rPr>
          <w:rFonts w:ascii="Arial" w:cs="Arial" w:eastAsia="Arial" w:hAnsi="Arial"/>
          <w:b/>
          <w:bCs/>
          <w:color w:val="1A7C4F"/>
          <w:sz w:val="28"/>
          <w:szCs w:val="28"/>
        </w:rPr>
        <w:t xml:space="preserve">15.3 6-Month Goal</w:t>
      </w:r>
    </w:p>
    <w:p>
      <w:pPr>
        <w:spacing w:after="60" w:before="60"/>
      </w:pPr>
      <w:r>
        <w:rPr>
          <w:rFonts w:ascii="Arial" w:cs="Arial" w:eastAsia="Arial" w:hAnsi="Arial"/>
          <w:color w:val="111827"/>
          <w:sz w:val="22"/>
          <w:szCs w:val="22"/>
        </w:rPr>
        <w:t xml:space="preserve">Make Indian MSME payment recovery so seamless that every WhatsApp Business user in India wants UdhaarClear. This means: the product has recovered over Rs 100 Cr in aggregate, 500+ businesses are active paying customers, 50+ CAs are active partners, and the first fundraising conversation has happened.</w:t>
      </w:r>
    </w:p>
    <w:p>
      <w:pPr>
        <w:spacing w:after="0" w:before="0"/>
      </w:pPr>
      <w:r>
        <w:rPr>
          <w:rFonts w:ascii="Arial" w:cs="Arial" w:eastAsia="Arial" w:hAnsi="Arial"/>
          <w:sz w:val="22"/>
          <w:szCs w:val="22"/>
        </w:rPr>
        <w:t xml:space="preserve"> </w:t>
      </w:r>
    </w:p>
    <w:p>
      <w:pPr>
        <w:pStyle w:val="Heading2"/>
        <w:spacing w:after="120" w:before="280"/>
      </w:pPr>
      <w:r>
        <w:rPr>
          <w:rFonts w:ascii="Arial" w:cs="Arial" w:eastAsia="Arial" w:hAnsi="Arial"/>
          <w:b/>
          <w:bCs/>
          <w:color w:val="1A7C4F"/>
          <w:sz w:val="28"/>
          <w:szCs w:val="28"/>
        </w:rPr>
        <w:t xml:space="preserve">15.4 5-Year Vision</w:t>
      </w:r>
    </w:p>
    <w:p>
      <w:pPr>
        <w:spacing w:after="60" w:before="60"/>
      </w:pPr>
      <w:r>
        <w:rPr>
          <w:rFonts w:ascii="Arial" w:cs="Arial" w:eastAsia="Arial" w:hAnsi="Arial"/>
          <w:color w:val="111827"/>
          <w:sz w:val="22"/>
          <w:szCs w:val="22"/>
        </w:rPr>
        <w:t xml:space="preserve">UdhaarClear becomes the infrastructure layer of B2B trade credit in India. The UdhaarClear Score is the credit reference check that every MSME runs before extending credit to a new customer. The BNPL layer means buyers who cannot pay immediately can get instant NBFC-backed credit, the MSME gets paid today, and UdhaarClear earns an origination fee. At this scale, UdhaarClear is not a SaaS tool — it is a financial institution.</w:t>
      </w:r>
    </w:p>
    <w:p>
      <w:pPr>
        <w:spacing w:after="0" w:before="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0A1628" w:val="clear"/>
            <w:tcMar>
              <w:top w:type="dxa" w:w="100"/>
              <w:left w:type="dxa" w:w="100"/>
              <w:bottom w:type="dxa" w:w="100"/>
              <w:right w:type="dxa" w:w="100"/>
            </w:tcMar>
          </w:tcPr>
          <w:p>
            <w:r>
              <w:rPr>
                <w:rFonts w:ascii="Arial" w:cs="Arial" w:eastAsia="Arial" w:hAnsi="Arial"/>
                <w:sz w:val="22"/>
                <w:szCs w:val="22"/>
              </w:rPr>
              <w:t xml:space="preserve"/>
            </w:r>
          </w:p>
        </w:tc>
        <w:tc>
          <w:tcPr>
            <w:tcW w:type="dxa" w:w="9000"/>
            <w:tcBorders>
              <w:top w:val="none" w:color="FFFFFF" w:sz="0"/>
              <w:left w:val="none" w:color="FFFFFF" w:sz="0"/>
              <w:bottom w:val="none" w:color="FFFFFF" w:sz="0"/>
              <w:right w:val="none" w:color="FFFFFF" w:sz="0"/>
            </w:tcBorders>
            <w:shd w:fill="F0FDF4" w:val="clear"/>
            <w:tcMar>
              <w:top w:type="dxa" w:w="100"/>
              <w:left w:type="dxa" w:w="200"/>
              <w:bottom w:type="dxa" w:w="100"/>
              <w:right w:type="dxa" w:w="100"/>
            </w:tcMar>
          </w:tcPr>
          <w:p>
            <w:pPr>
              <w:spacing w:after="0" w:before="0"/>
            </w:pPr>
            <w:r>
              <w:rPr>
                <w:rFonts w:ascii="Arial" w:cs="Arial" w:eastAsia="Arial" w:hAnsi="Arial"/>
                <w:b/>
                <w:bCs/>
                <w:color w:val="0A1628"/>
                <w:sz w:val="22"/>
                <w:szCs w:val="22"/>
              </w:rPr>
              <w:t xml:space="preserve">Global path: </w:t>
            </w:r>
            <w:r>
              <w:rPr>
                <w:rFonts w:ascii="Arial" w:cs="Arial" w:eastAsia="Arial" w:hAnsi="Arial"/>
                <w:color w:val="374151"/>
                <w:sz w:val="22"/>
                <w:szCs w:val="22"/>
              </w:rPr>
              <w:t xml:space="preserve">Once India is proven, Indonesia, Nigeria, Bangladesh, and Vietnam are near-identical markets — same informal B2B credit culture, same WhatsApp penetration, same MSME payment problem. The global version writes itself.</w:t>
            </w:r>
          </w:p>
        </w:tc>
      </w:tr>
    </w:tbl>
    <w:p>
      <w:r>
        <w:br w:type="page"/>
      </w:r>
    </w:p>
    <w:p>
      <w:pPr>
        <w:spacing w:after="0" w:before="0"/>
      </w:pPr>
      <w:r>
        <w:rPr>
          <w:rFonts w:ascii="Arial" w:cs="Arial" w:eastAsia="Arial" w:hAnsi="Arial"/>
          <w:sz w:val="22"/>
          <w:szCs w:val="22"/>
        </w:rPr>
        <w:t xml:space="preserve">    </w:t>
      </w:r>
    </w:p>
    <w:p>
      <w:pPr>
        <w:spacing w:after="40" w:before="400"/>
        <w:jc w:val="center"/>
      </w:pPr>
      <w:r>
        <w:rPr>
          <w:rFonts w:ascii="Arial" w:cs="Arial" w:eastAsia="Arial" w:hAnsi="Arial"/>
          <w:b/>
          <w:bCs/>
          <w:color w:val="0A1628"/>
          <w:sz w:val="48"/>
          <w:szCs w:val="48"/>
        </w:rPr>
        <w:t xml:space="preserve">UdhaarClear</w:t>
      </w:r>
    </w:p>
    <w:p>
      <w:pPr>
        <w:spacing w:after="80" w:before="0"/>
        <w:jc w:val="center"/>
      </w:pPr>
      <w:r>
        <w:rPr>
          <w:rFonts w:ascii="Arial" w:cs="Arial" w:eastAsia="Arial" w:hAnsi="Arial"/>
          <w:b/>
          <w:bCs/>
          <w:color w:val="1A7C4F"/>
          <w:sz w:val="28"/>
          <w:szCs w:val="28"/>
        </w:rPr>
        <w:t xml:space="preserve">Stop chasing. Start collecting.</w:t>
      </w:r>
    </w:p>
    <w:p>
      <w:pPr>
        <w:spacing w:after="0" w:before="0"/>
      </w:pPr>
      <w:r>
        <w:rPr>
          <w:rFonts w:ascii="Arial" w:cs="Arial" w:eastAsia="Arial" w:hAnsi="Arial"/>
          <w:sz w:val="22"/>
          <w:szCs w:val="22"/>
        </w:rPr>
        <w:t xml:space="preserve">  </w:t>
      </w:r>
    </w:p>
    <w:p>
      <w:pPr>
        <w:spacing w:after="40" w:before="60"/>
        <w:jc w:val="center"/>
      </w:pPr>
      <w:r>
        <w:rPr>
          <w:rFonts w:ascii="Arial" w:cs="Arial" w:eastAsia="Arial" w:hAnsi="Arial"/>
          <w:color w:val="AAAAAA"/>
          <w:sz w:val="18"/>
          <w:szCs w:val="18"/>
        </w:rPr>
        <w:t xml:space="preserve">Document prepared: June 2026  |  Version 1.0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374151"/>
        <w:sz w:val="18"/>
        <w:szCs w:val="18"/>
      </w:rPr>
      <w:t xml:space="preserve">Page </w:t>
    </w:r>
    <w:r>
      <w:rPr>
        <w:rFonts w:ascii="Arial" w:cs="Arial" w:eastAsia="Arial" w:hAnsi="Arial"/>
        <w:color w:val="374151"/>
        <w:sz w:val="18"/>
        <w:szCs w:val="18"/>
      </w:rPr>
      <w:fldChar w:fldCharType="begin"/>
      <w:instrText xml:space="preserve">PAGE</w:instrText>
      <w:fldChar w:fldCharType="separate"/>
      <w:fldChar w:fldCharType="end"/>
    </w:r>
    <w:r>
      <w:rPr>
        <w:rFonts w:ascii="Arial" w:cs="Arial" w:eastAsia="Arial" w:hAnsi="Arial"/>
        <w:color w:val="374151"/>
        <w:sz w:val="18"/>
        <w:szCs w:val="18"/>
      </w:rPr>
      <w:t xml:space="preserve">  |  UdhaarClear — India MSME Payment Recovery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1"/>
      </w:pBdr>
    </w:pPr>
    <w:r>
      <w:rPr>
        <w:rFonts w:ascii="Arial" w:cs="Arial" w:eastAsia="Arial" w:hAnsi="Arial"/>
        <w:b/>
        <w:bCs/>
        <w:color w:val="1A7C4F"/>
        <w:sz w:val="20"/>
        <w:szCs w:val="20"/>
      </w:rPr>
      <w:t xml:space="preserve">UdhaarClear</w:t>
    </w:r>
    <w:r>
      <w:rPr>
        <w:rFonts w:ascii="Arial" w:cs="Arial" w:eastAsia="Arial" w:hAnsi="Arial"/>
        <w:color w:val="374151"/>
        <w:sz w:val="18"/>
        <w:szCs w:val="18"/>
      </w:rPr>
      <w:t xml:space="preserve">  |  Confidential Product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A1628"/>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7C4F"/>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2026-06-28T13:28:00.300Z</dcterms:created>
  <dcterms:modified xsi:type="dcterms:W3CDTF">2026-06-28T13:28:00.306Z</dcterms:modified>
</cp:coreProperties>
</file>

<file path=docProps/custom.xml><?xml version="1.0" encoding="utf-8"?>
<Properties xmlns="http://schemas.openxmlformats.org/officeDocument/2006/custom-properties" xmlns:vt="http://schemas.openxmlformats.org/officeDocument/2006/docPropsVTypes"/>
</file>