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4276" w14:textId="016264A2" w:rsidR="00640BA3" w:rsidRDefault="00640BA3">
      <w:proofErr w:type="spellStart"/>
      <w:r>
        <w:t>KarkiNI</w:t>
      </w:r>
      <w:proofErr w:type="spellEnd"/>
      <w:r>
        <w:t xml:space="preserve"> – 02C Peer Response</w:t>
      </w:r>
    </w:p>
    <w:p w14:paraId="38691A6A" w14:textId="40278FD9" w:rsidR="00AA396E" w:rsidRDefault="00AA396E">
      <w:r>
        <w:t xml:space="preserve">Hi, </w:t>
      </w:r>
      <w:proofErr w:type="spellStart"/>
      <w:r>
        <w:t>Birajman</w:t>
      </w:r>
      <w:proofErr w:type="spellEnd"/>
      <w:r>
        <w:t xml:space="preserve">. Your </w:t>
      </w:r>
      <w:r w:rsidRPr="00AA396E">
        <w:t>response makes a compelling case that professionals have an ethical duty to advocate for greener technology, and the use of the Triple Bottom Line and stakeholder as ethical frameworks is appropriate. However, there are two significant conceptual problems in the argument that</w:t>
      </w:r>
      <w:r>
        <w:t xml:space="preserve"> </w:t>
      </w:r>
      <w:r w:rsidRPr="00AA396E">
        <w:t>undermine the core conclusion</w:t>
      </w:r>
      <w:r>
        <w:t>.</w:t>
      </w:r>
    </w:p>
    <w:p w14:paraId="168CB5CD" w14:textId="31C74D65" w:rsidR="00AA396E" w:rsidRDefault="003D007E">
      <w:r w:rsidRPr="003D007E">
        <w:t xml:space="preserve">The first is that the response sometimes blurs the difference between what an organization may </w:t>
      </w:r>
      <w:proofErr w:type="gramStart"/>
      <w:r w:rsidRPr="003D007E">
        <w:t>owe</w:t>
      </w:r>
      <w:proofErr w:type="gramEnd"/>
      <w:r w:rsidRPr="003D007E">
        <w:t xml:space="preserve"> collectively and what an individual professional can realistically be held responsible for.</w:t>
      </w:r>
      <w:r>
        <w:t xml:space="preserve"> </w:t>
      </w:r>
      <w:r w:rsidR="00AA396E">
        <w:t xml:space="preserve">You argue that </w:t>
      </w:r>
      <w:r w:rsidR="00AA396E" w:rsidRPr="00AA396E">
        <w:t xml:space="preserve">professionals "have the power to make decisions about how things are designed and what their company's values are," but this overstates what most working professionals </w:t>
      </w:r>
      <w:proofErr w:type="gramStart"/>
      <w:r w:rsidR="00AA396E" w:rsidRPr="00AA396E">
        <w:t>actually control</w:t>
      </w:r>
      <w:proofErr w:type="gramEnd"/>
      <w:r w:rsidR="00AA396E" w:rsidRPr="00AA396E">
        <w:t xml:space="preserve">. </w:t>
      </w:r>
      <w:r w:rsidR="00AA396E">
        <w:t xml:space="preserve">The lecture </w:t>
      </w:r>
      <w:r w:rsidR="00AA396E" w:rsidRPr="00AA396E">
        <w:t>Personal and Professional Responsibility</w:t>
      </w:r>
      <w:r w:rsidR="00AA396E">
        <w:t xml:space="preserve"> </w:t>
      </w:r>
      <w:r w:rsidR="00AA396E" w:rsidRPr="00AA396E">
        <w:t xml:space="preserve">addresses </w:t>
      </w:r>
      <w:r w:rsidR="00D15A99">
        <w:t xml:space="preserve">this </w:t>
      </w:r>
      <w:r w:rsidR="00AA396E">
        <w:t>by</w:t>
      </w:r>
      <w:r w:rsidR="00AA396E" w:rsidRPr="00AA396E">
        <w:t xml:space="preserve"> drawing from Sinnott-Armstrong to note that "individual moral obligations do not always follow from collective moral obligations</w:t>
      </w:r>
      <w:r w:rsidR="00AA396E">
        <w:t>.</w:t>
      </w:r>
      <w:r w:rsidR="00AA396E" w:rsidRPr="00AA396E">
        <w:t>"</w:t>
      </w:r>
      <w:r w:rsidR="00AA396E">
        <w:t xml:space="preserve"> </w:t>
      </w:r>
      <w:r>
        <w:t>In other words, j</w:t>
      </w:r>
      <w:r w:rsidR="00AA396E" w:rsidRPr="00AA396E">
        <w:t>ust because we speak of collective responsibility</w:t>
      </w:r>
      <w:r w:rsidR="00D15A99">
        <w:t>, it</w:t>
      </w:r>
      <w:r w:rsidR="00AA396E" w:rsidRPr="00AA396E">
        <w:t xml:space="preserve"> does not mean every individual within that group carries the same obligation.</w:t>
      </w:r>
      <w:r w:rsidR="00AA396E">
        <w:t xml:space="preserve"> </w:t>
      </w:r>
      <w:r w:rsidR="00640BA3">
        <w:t>Your</w:t>
      </w:r>
      <w:r w:rsidR="00D15A99">
        <w:t xml:space="preserve"> argument needs to explain why individual professionals still retain meaningful ethical obligations even when they do not control company policy. At the same time</w:t>
      </w:r>
      <w:r>
        <w:t xml:space="preserve">, </w:t>
      </w:r>
      <w:r w:rsidR="00D15A99">
        <w:t>this does not mean</w:t>
      </w:r>
      <w:r>
        <w:t xml:space="preserve"> that professionals have no obligation. </w:t>
      </w:r>
      <w:r w:rsidRPr="003D007E">
        <w:t>The environmental stewardship lecture emphasizes that professionals can influence organizational culture even when they are not in a position of authority.</w:t>
      </w:r>
      <w:r w:rsidR="00AA396E">
        <w:t xml:space="preserve"> </w:t>
      </w:r>
      <w:r w:rsidR="00AA396E" w:rsidRPr="00AA396E">
        <w:t xml:space="preserve">A stronger argument </w:t>
      </w:r>
      <w:r w:rsidR="00D15A99">
        <w:t>would be that</w:t>
      </w:r>
      <w:r w:rsidR="00AA396E" w:rsidRPr="00AA396E">
        <w:t xml:space="preserve"> </w:t>
      </w:r>
      <w:r w:rsidR="00D15A99" w:rsidRPr="00D15A99">
        <w:t xml:space="preserve">professionals have a duty to object, to advocate, and to push internally for better </w:t>
      </w:r>
      <w:r w:rsidR="00D15A99">
        <w:t xml:space="preserve">practice even </w:t>
      </w:r>
      <w:r w:rsidR="00AA396E" w:rsidRPr="00AA396E">
        <w:t>when they lack decision-making authority over the practices in question.</w:t>
      </w:r>
    </w:p>
    <w:p w14:paraId="11B3BE62" w14:textId="0D6A9CA0" w:rsidR="00F70615" w:rsidRDefault="00F70615">
      <w:r w:rsidRPr="00F70615">
        <w:t xml:space="preserve">The second problem is </w:t>
      </w:r>
      <w:r w:rsidRPr="00F70615">
        <w:t>the misapplication</w:t>
      </w:r>
      <w:r w:rsidRPr="00F70615">
        <w:t xml:space="preserve"> of the Triple Bottom Line (TBL) model. </w:t>
      </w:r>
      <w:r>
        <w:t>You</w:t>
      </w:r>
      <w:r w:rsidRPr="00F70615">
        <w:t xml:space="preserve"> </w:t>
      </w:r>
      <w:r w:rsidR="001832EB">
        <w:t>argue</w:t>
      </w:r>
      <w:r w:rsidR="005929A9">
        <w:t xml:space="preserve"> that “</w:t>
      </w:r>
      <w:r w:rsidR="005929A9" w:rsidRPr="005929A9">
        <w:t xml:space="preserve">profit, people and planet </w:t>
      </w:r>
      <w:r w:rsidR="001832EB" w:rsidRPr="005929A9">
        <w:t>give</w:t>
      </w:r>
      <w:r w:rsidR="005929A9" w:rsidRPr="005929A9">
        <w:t xml:space="preserve"> us a way to consider the impact on the environment along with the benefits</w:t>
      </w:r>
      <w:r w:rsidR="005929A9">
        <w:t>”</w:t>
      </w:r>
      <w:r w:rsidR="001832EB">
        <w:t xml:space="preserve"> and </w:t>
      </w:r>
      <w:r w:rsidR="001832EB" w:rsidRPr="001832EB">
        <w:t>establish that professionals cannot focus on profit alone, which is correct.</w:t>
      </w:r>
      <w:r w:rsidR="001832EB">
        <w:t xml:space="preserve"> </w:t>
      </w:r>
      <w:r w:rsidR="00640BA3" w:rsidRPr="00640BA3">
        <w:t>However, the argument does not actually do the balancing work the model requires.</w:t>
      </w:r>
      <w:r w:rsidR="00640BA3">
        <w:t xml:space="preserve"> </w:t>
      </w:r>
      <w:r w:rsidR="003D007E">
        <w:t xml:space="preserve">The </w:t>
      </w:r>
      <w:r w:rsidRPr="00F70615">
        <w:t>lecture</w:t>
      </w:r>
      <w:r>
        <w:t xml:space="preserve"> </w:t>
      </w:r>
      <w:r w:rsidRPr="00F70615">
        <w:t>Personal and Professional Responsibility</w:t>
      </w:r>
      <w:r>
        <w:t xml:space="preserve"> is clear that </w:t>
      </w:r>
      <w:r w:rsidR="00281102" w:rsidRPr="00281102">
        <w:t>environmental sustainability, social solidarity, and economic efficiency</w:t>
      </w:r>
      <w:r w:rsidR="005929A9" w:rsidRPr="005929A9">
        <w:t xml:space="preserve"> must be balanced against </w:t>
      </w:r>
      <w:proofErr w:type="gramStart"/>
      <w:r w:rsidR="005929A9" w:rsidRPr="005929A9">
        <w:t>one another</w:t>
      </w:r>
      <w:proofErr w:type="gramEnd"/>
      <w:r w:rsidR="005929A9">
        <w:t xml:space="preserve"> and </w:t>
      </w:r>
      <w:r w:rsidR="005929A9" w:rsidRPr="005929A9">
        <w:t>we will "have to make some sacrifices here or there</w:t>
      </w:r>
      <w:r w:rsidR="005929A9">
        <w:t xml:space="preserve"> </w:t>
      </w:r>
      <w:r w:rsidR="005929A9" w:rsidRPr="005929A9">
        <w:t>to find ways in which we can maximize gain and minimize cost."</w:t>
      </w:r>
      <w:r w:rsidR="005929A9">
        <w:t xml:space="preserve"> </w:t>
      </w:r>
      <w:proofErr w:type="gramStart"/>
      <w:r w:rsidR="005929A9" w:rsidRPr="005929A9">
        <w:t>The TBL</w:t>
      </w:r>
      <w:proofErr w:type="gramEnd"/>
      <w:r w:rsidR="005929A9" w:rsidRPr="005929A9">
        <w:t xml:space="preserve"> is a framework for navigating tradeoffs, not a tool for declaring that one axis wins.</w:t>
      </w:r>
      <w:r w:rsidR="001832EB" w:rsidRPr="001832EB">
        <w:t xml:space="preserve"> </w:t>
      </w:r>
      <w:r w:rsidR="00281102">
        <w:t xml:space="preserve">It </w:t>
      </w:r>
      <w:r w:rsidR="001832EB" w:rsidRPr="001832EB">
        <w:t>does not just ask whether environmental harm is occurring</w:t>
      </w:r>
      <w:r w:rsidR="001832EB">
        <w:t xml:space="preserve"> but also</w:t>
      </w:r>
      <w:r w:rsidR="001832EB" w:rsidRPr="001832EB">
        <w:t xml:space="preserve"> whether the proposed solution is economically efficient and socially </w:t>
      </w:r>
      <w:r w:rsidR="00281102">
        <w:t>realistic</w:t>
      </w:r>
      <w:r w:rsidR="001832EB" w:rsidRPr="001832EB">
        <w:t>.</w:t>
      </w:r>
      <w:r w:rsidR="001832EB">
        <w:t xml:space="preserve"> </w:t>
      </w:r>
      <w:r w:rsidR="001832EB" w:rsidRPr="001832EB">
        <w:t xml:space="preserve">You use the model to open the argument </w:t>
      </w:r>
      <w:r w:rsidR="001832EB">
        <w:t>that</w:t>
      </w:r>
      <w:r w:rsidR="001832EB" w:rsidRPr="001832EB">
        <w:t xml:space="preserve"> professionals must think beyond profit</w:t>
      </w:r>
      <w:r w:rsidR="00281102">
        <w:t>, which is fair, but the response does not actually do the balancing</w:t>
      </w:r>
      <w:r w:rsidR="00350178">
        <w:t xml:space="preserve">. </w:t>
      </w:r>
      <w:r w:rsidR="00281102">
        <w:t xml:space="preserve">For instance, it does not explain how we should decide when costs are genuine limits and when they are simply excuses. </w:t>
      </w:r>
      <w:r w:rsidR="00281102" w:rsidRPr="00281102">
        <w:t>That distinction matters</w:t>
      </w:r>
      <w:r w:rsidR="00281102">
        <w:t xml:space="preserve"> because</w:t>
      </w:r>
      <w:r w:rsidR="00281102" w:rsidRPr="00281102">
        <w:t xml:space="preserve"> your own argument depends on saying that some cost objections are legitimate while others are not.</w:t>
      </w:r>
    </w:p>
    <w:p w14:paraId="6B6E8B22" w14:textId="66282F69" w:rsidR="00350178" w:rsidRDefault="00350178">
      <w:r w:rsidRPr="00350178">
        <w:lastRenderedPageBreak/>
        <w:t xml:space="preserve">A more defensible framework for your argument would be Murphy and </w:t>
      </w:r>
      <w:proofErr w:type="spellStart"/>
      <w:r w:rsidRPr="00350178">
        <w:t>Gardoni's</w:t>
      </w:r>
      <w:proofErr w:type="spellEnd"/>
      <w:r w:rsidRPr="00350178">
        <w:t xml:space="preserve"> capabilities-based approach, which provides a concrete threshold for when a risk becomes unacceptable by asking whether stakeholders' ability to achieve basic "valuable doings and beings" is reduced below a minimum level (Murphy and </w:t>
      </w:r>
      <w:proofErr w:type="spellStart"/>
      <w:r w:rsidRPr="00350178">
        <w:t>Gardoni</w:t>
      </w:r>
      <w:proofErr w:type="spellEnd"/>
      <w:r w:rsidRPr="00350178">
        <w:t xml:space="preserve"> 78). That standard gives your conclusion </w:t>
      </w:r>
      <w:r w:rsidR="00281102">
        <w:t>a</w:t>
      </w:r>
      <w:r w:rsidRPr="00350178">
        <w:t xml:space="preserve"> principled way to determine when environmental harm </w:t>
      </w:r>
      <w:r w:rsidR="00640BA3">
        <w:t>from planned obsolescence becomes</w:t>
      </w:r>
      <w:r w:rsidRPr="00350178">
        <w:t xml:space="preserve"> serious enough to override competing economic concerns, without simply asserting that planet concerns automatically win.</w:t>
      </w:r>
    </w:p>
    <w:p w14:paraId="66CDC1CB" w14:textId="1D04D64D" w:rsidR="00350178" w:rsidRDefault="00640BA3" w:rsidP="00350178">
      <w:r>
        <w:t xml:space="preserve">Overall, I think your response has a solid foundation, </w:t>
      </w:r>
      <w:r w:rsidRPr="00640BA3">
        <w:t>showing that planned obsolescence cannot be defended as a morally neutral business choice.</w:t>
      </w:r>
      <w:r>
        <w:t xml:space="preserve"> However, </w:t>
      </w:r>
      <w:r w:rsidRPr="00640BA3">
        <w:t xml:space="preserve">it needs more development in explaining what individual professionals can </w:t>
      </w:r>
      <w:proofErr w:type="gramStart"/>
      <w:r w:rsidRPr="00640BA3">
        <w:t>actually be</w:t>
      </w:r>
      <w:proofErr w:type="gramEnd"/>
      <w:r w:rsidRPr="00640BA3">
        <w:t xml:space="preserve"> expected to do within large organizations, and in showing how the balancing required by the Triple Bottom Line should work in practice.</w:t>
      </w:r>
    </w:p>
    <w:p w14:paraId="2F6E067C" w14:textId="77777777" w:rsidR="00640BA3" w:rsidRDefault="00640BA3" w:rsidP="00350178"/>
    <w:p w14:paraId="0F2976E3" w14:textId="220E4326" w:rsidR="00640BA3" w:rsidRDefault="00640BA3" w:rsidP="00350178">
      <w:r>
        <w:t>References:</w:t>
      </w:r>
    </w:p>
    <w:p w14:paraId="6833E598" w14:textId="77777777" w:rsidR="00640BA3" w:rsidRPr="00640BA3" w:rsidRDefault="00640BA3" w:rsidP="00640BA3">
      <w:r w:rsidRPr="00640BA3">
        <w:t xml:space="preserve">Murphy, Colleen, and Paolo Gardoni. "The Acceptability and the Tolerability of Societal Risks: A Capabilities-based Approach." </w:t>
      </w:r>
      <w:r w:rsidRPr="00640BA3">
        <w:rPr>
          <w:i/>
          <w:iCs/>
        </w:rPr>
        <w:t>Science and Engineering Ethics</w:t>
      </w:r>
      <w:r w:rsidRPr="00640BA3">
        <w:t>, vol. 14, 2008, pp. 77–92.</w:t>
      </w:r>
    </w:p>
    <w:p w14:paraId="29FBECE2" w14:textId="77777777" w:rsidR="00640BA3" w:rsidRPr="00640BA3" w:rsidRDefault="00640BA3" w:rsidP="00640BA3">
      <w:r w:rsidRPr="00640BA3">
        <w:t xml:space="preserve">Sinnott-Armstrong, Walter. "It's Not My Fault: Global Warming and Individual Moral Obligations." </w:t>
      </w:r>
      <w:r w:rsidRPr="00640BA3">
        <w:rPr>
          <w:i/>
          <w:iCs/>
        </w:rPr>
        <w:t>Perspectives on Climate Change: Science, Economics, Politics, Ethics</w:t>
      </w:r>
      <w:r w:rsidRPr="00640BA3">
        <w:t>, edited by Walter Sinnott-Armstrong and Richard B. Howarth, Emerald Group Publishing, 2005, pp. 293–315.</w:t>
      </w:r>
    </w:p>
    <w:p w14:paraId="70A6E2B5" w14:textId="77777777" w:rsidR="00640BA3" w:rsidRDefault="00640BA3" w:rsidP="00350178"/>
    <w:sectPr w:rsidR="00640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6E"/>
    <w:rsid w:val="001832EB"/>
    <w:rsid w:val="00281102"/>
    <w:rsid w:val="00311D35"/>
    <w:rsid w:val="00350178"/>
    <w:rsid w:val="003D007E"/>
    <w:rsid w:val="005929A9"/>
    <w:rsid w:val="00640BA3"/>
    <w:rsid w:val="00AA396E"/>
    <w:rsid w:val="00B4238D"/>
    <w:rsid w:val="00D15A99"/>
    <w:rsid w:val="00EC4F68"/>
    <w:rsid w:val="00F70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EF66"/>
  <w15:chartTrackingRefBased/>
  <w15:docId w15:val="{7C2504D6-24C6-4BBE-871E-C0672D74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6E"/>
    <w:rPr>
      <w:rFonts w:eastAsiaTheme="majorEastAsia" w:cstheme="majorBidi"/>
      <w:color w:val="272727" w:themeColor="text1" w:themeTint="D8"/>
    </w:rPr>
  </w:style>
  <w:style w:type="paragraph" w:styleId="Title">
    <w:name w:val="Title"/>
    <w:basedOn w:val="Normal"/>
    <w:next w:val="Normal"/>
    <w:link w:val="TitleChar"/>
    <w:uiPriority w:val="10"/>
    <w:qFormat/>
    <w:rsid w:val="00AA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6E"/>
    <w:pPr>
      <w:spacing w:before="160"/>
      <w:jc w:val="center"/>
    </w:pPr>
    <w:rPr>
      <w:i/>
      <w:iCs/>
      <w:color w:val="404040" w:themeColor="text1" w:themeTint="BF"/>
    </w:rPr>
  </w:style>
  <w:style w:type="character" w:customStyle="1" w:styleId="QuoteChar">
    <w:name w:val="Quote Char"/>
    <w:basedOn w:val="DefaultParagraphFont"/>
    <w:link w:val="Quote"/>
    <w:uiPriority w:val="29"/>
    <w:rsid w:val="00AA396E"/>
    <w:rPr>
      <w:i/>
      <w:iCs/>
      <w:color w:val="404040" w:themeColor="text1" w:themeTint="BF"/>
    </w:rPr>
  </w:style>
  <w:style w:type="paragraph" w:styleId="ListParagraph">
    <w:name w:val="List Paragraph"/>
    <w:basedOn w:val="Normal"/>
    <w:uiPriority w:val="34"/>
    <w:qFormat/>
    <w:rsid w:val="00AA396E"/>
    <w:pPr>
      <w:ind w:left="720"/>
      <w:contextualSpacing/>
    </w:pPr>
  </w:style>
  <w:style w:type="character" w:styleId="IntenseEmphasis">
    <w:name w:val="Intense Emphasis"/>
    <w:basedOn w:val="DefaultParagraphFont"/>
    <w:uiPriority w:val="21"/>
    <w:qFormat/>
    <w:rsid w:val="00AA396E"/>
    <w:rPr>
      <w:i/>
      <w:iCs/>
      <w:color w:val="0F4761" w:themeColor="accent1" w:themeShade="BF"/>
    </w:rPr>
  </w:style>
  <w:style w:type="paragraph" w:styleId="IntenseQuote">
    <w:name w:val="Intense Quote"/>
    <w:basedOn w:val="Normal"/>
    <w:next w:val="Normal"/>
    <w:link w:val="IntenseQuoteChar"/>
    <w:uiPriority w:val="30"/>
    <w:qFormat/>
    <w:rsid w:val="00AA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96E"/>
    <w:rPr>
      <w:i/>
      <w:iCs/>
      <w:color w:val="0F4761" w:themeColor="accent1" w:themeShade="BF"/>
    </w:rPr>
  </w:style>
  <w:style w:type="character" w:styleId="IntenseReference">
    <w:name w:val="Intense Reference"/>
    <w:basedOn w:val="DefaultParagraphFont"/>
    <w:uiPriority w:val="32"/>
    <w:qFormat/>
    <w:rsid w:val="00AA3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1</cp:revision>
  <dcterms:created xsi:type="dcterms:W3CDTF">2026-05-07T04:05:00Z</dcterms:created>
  <dcterms:modified xsi:type="dcterms:W3CDTF">2026-05-07T05:55:00Z</dcterms:modified>
</cp:coreProperties>
</file>