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D621" w14:textId="10415BB5" w:rsidR="00824862" w:rsidRDefault="00C4170D">
      <w:r>
        <w:t xml:space="preserve">I can relate to Elegy Written in a Country Churchyard when it comes to opportunity, and the role of class in shaping one’s future. In the text Gray reflects on the lives of the ordinary village who worked hard but </w:t>
      </w:r>
      <w:r w:rsidR="00824862">
        <w:t>never got to achieve greatness</w:t>
      </w:r>
      <w:r>
        <w:t xml:space="preserve">. He writes, “chill penury repressed their noble rage, and froze the genial current of the soul”. Meaning </w:t>
      </w:r>
      <w:r w:rsidR="00824862">
        <w:t>poverty stopped suppressed their ambition which robbed them of their imagination, talent, and inner ability. This reminds me of how much a person’s background and opportunity</w:t>
      </w:r>
      <w:r w:rsidR="00CA424E">
        <w:t xml:space="preserve"> </w:t>
      </w:r>
      <w:proofErr w:type="gramStart"/>
      <w:r w:rsidR="00CA424E">
        <w:t>shapes</w:t>
      </w:r>
      <w:proofErr w:type="gramEnd"/>
      <w:r w:rsidR="00CA424E">
        <w:t xml:space="preserve"> their lives</w:t>
      </w:r>
      <w:r w:rsidR="00824862">
        <w:t xml:space="preserve">. Many people are talented but </w:t>
      </w:r>
      <w:proofErr w:type="gramStart"/>
      <w:r w:rsidR="00CA424E">
        <w:t>lack</w:t>
      </w:r>
      <w:r w:rsidR="00824862">
        <w:t xml:space="preserve"> </w:t>
      </w:r>
      <w:r w:rsidR="00CA424E">
        <w:t>of</w:t>
      </w:r>
      <w:proofErr w:type="gramEnd"/>
      <w:r w:rsidR="00CA424E">
        <w:t xml:space="preserve"> </w:t>
      </w:r>
      <w:r w:rsidR="00824862">
        <w:t xml:space="preserve">opportunity limits how far they can get in life. </w:t>
      </w:r>
    </w:p>
    <w:p w14:paraId="2640C877" w14:textId="25BB8A96" w:rsidR="00824862" w:rsidRDefault="00824862">
      <w:r>
        <w:t>I can relate to this feeling in terms of hobbies and personal growth. When I was younger I wanted to explore</w:t>
      </w:r>
      <w:r w:rsidR="00CA424E">
        <w:t xml:space="preserve"> musical instruments like piano and guitar, and art but due to financial limitations I could never voice those interests to my parents. </w:t>
      </w:r>
      <w:r w:rsidR="00527938">
        <w:t xml:space="preserve">Since </w:t>
      </w:r>
      <w:r w:rsidR="00CA424E">
        <w:t xml:space="preserve">I had every basic </w:t>
      </w:r>
      <w:proofErr w:type="gramStart"/>
      <w:r w:rsidR="00CA424E">
        <w:t>necessities</w:t>
      </w:r>
      <w:proofErr w:type="gramEnd"/>
      <w:r w:rsidR="00CA424E">
        <w:t xml:space="preserve"> </w:t>
      </w:r>
      <w:proofErr w:type="gramStart"/>
      <w:r w:rsidR="00CA424E">
        <w:t>fulfilled, so</w:t>
      </w:r>
      <w:proofErr w:type="gramEnd"/>
      <w:r w:rsidR="00CA424E">
        <w:t xml:space="preserve"> I </w:t>
      </w:r>
      <w:r w:rsidR="00527938">
        <w:t>didn’t</w:t>
      </w:r>
      <w:r w:rsidR="00CA424E">
        <w:t xml:space="preserve"> </w:t>
      </w:r>
      <w:r w:rsidR="00527938">
        <w:t>want</w:t>
      </w:r>
      <w:r w:rsidR="00CA424E">
        <w:t xml:space="preserve"> to burden my parent with </w:t>
      </w:r>
      <w:r w:rsidR="00527938">
        <w:t>what seemed like selfish desires.</w:t>
      </w:r>
      <w:r w:rsidR="00CA424E">
        <w:t xml:space="preserve"> Seeing how Gray describes lost potential in the poem, it makes me wonder how many people have been in similar situations or struggled worse than me. His reflection on hidden talents and unrealized dreams resonates with my own. Wanting to do more but unable to do so is probably more common among people. </w:t>
      </w:r>
    </w:p>
    <w:p w14:paraId="38B73A1B" w14:textId="77777777" w:rsidR="00015022" w:rsidRDefault="00015022" w:rsidP="00015022">
      <w:r>
        <w:t xml:space="preserve">The following are new modifications: </w:t>
      </w:r>
      <w:r>
        <w:br/>
      </w:r>
      <w:r>
        <w:br/>
      </w:r>
      <w:r>
        <w:br/>
      </w:r>
      <w:r>
        <w:t xml:space="preserve">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 Because these devices are irreparable, consumers have no choice but to discard them once the battery dies. These discarded units, consisting of non-biodegradable plastics gather in drawers and eventually in landfills, which produces environmental harm that the company does not pay for. This raises a question that is neither economic nor political, but an ethical one. Professionals involved in the design and production of </w:t>
      </w:r>
      <w:proofErr w:type="gramStart"/>
      <w:r>
        <w:t>such technology</w:t>
      </w:r>
      <w:proofErr w:type="gramEnd"/>
      <w:r>
        <w:t xml:space="preserve"> bear serious moral obligations to advocate for greener practices, and the ethical frameworks covered in this unit provide a compelling basis for that claim.</w:t>
      </w:r>
    </w:p>
    <w:p w14:paraId="683CFEB1" w14:textId="77777777" w:rsidR="00015022" w:rsidRDefault="00015022" w:rsidP="00015022"/>
    <w:p w14:paraId="0703B7D4" w14:textId="77777777" w:rsidR="00015022" w:rsidRDefault="00015022" w:rsidP="00015022">
      <w:proofErr w:type="spellStart"/>
      <w:r>
        <w:t>kshfshdfi</w:t>
      </w:r>
      <w:proofErr w:type="spellEnd"/>
      <w:r>
        <w:t xml:space="preserve">; </w:t>
      </w:r>
      <w:proofErr w:type="spellStart"/>
      <w:r>
        <w:t>sfhsahfkshfalifhvfnojsalkfbianifjioacnhlk</w:t>
      </w:r>
      <w:proofErr w:type="spellEnd"/>
      <w:r>
        <w:t xml:space="preserve"> </w:t>
      </w:r>
      <w:proofErr w:type="spellStart"/>
      <w:r>
        <w:t>kjdinhlkbs</w:t>
      </w:r>
      <w:proofErr w:type="spellEnd"/>
      <w:r>
        <w:t xml:space="preserve"> </w:t>
      </w:r>
      <w:proofErr w:type="spellStart"/>
      <w:r>
        <w:t>dufjdipunkcf</w:t>
      </w:r>
      <w:proofErr w:type="spellEnd"/>
      <w:r>
        <w:t xml:space="preserve"> </w:t>
      </w:r>
      <w:proofErr w:type="spellStart"/>
      <w:r>
        <w:t>bhicdjnhjk</w:t>
      </w:r>
      <w:proofErr w:type="spellEnd"/>
      <w:r>
        <w:t xml:space="preserve"> </w:t>
      </w:r>
      <w:proofErr w:type="spellStart"/>
      <w:r>
        <w:t>bvjkcdomxpjsns</w:t>
      </w:r>
      <w:proofErr w:type="spellEnd"/>
      <w:r>
        <w:t xml:space="preserve"> </w:t>
      </w:r>
      <w:proofErr w:type="spellStart"/>
      <w:r>
        <w:t>kbvdjksn</w:t>
      </w:r>
      <w:proofErr w:type="spellEnd"/>
      <w:r>
        <w:t xml:space="preserve"> </w:t>
      </w:r>
      <w:proofErr w:type="spellStart"/>
      <w:r>
        <w:t>dbkvdscabj</w:t>
      </w:r>
      <w:proofErr w:type="spellEnd"/>
      <w:r>
        <w:t xml:space="preserve"> </w:t>
      </w:r>
      <w:proofErr w:type="spellStart"/>
      <w:r>
        <w:t>kvjkclsk</w:t>
      </w:r>
      <w:proofErr w:type="spellEnd"/>
      <w:r>
        <w:t xml:space="preserve"> </w:t>
      </w:r>
      <w:proofErr w:type="spellStart"/>
      <w:r>
        <w:t>bjv,jlkscnxpjdlh</w:t>
      </w:r>
      <w:proofErr w:type="spellEnd"/>
      <w:r>
        <w:t xml:space="preserve"> </w:t>
      </w:r>
      <w:proofErr w:type="spellStart"/>
      <w:r>
        <w:t>vbzjsdlmXI</w:t>
      </w:r>
      <w:proofErr w:type="spellEnd"/>
      <w:r>
        <w:t xml:space="preserve">[M </w:t>
      </w:r>
      <w:proofErr w:type="spellStart"/>
      <w:r>
        <w:t>BIOMk</w:t>
      </w:r>
      <w:proofErr w:type="spellEnd"/>
      <w:r>
        <w:t>{</w:t>
      </w:r>
      <w:proofErr w:type="spellStart"/>
      <w:r>
        <w:t>JAVbs</w:t>
      </w:r>
      <w:proofErr w:type="spellEnd"/>
    </w:p>
    <w:p w14:paraId="34AFE63B" w14:textId="77777777" w:rsidR="00015022" w:rsidRDefault="00015022" w:rsidP="00015022">
      <w:r>
        <w:lastRenderedPageBreak/>
        <w:t xml:space="preserve">The most immediate framework that applies here is the Triple Bottom Line model which is discussed in the Environmental Stewardship lecture. The model asks organizations to balance people, planet, and profit rather than treating shareholder returns as the sole measure of success. A product like AirPods may generate extraordinary profits but </w:t>
      </w:r>
      <w:proofErr w:type="gramStart"/>
      <w:r>
        <w:t>that financial</w:t>
      </w:r>
      <w:proofErr w:type="gramEnd"/>
      <w:r>
        <w:t xml:space="preserve"> success is achieved at a cost externalized onto society and the environment. The Triple Bottom Line rejects the idea that financial gain alone can justify a product, especially when the environmental and social costs are simply being transferred onto society rather than absorbed by the company. This becomes clear when we consider who </w:t>
      </w:r>
      <w:proofErr w:type="gramStart"/>
      <w:r>
        <w:t>actually bears</w:t>
      </w:r>
      <w:proofErr w:type="gramEnd"/>
      <w:r>
        <w:t xml:space="preserve"> those costs. According to the lecture, shareholders represent only the small portion of a much larger population of stakeholders who are directly impacted by the decisions of a company. Communities that live near the manufacturing facilities, for instance, may have no financial stake in a company and still bear the full consequences of its environmental choices. The Triple Bottom line recognizes this by insisting that profit, people, and planet must be weighed together, and a product’s success should not be measured by sale figures alone when it leaves lasting environmental damage for others to absorb. Professionals operating within these companies therefore carry an obligation that extends beyond profit margins to the broader public affected by their work.</w:t>
      </w:r>
    </w:p>
    <w:p w14:paraId="5B203156" w14:textId="77777777" w:rsidR="00015022" w:rsidRDefault="00015022" w:rsidP="00015022">
      <w:r>
        <w:t xml:space="preserve">This leads to the question of professional responsibility. When the products professionals help design actively harm public welfare through environmental degradation, they are violating the terms of the social contract. The Environmental Stewardship lecture clearly states that professionals have an obligation to be responsible stewards of resources, whether institutional, local, national, or global. Planned obsolescence that deliberately shortens product lifespan to drive repeated purchases is incompatible with that stewardship. The lecture specifically identifies Apple's AirPods as a case study in planned obsolescence that professionals hide behind the label of a "business decision," when </w:t>
      </w:r>
      <w:proofErr w:type="gramStart"/>
      <w:r>
        <w:t>in reality it</w:t>
      </w:r>
      <w:proofErr w:type="gramEnd"/>
      <w:r>
        <w:t xml:space="preserve"> reflects a deliberate prioritization of profit over environmental responsibility and public welfare.</w:t>
      </w:r>
    </w:p>
    <w:p w14:paraId="7D118A27" w14:textId="77777777" w:rsidR="00015022" w:rsidRDefault="00015022" w:rsidP="00015022">
      <w:r>
        <w:t xml:space="preserve">The Personal Responsibility lecture, drawing on Sinnott-Armstrong (2005), note that individual’s moral obligations do not automatically follow from collective ones. In other words, just because a company or industry bears responsibility for environmental harm does not automatically mean that every individual professional working within it shares that same moral obligation. This line of reasoning, however, creates a problem in the professional context where, for instance, a single engineer on a product team may argue that their personal contribution to a design decision is too small to be held responsible for the environmental outcome. The lecture pushes back on this reasoning by claiming that we cannot avoid ethical responsibility for reasonably foreseeable outcomes simply because we are a small component of the problem. When professionals of a similar mindset take </w:t>
      </w:r>
      <w:r>
        <w:lastRenderedPageBreak/>
        <w:t xml:space="preserve">the same passive stance by deferring to business choices the effect becomes exactly the kind of environmental harm that we have seen historically, like rivers catching on fire from industrial pollution. </w:t>
      </w:r>
    </w:p>
    <w:p w14:paraId="24EDF92C" w14:textId="77777777" w:rsidR="00015022" w:rsidRDefault="00015022" w:rsidP="00015022">
      <w:r>
        <w:t xml:space="preserve">García-Serna et al. (2007) describe what they call the "magic triangle" of sustainable development, which is balancing environmental sustainability, social solidarity, and economic efficiency. Their framework acknowledges that a perfectly sustainable solution that is economically infeasible or socially impractical will fail to </w:t>
      </w:r>
      <w:proofErr w:type="gramStart"/>
      <w:r>
        <w:t>implement</w:t>
      </w:r>
      <w:proofErr w:type="gramEnd"/>
      <w:r>
        <w:t xml:space="preserve"> successfully. The obligation to advocate for greener technology should not demand the impossible. But it should seek the optimal balance along all three dimensions simultaneously by designing products that last longer, that allow for battery replacement and uses fewer non-degradable materials, all while still maintaining profitability. The lecture reflects this by stating that sustainable development is defined as meeting present needs without compromising the ability of future generations to meet theirs (García-Serna et al., 2007).</w:t>
      </w:r>
    </w:p>
    <w:p w14:paraId="587CE254" w14:textId="77777777" w:rsidR="00015022" w:rsidRDefault="00015022" w:rsidP="00015022">
      <w:r>
        <w:t xml:space="preserve">Murphy and </w:t>
      </w:r>
      <w:proofErr w:type="spellStart"/>
      <w:r>
        <w:t>Gardoni</w:t>
      </w:r>
      <w:proofErr w:type="spellEnd"/>
      <w:r>
        <w:t xml:space="preserve"> (2008) offer clear ethical reasoning 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exactly this kind of hazard because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4A038615" w14:textId="77777777" w:rsidR="00015022" w:rsidRDefault="00015022" w:rsidP="00015022">
      <w:r>
        <w:t xml:space="preserve">In conclusion, professionals in technology and engineering do have an ethical obligation to advocate for greener design and production. This obligation is supported by the Triple Bottom Line, the social contract model of professionalism, and the capabilities-based understanding of acceptable risk developed by Murphy and </w:t>
      </w:r>
      <w:proofErr w:type="spellStart"/>
      <w:r>
        <w:t>Gardoni</w:t>
      </w:r>
      <w:proofErr w:type="spellEnd"/>
      <w:r>
        <w:t xml:space="preserve"> (2008). 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 protect.</w:t>
      </w:r>
    </w:p>
    <w:p w14:paraId="043BBE1B" w14:textId="77777777" w:rsidR="00015022" w:rsidRDefault="00015022" w:rsidP="00015022">
      <w:r>
        <w:t>References:</w:t>
      </w:r>
    </w:p>
    <w:p w14:paraId="02F8C98F" w14:textId="77777777" w:rsidR="00015022" w:rsidRDefault="00015022" w:rsidP="00015022">
      <w:r>
        <w:t>García Serna, Juan &amp; Pérez-</w:t>
      </w:r>
      <w:proofErr w:type="spellStart"/>
      <w:r>
        <w:t>Barrigón</w:t>
      </w:r>
      <w:proofErr w:type="spellEnd"/>
      <w:r>
        <w:t xml:space="preserve">, L. &amp; </w:t>
      </w:r>
      <w:proofErr w:type="spellStart"/>
      <w:r>
        <w:t>Cocero</w:t>
      </w:r>
      <w:proofErr w:type="spellEnd"/>
      <w:r>
        <w:t xml:space="preserve">, Maria. (2013). New trends for design towards sustainability in chemical engineering: Green engineering. Chemical Engineering Journal. 7-30. 10.1016/j.cej.2007.02.028. </w:t>
      </w:r>
    </w:p>
    <w:p w14:paraId="1D592BD2" w14:textId="77777777" w:rsidR="00015022" w:rsidRDefault="00015022" w:rsidP="00015022">
      <w:r>
        <w:lastRenderedPageBreak/>
        <w:t>Murphy, Colleen, and Paolo Gardoni. “The acceptability and the tolerability of societal risks: a capabilities-based approach.” Science and engineering ethics vol. 14,1 (2008): 77-92. doi:10.1007/s11948-007-9031-8</w:t>
      </w:r>
    </w:p>
    <w:p w14:paraId="41FD90EC" w14:textId="00F2EBF7" w:rsidR="00824862" w:rsidRDefault="00015022" w:rsidP="00015022">
      <w:r>
        <w:t>Sinnott-Armstrong, Walter. (2006). It's Not My Fault: Global Warming and Individual Moral Obligations. Advances in the Economics of Environmental Resources. 5. 10.1016/S1569-3740(05)05013-3.</w:t>
      </w:r>
    </w:p>
    <w:sectPr w:rsidR="00824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0D"/>
    <w:rsid w:val="00015022"/>
    <w:rsid w:val="001961AF"/>
    <w:rsid w:val="00527938"/>
    <w:rsid w:val="00824862"/>
    <w:rsid w:val="00A35CF6"/>
    <w:rsid w:val="00C4170D"/>
    <w:rsid w:val="00CA4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79D82"/>
  <w15:chartTrackingRefBased/>
  <w15:docId w15:val="{46A70500-84C8-417D-95FF-DCD59E6F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70D"/>
    <w:rPr>
      <w:rFonts w:eastAsiaTheme="majorEastAsia" w:cstheme="majorBidi"/>
      <w:color w:val="272727" w:themeColor="text1" w:themeTint="D8"/>
    </w:rPr>
  </w:style>
  <w:style w:type="paragraph" w:styleId="Title">
    <w:name w:val="Title"/>
    <w:basedOn w:val="Normal"/>
    <w:next w:val="Normal"/>
    <w:link w:val="TitleChar"/>
    <w:uiPriority w:val="10"/>
    <w:qFormat/>
    <w:rsid w:val="00C4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70D"/>
    <w:pPr>
      <w:spacing w:before="160"/>
      <w:jc w:val="center"/>
    </w:pPr>
    <w:rPr>
      <w:i/>
      <w:iCs/>
      <w:color w:val="404040" w:themeColor="text1" w:themeTint="BF"/>
    </w:rPr>
  </w:style>
  <w:style w:type="character" w:customStyle="1" w:styleId="QuoteChar">
    <w:name w:val="Quote Char"/>
    <w:basedOn w:val="DefaultParagraphFont"/>
    <w:link w:val="Quote"/>
    <w:uiPriority w:val="29"/>
    <w:rsid w:val="00C4170D"/>
    <w:rPr>
      <w:i/>
      <w:iCs/>
      <w:color w:val="404040" w:themeColor="text1" w:themeTint="BF"/>
    </w:rPr>
  </w:style>
  <w:style w:type="paragraph" w:styleId="ListParagraph">
    <w:name w:val="List Paragraph"/>
    <w:basedOn w:val="Normal"/>
    <w:uiPriority w:val="34"/>
    <w:qFormat/>
    <w:rsid w:val="00C4170D"/>
    <w:pPr>
      <w:ind w:left="720"/>
      <w:contextualSpacing/>
    </w:pPr>
  </w:style>
  <w:style w:type="character" w:styleId="IntenseEmphasis">
    <w:name w:val="Intense Emphasis"/>
    <w:basedOn w:val="DefaultParagraphFont"/>
    <w:uiPriority w:val="21"/>
    <w:qFormat/>
    <w:rsid w:val="00C4170D"/>
    <w:rPr>
      <w:i/>
      <w:iCs/>
      <w:color w:val="0F4761" w:themeColor="accent1" w:themeShade="BF"/>
    </w:rPr>
  </w:style>
  <w:style w:type="paragraph" w:styleId="IntenseQuote">
    <w:name w:val="Intense Quote"/>
    <w:basedOn w:val="Normal"/>
    <w:next w:val="Normal"/>
    <w:link w:val="IntenseQuoteChar"/>
    <w:uiPriority w:val="30"/>
    <w:qFormat/>
    <w:rsid w:val="00C4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70D"/>
    <w:rPr>
      <w:i/>
      <w:iCs/>
      <w:color w:val="0F4761" w:themeColor="accent1" w:themeShade="BF"/>
    </w:rPr>
  </w:style>
  <w:style w:type="character" w:styleId="IntenseReference">
    <w:name w:val="Intense Reference"/>
    <w:basedOn w:val="DefaultParagraphFont"/>
    <w:uiPriority w:val="32"/>
    <w:qFormat/>
    <w:rsid w:val="00C41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2</cp:revision>
  <dcterms:created xsi:type="dcterms:W3CDTF">2025-12-06T04:03:00Z</dcterms:created>
  <dcterms:modified xsi:type="dcterms:W3CDTF">2026-10-01T08:57:00Z</dcterms:modified>
</cp:coreProperties>
</file>