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sz w:val="32"/>
          <w:szCs w:val="32"/>
          <w:u w:val="single"/>
          <w:lang w:val="en-IN"/>
        </w:rPr>
        <w:t>CROP YIELD PREDICTION</w:t>
      </w:r>
    </w:p>
    <w:p>
      <w:pPr>
        <w:rPr>
          <w:rFonts w:hint="default"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IN" w:eastAsia="zh-CN" w:bidi="ar"/>
        </w:rPr>
        <w:t>A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griculture is the pillar of the Indian economy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and more than 50% of India’s population are dependent on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agriculture for their survival. Variations in weather, climate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and other such environmental conditions have become a major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risk for the healthy existence of agriculture. Machine learning(ML) plays a significant role as it has decision support tool for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Crop Yield Prediction (CYP) including supporting decisions on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what crops to grow and what to do during the growing season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of the crops.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NewRomanPS-BoldMT" w:cs="Arial"/>
          <w:b/>
          <w:bCs/>
          <w:color w:val="000000"/>
          <w:kern w:val="0"/>
          <w:sz w:val="18"/>
          <w:szCs w:val="18"/>
          <w:lang w:val="en-IN" w:eastAsia="zh-CN" w:bidi="ar"/>
        </w:rPr>
      </w:pPr>
      <w:r>
        <w:rPr>
          <w:rFonts w:hint="default" w:ascii="Arial" w:hAnsi="Arial" w:eastAsia="TimesNewRomanPS-BoldMT" w:cs="Arial"/>
          <w:b/>
          <w:bCs/>
          <w:color w:val="000000"/>
          <w:kern w:val="0"/>
          <w:sz w:val="18"/>
          <w:szCs w:val="18"/>
          <w:lang w:val="en-IN" w:eastAsia="zh-CN" w:bidi="ar"/>
        </w:rPr>
        <w:t>Algorithms that can be used:</w:t>
      </w:r>
    </w:p>
    <w:p>
      <w:p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Random Forest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KNN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Naive Bayes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Support vector Machines etc.</w:t>
      </w:r>
    </w:p>
    <w:p>
      <w:pPr>
        <w:numPr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0"/>
          <w:szCs w:val="20"/>
          <w:u w:val="none"/>
          <w:lang w:val="en-IN"/>
        </w:rPr>
      </w:pPr>
      <w:r>
        <w:rPr>
          <w:rFonts w:hint="default"/>
          <w:b/>
          <w:bCs/>
          <w:sz w:val="20"/>
          <w:szCs w:val="20"/>
          <w:u w:val="none"/>
          <w:lang w:val="en-IN"/>
        </w:rPr>
        <w:t>Data-set:   (Crop Production India)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https://www.kaggle.com/datasets/abhinand05/crop-production-in-india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Diagram: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drawing>
          <wp:inline distT="0" distB="0" distL="114300" distR="114300">
            <wp:extent cx="2696845" cy="2994660"/>
            <wp:effectExtent l="0" t="0" r="8255" b="2540"/>
            <wp:docPr id="2" name="Picture 2" descr="4-Figure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-Figure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Name: Nishanka Dutta.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Roll No: 2005245.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3EC73"/>
    <w:multiLevelType w:val="singleLevel"/>
    <w:tmpl w:val="D523EC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96203"/>
    <w:rsid w:val="4869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2023-01-28T16:47:00Z</dcterms:created>
  <dc:creator>nisha</dc:creator>
  <cp:lastModifiedBy>NISHANKA DUTTA</cp:lastModifiedBy>
  <dcterms:modified xsi:type="dcterms:W3CDTF">2023-01-28T17:04:49Z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399DB71B3CC14C6B9197F88FFF3CCE84</vt:lpwstr>
  </property>
</Properties>
</file>