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Calibri" w:hAnsi="Calibri"/>
          <w:b/>
          <w:color w:val="1A2E4A"/>
          <w:sz w:val="44"/>
        </w:rPr>
        <w:t>Nishant Dipak Chaudhari</w:t>
      </w:r>
    </w:p>
    <w:p>
      <w:pPr>
        <w:spacing w:before="0" w:after="80"/>
      </w:pPr>
      <w:r>
        <w:rPr>
          <w:rFonts w:ascii="Calibri" w:hAnsi="Calibri"/>
          <w:b w:val="0"/>
          <w:i/>
          <w:color w:val="0D7E8C"/>
          <w:sz w:val="21"/>
        </w:rPr>
        <w:t>AI Systems Engineer  ·  Multi-Agent Systems  ·  Robotics &amp; Autonomous Systems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777777"/>
          <w:sz w:val="18"/>
        </w:rPr>
        <w:t>Boston, MA  |  +1 617 602 8996  |  nishant.chaudhari.dev@gmail.com  |  github.com/Nishant-Chaudhari-Dev  |  linkedin.com/in/nishant-chaudhari-dev</w:t>
      </w:r>
    </w:p>
    <w:p>
      <w:pPr>
        <w:spacing w:before="80" w:after="0"/>
        <w:pBdr>
          <w:bottom w:val="single" w:sz="18" w:space="1" w:color="1A2E4A"/>
        </w:pBdr>
      </w:pPr>
    </w:p>
    <w:p>
      <w:pPr>
        <w:spacing w:before="100" w:after="40"/>
        <w:pBdr>
          <w:top w:val="single" w:sz="12" w:space="4" w:color="0D7E8C"/>
        </w:pBdr>
      </w:pPr>
      <w:r>
        <w:rPr>
          <w:rFonts w:ascii="Calibri" w:hAnsi="Calibri"/>
          <w:b/>
          <w:caps/>
          <w:color w:val="0D7E8C"/>
          <w:sz w:val="19"/>
        </w:rPr>
        <w:t>SUMMARY</w:t>
      </w:r>
    </w:p>
    <w:p>
      <w:pPr>
        <w:spacing w:before="60" w:after="40" w:line="280" w:lineRule="exact"/>
      </w:pPr>
      <w:r>
        <w:rPr>
          <w:rFonts w:ascii="Calibri" w:hAnsi="Calibri"/>
          <w:b w:val="0"/>
          <w:i w:val="0"/>
          <w:color w:val="444444"/>
          <w:sz w:val="20"/>
        </w:rPr>
        <w:t>Versatile CS engineer with hands-on experience in multi-agent reinforcement learning, autonomous robotics, and embedded AI systems. Currently pursuing an M.S. in Applied AI at Northeastern University, focused on building reliable AI agents — with emphasis on evaluation, failure-mode analysis, and real-world deployment. Proven ability to bridge hardware and software across research and competition settings.</w:t>
      </w:r>
    </w:p>
    <w:p>
      <w:pPr>
        <w:spacing w:before="100" w:after="40"/>
        <w:pBdr>
          <w:top w:val="single" w:sz="12" w:space="4" w:color="0D7E8C"/>
        </w:pBdr>
      </w:pPr>
      <w:r>
        <w:rPr>
          <w:rFonts w:ascii="Calibri" w:hAnsi="Calibri"/>
          <w:b/>
          <w:caps/>
          <w:color w:val="0D7E8C"/>
          <w:sz w:val="19"/>
        </w:rPr>
        <w:t>EDUCATION</w:t>
      </w:r>
    </w:p>
    <w:tbl>
      <w:tblGrid>
        <w:gridCol w:w="6952"/>
        <w:gridCol w:w="3272"/>
      </w:tblGrid>
      <w:tblPr>
        <w:tblStyle w:val="TableGrid"/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12"/>
        <w:gridCol w:w="5112"/>
      </w:tblGrid>
      <w:tr>
        <w:tc>
          <w:tcPr>
            <w:tcW w:type="dxa" w:w="6952"/>
            <w:tcMar>
              <w:top w:w="40" w:type="dxa"/>
              <w:bottom w:w="0" w:type="dxa"/>
              <w:left w:w="0" w:type="dxa"/>
              <w:right w:w="0" w:type="dxa"/>
            </w:tcMar>
          </w:tcPr>
          <w:p>
            <w:pPr>
              <w:spacing w:before="100" w:after="20"/>
            </w:pPr>
            <w:r>
              <w:rPr>
                <w:rFonts w:ascii="Calibri" w:hAnsi="Calibri"/>
                <w:b/>
                <w:i w:val="0"/>
                <w:color w:val="1A2E4A"/>
                <w:sz w:val="21"/>
              </w:rPr>
              <w:t>Master of Professional Studies in Applied AI</w:t>
            </w:r>
          </w:p>
        </w:tc>
        <w:tc>
          <w:tcPr>
            <w:tcW w:type="dxa" w:w="3272"/>
            <w:tcMar>
              <w:top w:w="40" w:type="dxa"/>
              <w:bottom w:w="0" w:type="dxa"/>
              <w:left w:w="0" w:type="dxa"/>
              <w:right w:w="0" w:type="dxa"/>
            </w:tcMar>
          </w:tcPr>
          <w:p>
            <w:pPr>
              <w:spacing w:before="100" w:after="20"/>
              <w:jc w:val="right"/>
            </w:pPr>
            <w:r>
              <w:rPr>
                <w:rFonts w:ascii="Calibri" w:hAnsi="Calibri"/>
                <w:b w:val="0"/>
                <w:i/>
                <w:color w:val="777777"/>
                <w:sz w:val="18"/>
              </w:rPr>
              <w:t>2026 – Present</w:t>
            </w:r>
          </w:p>
        </w:tc>
      </w:tr>
    </w:tbl>
    <w:tbl>
      <w:tblGrid>
        <w:gridCol w:w="6952"/>
        <w:gridCol w:w="3272"/>
      </w:tblGrid>
      <w:tblPr>
        <w:tblStyle w:val="TableGrid"/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12"/>
        <w:gridCol w:w="5112"/>
      </w:tblGrid>
      <w:tr>
        <w:tc>
          <w:tcPr>
            <w:tcW w:type="dxa" w:w="6952"/>
            <w:tcMar>
              <w:top w:w="40" w:type="dxa"/>
              <w:bottom w:w="0" w:type="dxa"/>
              <w:left w:w="0" w:type="dxa"/>
              <w:right w:w="0" w:type="dxa"/>
            </w:tcMar>
          </w:tcPr>
          <w:p>
            <w:pPr>
              <w:spacing w:before="20" w:after="80"/>
            </w:pPr>
            <w:r>
              <w:rPr>
                <w:rFonts w:ascii="Calibri" w:hAnsi="Calibri"/>
                <w:b w:val="0"/>
                <w:i/>
                <w:color w:val="444444"/>
                <w:sz w:val="19"/>
              </w:rPr>
              <w:t>Northeastern University, Boston, MA</w:t>
            </w:r>
          </w:p>
        </w:tc>
        <w:tc>
          <w:tcPr>
            <w:tcW w:type="dxa" w:w="3272"/>
            <w:tcMar>
              <w:top w:w="40" w:type="dxa"/>
              <w:bottom w:w="0" w:type="dxa"/>
              <w:left w:w="0" w:type="dxa"/>
              <w:right w:w="0" w:type="dxa"/>
            </w:tcMar>
          </w:tcPr>
          <w:p>
            <w:pPr>
              <w:spacing w:before="20" w:after="80"/>
              <w:jc w:val="right"/>
            </w:pPr>
            <w:r>
              <w:rPr>
                <w:rFonts w:ascii="Calibri" w:hAnsi="Calibri"/>
                <w:b w:val="0"/>
                <w:i w:val="0"/>
                <w:color w:val="777777"/>
                <w:sz w:val="18"/>
              </w:rPr>
            </w:r>
          </w:p>
        </w:tc>
      </w:tr>
    </w:tbl>
    <w:tbl>
      <w:tblGrid>
        <w:gridCol w:w="6952"/>
        <w:gridCol w:w="3272"/>
      </w:tblGrid>
      <w:tblPr>
        <w:tblStyle w:val="TableGrid"/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12"/>
        <w:gridCol w:w="5112"/>
      </w:tblGrid>
      <w:tr>
        <w:tc>
          <w:tcPr>
            <w:tcW w:type="dxa" w:w="6952"/>
            <w:tcMar>
              <w:top w:w="40" w:type="dxa"/>
              <w:bottom w:w="0" w:type="dxa"/>
              <w:left w:w="0" w:type="dxa"/>
              <w:right w:w="0" w:type="dxa"/>
            </w:tcMar>
          </w:tcPr>
          <w:p>
            <w:pPr>
              <w:spacing w:before="100" w:after="20"/>
            </w:pPr>
            <w:r>
              <w:rPr>
                <w:rFonts w:ascii="Calibri" w:hAnsi="Calibri"/>
                <w:b/>
                <w:i w:val="0"/>
                <w:color w:val="1A2E4A"/>
                <w:sz w:val="21"/>
              </w:rPr>
              <w:t>B.S. Electrical Engineering &amp; Computer Science</w:t>
            </w:r>
          </w:p>
        </w:tc>
        <w:tc>
          <w:tcPr>
            <w:tcW w:type="dxa" w:w="3272"/>
            <w:tcMar>
              <w:top w:w="40" w:type="dxa"/>
              <w:bottom w:w="0" w:type="dxa"/>
              <w:left w:w="0" w:type="dxa"/>
              <w:right w:w="0" w:type="dxa"/>
            </w:tcMar>
          </w:tcPr>
          <w:p>
            <w:pPr>
              <w:spacing w:before="100" w:after="20"/>
              <w:jc w:val="right"/>
            </w:pPr>
            <w:r>
              <w:rPr>
                <w:rFonts w:ascii="Calibri" w:hAnsi="Calibri"/>
                <w:b w:val="0"/>
                <w:i/>
                <w:color w:val="777777"/>
                <w:sz w:val="18"/>
              </w:rPr>
              <w:t>2021 – 2025</w:t>
            </w:r>
          </w:p>
        </w:tc>
      </w:tr>
    </w:tbl>
    <w:tbl>
      <w:tblGrid>
        <w:gridCol w:w="6952"/>
        <w:gridCol w:w="3272"/>
      </w:tblGrid>
      <w:tblPr>
        <w:tblStyle w:val="TableGrid"/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12"/>
        <w:gridCol w:w="5112"/>
      </w:tblGrid>
      <w:tr>
        <w:tc>
          <w:tcPr>
            <w:tcW w:type="dxa" w:w="6952"/>
            <w:tcMar>
              <w:top w:w="40" w:type="dxa"/>
              <w:bottom w:w="0" w:type="dxa"/>
              <w:left w:w="0" w:type="dxa"/>
              <w:right w:w="0" w:type="dxa"/>
            </w:tcMar>
          </w:tcPr>
          <w:p>
            <w:pPr>
              <w:spacing w:before="20" w:after="80"/>
            </w:pPr>
            <w:r>
              <w:rPr>
                <w:rFonts w:ascii="Calibri" w:hAnsi="Calibri"/>
                <w:b w:val="0"/>
                <w:i/>
                <w:color w:val="444444"/>
                <w:sz w:val="19"/>
              </w:rPr>
              <w:t>Indian Institute of Science Education and Research (IISER), Bhopal, India</w:t>
            </w:r>
          </w:p>
        </w:tc>
        <w:tc>
          <w:tcPr>
            <w:tcW w:type="dxa" w:w="3272"/>
            <w:tcMar>
              <w:top w:w="40" w:type="dxa"/>
              <w:bottom w:w="0" w:type="dxa"/>
              <w:left w:w="0" w:type="dxa"/>
              <w:right w:w="0" w:type="dxa"/>
            </w:tcMar>
          </w:tcPr>
          <w:p>
            <w:pPr>
              <w:spacing w:before="20" w:after="80"/>
              <w:jc w:val="right"/>
            </w:pPr>
            <w:r>
              <w:rPr>
                <w:rFonts w:ascii="Calibri" w:hAnsi="Calibri"/>
                <w:b w:val="0"/>
                <w:i w:val="0"/>
                <w:color w:val="777777"/>
                <w:sz w:val="18"/>
              </w:rPr>
            </w:r>
          </w:p>
        </w:tc>
      </w:tr>
    </w:tbl>
    <w:p>
      <w:pPr>
        <w:spacing w:before="100" w:after="40"/>
        <w:pBdr>
          <w:top w:val="single" w:sz="12" w:space="4" w:color="0D7E8C"/>
        </w:pBdr>
      </w:pPr>
      <w:r>
        <w:rPr>
          <w:rFonts w:ascii="Calibri" w:hAnsi="Calibri"/>
          <w:b/>
          <w:caps/>
          <w:color w:val="0D7E8C"/>
          <w:sz w:val="19"/>
        </w:rPr>
        <w:t>INDUSTRY PROJECTS</w:t>
      </w:r>
    </w:p>
    <w:tbl>
      <w:tblGrid>
        <w:gridCol w:w="6952"/>
        <w:gridCol w:w="3272"/>
      </w:tblGrid>
      <w:tblPr>
        <w:tblStyle w:val="TableGrid"/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12"/>
        <w:gridCol w:w="5112"/>
      </w:tblGrid>
      <w:tr>
        <w:tc>
          <w:tcPr>
            <w:tcW w:type="dxa" w:w="6952"/>
            <w:tcMar>
              <w:top w:w="40" w:type="dxa"/>
              <w:bottom w:w="0" w:type="dxa"/>
              <w:left w:w="0" w:type="dxa"/>
              <w:right w:w="0" w:type="dxa"/>
            </w:tcMar>
          </w:tcPr>
          <w:p>
            <w:pPr>
              <w:spacing w:before="120" w:after="20"/>
            </w:pPr>
            <w:r>
              <w:rPr>
                <w:rFonts w:ascii="Calibri" w:hAnsi="Calibri"/>
                <w:b/>
                <w:i w:val="0"/>
                <w:color w:val="0D7E8C"/>
                <w:sz w:val="21"/>
              </w:rPr>
              <w:t>TenderMind — AI-Powered Tender Evaluation System</w:t>
            </w:r>
          </w:p>
        </w:tc>
        <w:tc>
          <w:tcPr>
            <w:tcW w:type="dxa" w:w="3272"/>
            <w:tcMar>
              <w:top w:w="40" w:type="dxa"/>
              <w:bottom w:w="0" w:type="dxa"/>
              <w:left w:w="0" w:type="dxa"/>
              <w:right w:w="0" w:type="dxa"/>
            </w:tcMar>
          </w:tcPr>
          <w:p>
            <w:pPr>
              <w:spacing w:before="120" w:after="20"/>
              <w:jc w:val="right"/>
            </w:pPr>
            <w:r>
              <w:rPr>
                <w:rFonts w:ascii="Calibri" w:hAnsi="Calibri"/>
                <w:b w:val="0"/>
                <w:i/>
                <w:color w:val="777777"/>
                <w:sz w:val="18"/>
              </w:rPr>
              <w:t>2026</w:t>
            </w:r>
          </w:p>
        </w:tc>
      </w:tr>
    </w:tbl>
    <w:tbl>
      <w:tblGrid>
        <w:gridCol w:w="6952"/>
        <w:gridCol w:w="3272"/>
      </w:tblGrid>
      <w:tblPr>
        <w:tblStyle w:val="TableGrid"/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12"/>
        <w:gridCol w:w="5112"/>
      </w:tblGrid>
      <w:tr>
        <w:tc>
          <w:tcPr>
            <w:tcW w:type="dxa" w:w="6952"/>
            <w:tcMar>
              <w:top w:w="40" w:type="dxa"/>
              <w:bottom w:w="0" w:type="dxa"/>
              <w:left w:w="0" w:type="dxa"/>
              <w:right w:w="0" w:type="dxa"/>
            </w:tcMar>
          </w:tcPr>
          <w:p>
            <w:pPr>
              <w:spacing w:before="20" w:after="40"/>
            </w:pPr>
            <w:r>
              <w:rPr>
                <w:rFonts w:ascii="Calibri" w:hAnsi="Calibri"/>
                <w:b w:val="0"/>
                <w:i/>
                <w:color w:val="444444"/>
                <w:sz w:val="19"/>
              </w:rPr>
              <w:t>Red Hat Hackathon 2026  (2-person team)</w:t>
            </w:r>
          </w:p>
        </w:tc>
        <w:tc>
          <w:tcPr>
            <w:tcW w:type="dxa" w:w="3272"/>
            <w:tcMar>
              <w:top w:w="40" w:type="dxa"/>
              <w:bottom w:w="0" w:type="dxa"/>
              <w:left w:w="0" w:type="dxa"/>
              <w:right w:w="0" w:type="dxa"/>
            </w:tcMar>
          </w:tcPr>
          <w:p>
            <w:pPr>
              <w:spacing w:before="20" w:after="40"/>
              <w:jc w:val="right"/>
            </w:pPr>
            <w:r>
              <w:rPr>
                <w:rFonts w:ascii="Calibri" w:hAnsi="Calibri"/>
                <w:b w:val="0"/>
                <w:i w:val="0"/>
                <w:color w:val="777777"/>
                <w:sz w:val="18"/>
              </w:rPr>
            </w:r>
          </w:p>
        </w:tc>
      </w:tr>
    </w:tbl>
    <w:p>
      <w:pPr>
        <w:pStyle w:val="ListBullet"/>
        <w:spacing w:before="20" w:after="20" w:line="260" w:lineRule="exact"/>
        <w:ind w:left="288"/>
      </w:pPr>
      <w:r>
        <w:rPr>
          <w:rFonts w:ascii="Calibri" w:hAnsi="Calibri"/>
          <w:color w:val="444444"/>
          <w:sz w:val="19"/>
        </w:rPr>
        <w:t>Built a fully local multi-agent pipeline (Podman AI Lab + IBM Granite 4.0 Micro) that automatically scores, ranks, and generates PDF reports for vendor tender submissions — zero cloud dependency, no data egress.</w:t>
      </w:r>
    </w:p>
    <w:p>
      <w:pPr>
        <w:pStyle w:val="ListBullet"/>
        <w:spacing w:before="20" w:after="20" w:line="260" w:lineRule="exact"/>
        <w:ind w:left="288"/>
      </w:pPr>
      <w:r>
        <w:rPr>
          <w:rFonts w:ascii="Calibri" w:hAnsi="Calibri"/>
          <w:color w:val="444444"/>
          <w:sz w:val="19"/>
        </w:rPr>
        <w:t>Implemented a two-agent architecture (Evaluator × N vendors → Ranker) using Model Context Protocol (MCP) for tool interfacing, completing 13-vendor evaluation in 14 LLM calls.</w:t>
      </w:r>
    </w:p>
    <w:p>
      <w:pPr>
        <w:pStyle w:val="ListBullet"/>
        <w:spacing w:before="20" w:after="20" w:line="260" w:lineRule="exact"/>
        <w:ind w:left="288"/>
      </w:pPr>
      <w:r>
        <w:rPr>
          <w:rFonts w:ascii="Calibri" w:hAnsi="Calibri"/>
          <w:color w:val="444444"/>
          <w:sz w:val="19"/>
        </w:rPr>
        <w:t>Added optional Flask web UI with live log streaming, tender upload, and animated podium results view.</w:t>
      </w:r>
    </w:p>
    <w:tbl>
      <w:tblGrid>
        <w:gridCol w:w="6952"/>
        <w:gridCol w:w="3272"/>
      </w:tblGrid>
      <w:tblPr>
        <w:tblStyle w:val="TableGrid"/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12"/>
        <w:gridCol w:w="5112"/>
      </w:tblGrid>
      <w:tr>
        <w:tc>
          <w:tcPr>
            <w:tcW w:type="dxa" w:w="6952"/>
            <w:tcMar>
              <w:top w:w="40" w:type="dxa"/>
              <w:bottom w:w="0" w:type="dxa"/>
              <w:left w:w="0" w:type="dxa"/>
              <w:right w:w="0" w:type="dxa"/>
            </w:tcMar>
          </w:tcPr>
          <w:p>
            <w:pPr>
              <w:spacing w:before="120" w:after="20"/>
            </w:pPr>
            <w:r>
              <w:rPr>
                <w:rFonts w:ascii="Calibri" w:hAnsi="Calibri"/>
                <w:b/>
                <w:i w:val="0"/>
                <w:color w:val="0D7E8C"/>
                <w:sz w:val="21"/>
              </w:rPr>
              <w:t>OmegaTK RAG Coding Assistant</w:t>
            </w:r>
          </w:p>
        </w:tc>
        <w:tc>
          <w:tcPr>
            <w:tcW w:type="dxa" w:w="3272"/>
            <w:tcMar>
              <w:top w:w="40" w:type="dxa"/>
              <w:bottom w:w="0" w:type="dxa"/>
              <w:left w:w="0" w:type="dxa"/>
              <w:right w:w="0" w:type="dxa"/>
            </w:tcMar>
          </w:tcPr>
          <w:p>
            <w:pPr>
              <w:spacing w:before="120" w:after="20"/>
              <w:jc w:val="right"/>
            </w:pPr>
            <w:r>
              <w:rPr>
                <w:rFonts w:ascii="Calibri" w:hAnsi="Calibri"/>
                <w:b w:val="0"/>
                <w:i/>
                <w:color w:val="777777"/>
                <w:sz w:val="18"/>
              </w:rPr>
              <w:t>~4 months, 2025</w:t>
            </w:r>
          </w:p>
        </w:tc>
      </w:tr>
    </w:tbl>
    <w:tbl>
      <w:tblGrid>
        <w:gridCol w:w="6952"/>
        <w:gridCol w:w="3272"/>
      </w:tblGrid>
      <w:tblPr>
        <w:tblStyle w:val="TableGrid"/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12"/>
        <w:gridCol w:w="5112"/>
      </w:tblGrid>
      <w:tr>
        <w:tc>
          <w:tcPr>
            <w:tcW w:type="dxa" w:w="6952"/>
            <w:tcMar>
              <w:top w:w="40" w:type="dxa"/>
              <w:bottom w:w="0" w:type="dxa"/>
              <w:left w:w="0" w:type="dxa"/>
              <w:right w:w="0" w:type="dxa"/>
            </w:tcMar>
          </w:tcPr>
          <w:p>
            <w:pPr>
              <w:spacing w:before="20" w:after="40"/>
            </w:pPr>
            <w:r>
              <w:rPr>
                <w:rFonts w:ascii="Calibri" w:hAnsi="Calibri"/>
                <w:b w:val="0"/>
                <w:i/>
                <w:color w:val="444444"/>
                <w:sz w:val="19"/>
              </w:rPr>
              <w:t>OpenEye Scientific Software / Cadence</w:t>
            </w:r>
          </w:p>
        </w:tc>
        <w:tc>
          <w:tcPr>
            <w:tcW w:type="dxa" w:w="3272"/>
            <w:tcMar>
              <w:top w:w="40" w:type="dxa"/>
              <w:bottom w:w="0" w:type="dxa"/>
              <w:left w:w="0" w:type="dxa"/>
              <w:right w:w="0" w:type="dxa"/>
            </w:tcMar>
          </w:tcPr>
          <w:p>
            <w:pPr>
              <w:spacing w:before="20" w:after="40"/>
              <w:jc w:val="right"/>
            </w:pPr>
            <w:r>
              <w:rPr>
                <w:rFonts w:ascii="Calibri" w:hAnsi="Calibri"/>
                <w:b w:val="0"/>
                <w:i w:val="0"/>
                <w:color w:val="777777"/>
                <w:sz w:val="18"/>
              </w:rPr>
            </w:r>
          </w:p>
        </w:tc>
      </w:tr>
    </w:tbl>
    <w:p>
      <w:pPr>
        <w:pStyle w:val="ListBullet"/>
        <w:spacing w:before="20" w:after="20" w:line="260" w:lineRule="exact"/>
        <w:ind w:left="288"/>
      </w:pPr>
      <w:r>
        <w:rPr>
          <w:rFonts w:ascii="Calibri" w:hAnsi="Calibri"/>
          <w:color w:val="444444"/>
          <w:sz w:val="19"/>
        </w:rPr>
        <w:t>Developed a retrieval-augmented generation (RAG) coding assistant for the OmegaTK Python toolkit, enabling natural-language queries over official documentation.</w:t>
      </w:r>
    </w:p>
    <w:p>
      <w:pPr>
        <w:pStyle w:val="ListBullet"/>
        <w:spacing w:before="20" w:after="20" w:line="260" w:lineRule="exact"/>
        <w:ind w:left="288"/>
      </w:pPr>
      <w:r>
        <w:rPr>
          <w:rFonts w:ascii="Calibri" w:hAnsi="Calibri"/>
          <w:color w:val="444444"/>
          <w:sz w:val="19"/>
        </w:rPr>
        <w:t>Built a FAISS vector index over 8 OmegaTK documentation sources with history-aware retrieval (MMR search, k=8) and Gemini 2.5 Flash for generation; shipped both a Streamlit UI and a Jupyter notebook interface.</w:t>
      </w:r>
    </w:p>
    <w:p>
      <w:pPr>
        <w:pStyle w:val="ListBullet"/>
        <w:spacing w:before="20" w:after="20" w:line="260" w:lineRule="exact"/>
        <w:ind w:left="288"/>
      </w:pPr>
      <w:r>
        <w:rPr>
          <w:rFonts w:ascii="Calibri" w:hAnsi="Calibri"/>
          <w:color w:val="444444"/>
          <w:sz w:val="19"/>
        </w:rPr>
        <w:t>Designed prompt-type routing to handle clear API requests, vague inputs (clarifying questions), out-of-scope queries, and multi-turn follow-ups using conversation history.</w:t>
      </w:r>
    </w:p>
    <w:tbl>
      <w:tblGrid>
        <w:gridCol w:w="6952"/>
        <w:gridCol w:w="3272"/>
      </w:tblGrid>
      <w:tblPr>
        <w:tblStyle w:val="TableGrid"/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12"/>
        <w:gridCol w:w="5112"/>
      </w:tblGrid>
      <w:tr>
        <w:tc>
          <w:tcPr>
            <w:tcW w:type="dxa" w:w="6952"/>
            <w:tcMar>
              <w:top w:w="40" w:type="dxa"/>
              <w:bottom w:w="0" w:type="dxa"/>
              <w:left w:w="0" w:type="dxa"/>
              <w:right w:w="0" w:type="dxa"/>
            </w:tcMar>
          </w:tcPr>
          <w:p>
            <w:pPr>
              <w:spacing w:before="120" w:after="20"/>
            </w:pPr>
            <w:r>
              <w:rPr>
                <w:rFonts w:ascii="Calibri" w:hAnsi="Calibri"/>
                <w:b/>
                <w:i w:val="0"/>
                <w:color w:val="0D7E8C"/>
                <w:sz w:val="21"/>
              </w:rPr>
              <w:t>Antiviral Potency Prediction</w:t>
            </w:r>
          </w:p>
        </w:tc>
        <w:tc>
          <w:tcPr>
            <w:tcW w:type="dxa" w:w="3272"/>
            <w:tcMar>
              <w:top w:w="40" w:type="dxa"/>
              <w:bottom w:w="0" w:type="dxa"/>
              <w:left w:w="0" w:type="dxa"/>
              <w:right w:w="0" w:type="dxa"/>
            </w:tcMar>
          </w:tcPr>
          <w:p>
            <w:pPr>
              <w:spacing w:before="120" w:after="20"/>
              <w:jc w:val="right"/>
            </w:pPr>
            <w:r>
              <w:rPr>
                <w:rFonts w:ascii="Calibri" w:hAnsi="Calibri"/>
                <w:b w:val="0"/>
                <w:i/>
                <w:color w:val="777777"/>
                <w:sz w:val="18"/>
              </w:rPr>
              <w:t>~4 months, 2025</w:t>
            </w:r>
          </w:p>
        </w:tc>
      </w:tr>
    </w:tbl>
    <w:tbl>
      <w:tblGrid>
        <w:gridCol w:w="6952"/>
        <w:gridCol w:w="3272"/>
      </w:tblGrid>
      <w:tblPr>
        <w:tblStyle w:val="TableGrid"/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12"/>
        <w:gridCol w:w="5112"/>
      </w:tblGrid>
      <w:tr>
        <w:tc>
          <w:tcPr>
            <w:tcW w:type="dxa" w:w="6952"/>
            <w:tcMar>
              <w:top w:w="40" w:type="dxa"/>
              <w:bottom w:w="0" w:type="dxa"/>
              <w:left w:w="0" w:type="dxa"/>
              <w:right w:w="0" w:type="dxa"/>
            </w:tcMar>
          </w:tcPr>
          <w:p>
            <w:pPr>
              <w:spacing w:before="20" w:after="40"/>
            </w:pPr>
            <w:r>
              <w:rPr>
                <w:rFonts w:ascii="Calibri" w:hAnsi="Calibri"/>
                <w:b w:val="0"/>
                <w:i/>
                <w:color w:val="444444"/>
                <w:sz w:val="19"/>
              </w:rPr>
              <w:t>OpenEye Scientific Software / Cadence</w:t>
            </w:r>
          </w:p>
        </w:tc>
        <w:tc>
          <w:tcPr>
            <w:tcW w:type="dxa" w:w="3272"/>
            <w:tcMar>
              <w:top w:w="40" w:type="dxa"/>
              <w:bottom w:w="0" w:type="dxa"/>
              <w:left w:w="0" w:type="dxa"/>
              <w:right w:w="0" w:type="dxa"/>
            </w:tcMar>
          </w:tcPr>
          <w:p>
            <w:pPr>
              <w:spacing w:before="20" w:after="40"/>
              <w:jc w:val="right"/>
            </w:pPr>
            <w:r>
              <w:rPr>
                <w:rFonts w:ascii="Calibri" w:hAnsi="Calibri"/>
                <w:b w:val="0"/>
                <w:i w:val="0"/>
                <w:color w:val="777777"/>
                <w:sz w:val="18"/>
              </w:rPr>
            </w:r>
          </w:p>
        </w:tc>
      </w:tr>
    </w:tbl>
    <w:p>
      <w:pPr>
        <w:pStyle w:val="ListBullet"/>
        <w:spacing w:before="20" w:after="20" w:line="260" w:lineRule="exact"/>
        <w:ind w:left="288"/>
      </w:pPr>
      <w:r>
        <w:rPr>
          <w:rFonts w:ascii="Calibri" w:hAnsi="Calibri"/>
          <w:color w:val="444444"/>
          <w:sz w:val="19"/>
        </w:rPr>
        <w:t>Built an end-to-end prediction pipeline for pIC50 inhibitory potency against SARS-CoV-2 and MERS-CoV main proteases, trained on the ASAP Discovery dataset.</w:t>
      </w:r>
    </w:p>
    <w:p>
      <w:pPr>
        <w:pStyle w:val="ListBullet"/>
        <w:spacing w:before="20" w:after="20" w:line="260" w:lineRule="exact"/>
        <w:ind w:left="288"/>
      </w:pPr>
      <w:r>
        <w:rPr>
          <w:rFonts w:ascii="Calibri" w:hAnsi="Calibri"/>
          <w:color w:val="444444"/>
          <w:sz w:val="19"/>
        </w:rPr>
        <w:t>Generated ECFP4 Morgan fingerprints (RDKit, radius=5, 4096 bits) as features; evaluated Random Forest and XGBoost with 5-fold CV (R² ≈ 0.65 ± 0.05).</w:t>
      </w:r>
    </w:p>
    <w:p>
      <w:pPr>
        <w:pStyle w:val="ListBullet"/>
        <w:spacing w:before="20" w:after="20" w:line="260" w:lineRule="exact"/>
        <w:ind w:left="288"/>
      </w:pPr>
      <w:r>
        <w:rPr>
          <w:rFonts w:ascii="Calibri" w:hAnsi="Calibri"/>
          <w:color w:val="444444"/>
          <w:sz w:val="19"/>
        </w:rPr>
        <w:t>Reverse-engineered OpenEye's proprietary .oez binary format using libzstd via Python ctypes — enabling external test-set inference on 76 Cresset compounds with no OpenEye license required.</w:t>
      </w:r>
    </w:p>
    <w:p>
      <w:pPr>
        <w:spacing w:before="100" w:after="40"/>
        <w:pBdr>
          <w:top w:val="single" w:sz="12" w:space="4" w:color="0D7E8C"/>
        </w:pBdr>
      </w:pPr>
      <w:r>
        <w:rPr>
          <w:rFonts w:ascii="Calibri" w:hAnsi="Calibri"/>
          <w:b/>
          <w:caps/>
          <w:color w:val="0D7E8C"/>
          <w:sz w:val="19"/>
        </w:rPr>
        <w:t>RESEARCH EXPERIENCE</w:t>
      </w:r>
    </w:p>
    <w:tbl>
      <w:tblGrid>
        <w:gridCol w:w="6952"/>
        <w:gridCol w:w="3272"/>
      </w:tblGrid>
      <w:tblPr>
        <w:tblStyle w:val="TableGrid"/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12"/>
        <w:gridCol w:w="5112"/>
      </w:tblGrid>
      <w:tr>
        <w:tc>
          <w:tcPr>
            <w:tcW w:type="dxa" w:w="6952"/>
            <w:tcMar>
              <w:top w:w="40" w:type="dxa"/>
              <w:bottom w:w="0" w:type="dxa"/>
              <w:left w:w="0" w:type="dxa"/>
              <w:right w:w="0" w:type="dxa"/>
            </w:tcMar>
          </w:tcPr>
          <w:p>
            <w:pPr>
              <w:spacing w:before="120" w:after="20"/>
            </w:pPr>
            <w:r>
              <w:rPr>
                <w:rFonts w:ascii="Calibri" w:hAnsi="Calibri"/>
                <w:b/>
                <w:i w:val="0"/>
                <w:color w:val="0D7E8C"/>
                <w:sz w:val="21"/>
              </w:rPr>
              <w:t>Swarm Robotics — Multi-Agent RL Researcher</w:t>
            </w:r>
          </w:p>
        </w:tc>
        <w:tc>
          <w:tcPr>
            <w:tcW w:type="dxa" w:w="3272"/>
            <w:tcMar>
              <w:top w:w="40" w:type="dxa"/>
              <w:bottom w:w="0" w:type="dxa"/>
              <w:left w:w="0" w:type="dxa"/>
              <w:right w:w="0" w:type="dxa"/>
            </w:tcMar>
          </w:tcPr>
          <w:p>
            <w:pPr>
              <w:spacing w:before="120" w:after="20"/>
              <w:jc w:val="right"/>
            </w:pPr>
            <w:r>
              <w:rPr>
                <w:rFonts w:ascii="Calibri" w:hAnsi="Calibri"/>
                <w:b w:val="0"/>
                <w:i/>
                <w:color w:val="777777"/>
                <w:sz w:val="18"/>
              </w:rPr>
              <w:t>Oct 2024 – Present</w:t>
            </w:r>
          </w:p>
        </w:tc>
      </w:tr>
    </w:tbl>
    <w:tbl>
      <w:tblGrid>
        <w:gridCol w:w="6952"/>
        <w:gridCol w:w="3272"/>
      </w:tblGrid>
      <w:tblPr>
        <w:tblStyle w:val="TableGrid"/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12"/>
        <w:gridCol w:w="5112"/>
      </w:tblGrid>
      <w:tr>
        <w:tc>
          <w:tcPr>
            <w:tcW w:type="dxa" w:w="6952"/>
            <w:tcMar>
              <w:top w:w="40" w:type="dxa"/>
              <w:bottom w:w="0" w:type="dxa"/>
              <w:left w:w="0" w:type="dxa"/>
              <w:right w:w="0" w:type="dxa"/>
            </w:tcMar>
          </w:tcPr>
          <w:p>
            <w:pPr>
              <w:spacing w:before="20" w:after="40"/>
            </w:pPr>
            <w:r>
              <w:rPr>
                <w:rFonts w:ascii="Calibri" w:hAnsi="Calibri"/>
                <w:b w:val="0"/>
                <w:i/>
                <w:color w:val="444444"/>
                <w:sz w:val="19"/>
              </w:rPr>
              <w:t>MOON Lab, IISER Bhopal</w:t>
            </w:r>
          </w:p>
        </w:tc>
        <w:tc>
          <w:tcPr>
            <w:tcW w:type="dxa" w:w="3272"/>
            <w:tcMar>
              <w:top w:w="40" w:type="dxa"/>
              <w:bottom w:w="0" w:type="dxa"/>
              <w:left w:w="0" w:type="dxa"/>
              <w:right w:w="0" w:type="dxa"/>
            </w:tcMar>
          </w:tcPr>
          <w:p>
            <w:pPr>
              <w:spacing w:before="20" w:after="40"/>
              <w:jc w:val="right"/>
            </w:pPr>
            <w:r>
              <w:rPr>
                <w:rFonts w:ascii="Calibri" w:hAnsi="Calibri"/>
                <w:b w:val="0"/>
                <w:i w:val="0"/>
                <w:color w:val="777777"/>
                <w:sz w:val="18"/>
              </w:rPr>
            </w:r>
          </w:p>
        </w:tc>
      </w:tr>
    </w:tbl>
    <w:p>
      <w:pPr>
        <w:pStyle w:val="ListBullet"/>
        <w:spacing w:before="20" w:after="20" w:line="260" w:lineRule="exact"/>
        <w:ind w:left="288"/>
      </w:pPr>
      <w:r>
        <w:rPr>
          <w:rFonts w:ascii="Calibri" w:hAnsi="Calibri"/>
          <w:color w:val="444444"/>
          <w:sz w:val="19"/>
        </w:rPr>
        <w:t>Designed and trained MARL algorithms in PyTorch for cooperative autonomous decision-making across swarm agents, achieving a 20% improvement in collective exploration efficiency.</w:t>
      </w:r>
    </w:p>
    <w:p>
      <w:pPr>
        <w:pStyle w:val="ListBullet"/>
        <w:spacing w:before="20" w:after="20" w:line="260" w:lineRule="exact"/>
        <w:ind w:left="288"/>
      </w:pPr>
      <w:r>
        <w:rPr>
          <w:rFonts w:ascii="Calibri" w:hAnsi="Calibri"/>
          <w:color w:val="444444"/>
          <w:sz w:val="19"/>
        </w:rPr>
        <w:t>Built simulation environments in ROS2 and Gazebo Garden to validate adaptive swarm behaviors before hardware deployment.</w:t>
      </w:r>
    </w:p>
    <w:p>
      <w:pPr>
        <w:pStyle w:val="ListBullet"/>
        <w:spacing w:before="20" w:after="20" w:line="260" w:lineRule="exact"/>
        <w:ind w:left="288"/>
      </w:pPr>
      <w:r>
        <w:rPr>
          <w:rFonts w:ascii="Calibri" w:hAnsi="Calibri"/>
          <w:color w:val="444444"/>
          <w:sz w:val="19"/>
        </w:rPr>
        <w:t>Integrated NVIDIA Jetson hardware with ROS nodes for real-time inference and environmental mapping on physical robot platforms.</w:t>
      </w:r>
    </w:p>
    <w:tbl>
      <w:tblGrid>
        <w:gridCol w:w="6952"/>
        <w:gridCol w:w="3272"/>
      </w:tblGrid>
      <w:tblPr>
        <w:tblStyle w:val="TableGrid"/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12"/>
        <w:gridCol w:w="5112"/>
      </w:tblGrid>
      <w:tr>
        <w:tc>
          <w:tcPr>
            <w:tcW w:type="dxa" w:w="6952"/>
            <w:tcMar>
              <w:top w:w="40" w:type="dxa"/>
              <w:bottom w:w="0" w:type="dxa"/>
              <w:left w:w="0" w:type="dxa"/>
              <w:right w:w="0" w:type="dxa"/>
            </w:tcMar>
          </w:tcPr>
          <w:p>
            <w:pPr>
              <w:spacing w:before="120" w:after="20"/>
            </w:pPr>
            <w:r>
              <w:rPr>
                <w:rFonts w:ascii="Calibri" w:hAnsi="Calibri"/>
                <w:b/>
                <w:i w:val="0"/>
                <w:color w:val="0D7E8C"/>
                <w:sz w:val="21"/>
              </w:rPr>
              <w:t>Autonomous Cleaning Robot — ML &amp; Embedded Systems Lead</w:t>
            </w:r>
          </w:p>
        </w:tc>
        <w:tc>
          <w:tcPr>
            <w:tcW w:type="dxa" w:w="3272"/>
            <w:tcMar>
              <w:top w:w="40" w:type="dxa"/>
              <w:bottom w:w="0" w:type="dxa"/>
              <w:left w:w="0" w:type="dxa"/>
              <w:right w:w="0" w:type="dxa"/>
            </w:tcMar>
          </w:tcPr>
          <w:p>
            <w:pPr>
              <w:spacing w:before="120" w:after="20"/>
              <w:jc w:val="right"/>
            </w:pPr>
            <w:r>
              <w:rPr>
                <w:rFonts w:ascii="Calibri" w:hAnsi="Calibri"/>
                <w:b w:val="0"/>
                <w:i/>
                <w:color w:val="777777"/>
                <w:sz w:val="18"/>
              </w:rPr>
              <w:t>2023 – 2024</w:t>
            </w:r>
          </w:p>
        </w:tc>
      </w:tr>
    </w:tbl>
    <w:tbl>
      <w:tblGrid>
        <w:gridCol w:w="6952"/>
        <w:gridCol w:w="3272"/>
      </w:tblGrid>
      <w:tblPr>
        <w:tblStyle w:val="TableGrid"/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12"/>
        <w:gridCol w:w="5112"/>
      </w:tblGrid>
      <w:tr>
        <w:tc>
          <w:tcPr>
            <w:tcW w:type="dxa" w:w="6952"/>
            <w:tcMar>
              <w:top w:w="40" w:type="dxa"/>
              <w:bottom w:w="0" w:type="dxa"/>
              <w:left w:w="0" w:type="dxa"/>
              <w:right w:w="0" w:type="dxa"/>
            </w:tcMar>
          </w:tcPr>
          <w:p>
            <w:pPr>
              <w:spacing w:before="20" w:after="40"/>
            </w:pPr>
            <w:r>
              <w:rPr>
                <w:rFonts w:ascii="Calibri" w:hAnsi="Calibri"/>
                <w:b w:val="0"/>
                <w:i/>
                <w:color w:val="444444"/>
                <w:sz w:val="19"/>
              </w:rPr>
              <w:t>DUDE Lab, IISER Bhopal</w:t>
            </w:r>
          </w:p>
        </w:tc>
        <w:tc>
          <w:tcPr>
            <w:tcW w:type="dxa" w:w="3272"/>
            <w:tcMar>
              <w:top w:w="40" w:type="dxa"/>
              <w:bottom w:w="0" w:type="dxa"/>
              <w:left w:w="0" w:type="dxa"/>
              <w:right w:w="0" w:type="dxa"/>
            </w:tcMar>
          </w:tcPr>
          <w:p>
            <w:pPr>
              <w:spacing w:before="20" w:after="40"/>
              <w:jc w:val="right"/>
            </w:pPr>
            <w:r>
              <w:rPr>
                <w:rFonts w:ascii="Calibri" w:hAnsi="Calibri"/>
                <w:b w:val="0"/>
                <w:i w:val="0"/>
                <w:color w:val="777777"/>
                <w:sz w:val="18"/>
              </w:rPr>
            </w:r>
          </w:p>
        </w:tc>
      </w:tr>
    </w:tbl>
    <w:p>
      <w:pPr>
        <w:pStyle w:val="ListBullet"/>
        <w:spacing w:before="20" w:after="20" w:line="260" w:lineRule="exact"/>
        <w:ind w:left="288"/>
      </w:pPr>
      <w:r>
        <w:rPr>
          <w:rFonts w:ascii="Calibri" w:hAnsi="Calibri"/>
          <w:color w:val="444444"/>
          <w:sz w:val="19"/>
        </w:rPr>
        <w:t>Implemented TensorFlow and OpenCV-based object classification pipeline achieving 95% accuracy in real-time on-device inference.</w:t>
      </w:r>
    </w:p>
    <w:p>
      <w:pPr>
        <w:pStyle w:val="ListBullet"/>
        <w:spacing w:before="20" w:after="20" w:line="260" w:lineRule="exact"/>
        <w:ind w:left="288"/>
      </w:pPr>
      <w:r>
        <w:rPr>
          <w:rFonts w:ascii="Calibri" w:hAnsi="Calibri"/>
          <w:color w:val="444444"/>
          <w:sz w:val="19"/>
        </w:rPr>
        <w:t>Programmed Python navigation algorithms integrating LiDAR and ultrasonic sensor data for reliable collision avoidance.</w:t>
      </w:r>
    </w:p>
    <w:p>
      <w:pPr>
        <w:pStyle w:val="ListBullet"/>
        <w:spacing w:before="20" w:after="20" w:line="260" w:lineRule="exact"/>
        <w:ind w:left="288"/>
      </w:pPr>
      <w:r>
        <w:rPr>
          <w:rFonts w:ascii="Calibri" w:hAnsi="Calibri"/>
          <w:color w:val="444444"/>
          <w:sz w:val="19"/>
        </w:rPr>
        <w:t>Designed and fabricated electro-mechanical components using SolidWorks and 3D printing, improving system efficiency by 40%.</w:t>
      </w:r>
    </w:p>
    <w:tbl>
      <w:tblGrid>
        <w:gridCol w:w="6952"/>
        <w:gridCol w:w="3272"/>
      </w:tblGrid>
      <w:tblPr>
        <w:tblStyle w:val="TableGrid"/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12"/>
        <w:gridCol w:w="5112"/>
      </w:tblGrid>
      <w:tr>
        <w:tc>
          <w:tcPr>
            <w:tcW w:type="dxa" w:w="6952"/>
            <w:tcMar>
              <w:top w:w="40" w:type="dxa"/>
              <w:bottom w:w="0" w:type="dxa"/>
              <w:left w:w="0" w:type="dxa"/>
              <w:right w:w="0" w:type="dxa"/>
            </w:tcMar>
          </w:tcPr>
          <w:p>
            <w:pPr>
              <w:spacing w:before="120" w:after="20"/>
            </w:pPr>
            <w:r>
              <w:rPr>
                <w:rFonts w:ascii="Calibri" w:hAnsi="Calibri"/>
                <w:b/>
                <w:i w:val="0"/>
                <w:color w:val="0D7E8C"/>
                <w:sz w:val="21"/>
              </w:rPr>
              <w:t>Robotics &amp; Autonomous Systems — Research Intern</w:t>
            </w:r>
          </w:p>
        </w:tc>
        <w:tc>
          <w:tcPr>
            <w:tcW w:type="dxa" w:w="3272"/>
            <w:tcMar>
              <w:top w:w="40" w:type="dxa"/>
              <w:bottom w:w="0" w:type="dxa"/>
              <w:left w:w="0" w:type="dxa"/>
              <w:right w:w="0" w:type="dxa"/>
            </w:tcMar>
          </w:tcPr>
          <w:p>
            <w:pPr>
              <w:spacing w:before="120" w:after="20"/>
              <w:jc w:val="right"/>
            </w:pPr>
            <w:r>
              <w:rPr>
                <w:rFonts w:ascii="Calibri" w:hAnsi="Calibri"/>
                <w:b w:val="0"/>
                <w:i/>
                <w:color w:val="777777"/>
                <w:sz w:val="18"/>
              </w:rPr>
              <w:t>2023</w:t>
            </w:r>
          </w:p>
        </w:tc>
      </w:tr>
    </w:tbl>
    <w:tbl>
      <w:tblGrid>
        <w:gridCol w:w="6952"/>
        <w:gridCol w:w="3272"/>
      </w:tblGrid>
      <w:tblPr>
        <w:tblStyle w:val="TableGrid"/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12"/>
        <w:gridCol w:w="5112"/>
      </w:tblGrid>
      <w:tr>
        <w:tc>
          <w:tcPr>
            <w:tcW w:type="dxa" w:w="6952"/>
            <w:tcMar>
              <w:top w:w="40" w:type="dxa"/>
              <w:bottom w:w="0" w:type="dxa"/>
              <w:left w:w="0" w:type="dxa"/>
              <w:right w:w="0" w:type="dxa"/>
            </w:tcMar>
          </w:tcPr>
          <w:p>
            <w:pPr>
              <w:spacing w:before="20" w:after="40"/>
            </w:pPr>
            <w:r>
              <w:rPr>
                <w:rFonts w:ascii="Calibri" w:hAnsi="Calibri"/>
                <w:b w:val="0"/>
                <w:i/>
                <w:color w:val="444444"/>
                <w:sz w:val="19"/>
              </w:rPr>
              <w:t>Robotics Lab, IISER Bhopal</w:t>
            </w:r>
          </w:p>
        </w:tc>
        <w:tc>
          <w:tcPr>
            <w:tcW w:type="dxa" w:w="3272"/>
            <w:tcMar>
              <w:top w:w="40" w:type="dxa"/>
              <w:bottom w:w="0" w:type="dxa"/>
              <w:left w:w="0" w:type="dxa"/>
              <w:right w:w="0" w:type="dxa"/>
            </w:tcMar>
          </w:tcPr>
          <w:p>
            <w:pPr>
              <w:spacing w:before="20" w:after="40"/>
              <w:jc w:val="right"/>
            </w:pPr>
            <w:r>
              <w:rPr>
                <w:rFonts w:ascii="Calibri" w:hAnsi="Calibri"/>
                <w:b w:val="0"/>
                <w:i w:val="0"/>
                <w:color w:val="777777"/>
                <w:sz w:val="18"/>
              </w:rPr>
            </w:r>
          </w:p>
        </w:tc>
      </w:tr>
    </w:tbl>
    <w:p>
      <w:pPr>
        <w:pStyle w:val="ListBullet"/>
        <w:spacing w:before="20" w:after="20" w:line="260" w:lineRule="exact"/>
        <w:ind w:left="288"/>
      </w:pPr>
      <w:r>
        <w:rPr>
          <w:rFonts w:ascii="Calibri" w:hAnsi="Calibri"/>
          <w:color w:val="444444"/>
          <w:sz w:val="19"/>
        </w:rPr>
        <w:t>Conducted research on autonomous navigation and control algorithms for mobile robotic platforms.</w:t>
      </w:r>
    </w:p>
    <w:p>
      <w:pPr>
        <w:pStyle w:val="ListBullet"/>
        <w:spacing w:before="20" w:after="20" w:line="260" w:lineRule="exact"/>
        <w:ind w:left="288"/>
      </w:pPr>
      <w:r>
        <w:rPr>
          <w:rFonts w:ascii="Calibri" w:hAnsi="Calibri"/>
          <w:color w:val="444444"/>
          <w:sz w:val="19"/>
        </w:rPr>
        <w:t>Contributed to sensor-based perception systems for real-time environment analysis and obstacle detection.</w:t>
      </w:r>
    </w:p>
    <w:tbl>
      <w:tblGrid>
        <w:gridCol w:w="6952"/>
        <w:gridCol w:w="3272"/>
      </w:tblGrid>
      <w:tblPr>
        <w:tblStyle w:val="TableGrid"/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12"/>
        <w:gridCol w:w="5112"/>
      </w:tblGrid>
      <w:tr>
        <w:tc>
          <w:tcPr>
            <w:tcW w:type="dxa" w:w="6952"/>
            <w:tcMar>
              <w:top w:w="40" w:type="dxa"/>
              <w:bottom w:w="0" w:type="dxa"/>
              <w:left w:w="0" w:type="dxa"/>
              <w:right w:w="0" w:type="dxa"/>
            </w:tcMar>
          </w:tcPr>
          <w:p>
            <w:pPr>
              <w:spacing w:before="120" w:after="20"/>
            </w:pPr>
            <w:r>
              <w:rPr>
                <w:rFonts w:ascii="Calibri" w:hAnsi="Calibri"/>
                <w:b/>
                <w:i w:val="0"/>
                <w:color w:val="0D7E8C"/>
                <w:sz w:val="21"/>
              </w:rPr>
              <w:t>IRoC ISRO Rover Challenge — Team Member</w:t>
            </w:r>
          </w:p>
        </w:tc>
        <w:tc>
          <w:tcPr>
            <w:tcW w:type="dxa" w:w="3272"/>
            <w:tcMar>
              <w:top w:w="40" w:type="dxa"/>
              <w:bottom w:w="0" w:type="dxa"/>
              <w:left w:w="0" w:type="dxa"/>
              <w:right w:w="0" w:type="dxa"/>
            </w:tcMar>
          </w:tcPr>
          <w:p>
            <w:pPr>
              <w:spacing w:before="120" w:after="20"/>
              <w:jc w:val="right"/>
            </w:pPr>
            <w:r>
              <w:rPr>
                <w:rFonts w:ascii="Calibri" w:hAnsi="Calibri"/>
                <w:b w:val="0"/>
                <w:i/>
                <w:color w:val="777777"/>
                <w:sz w:val="18"/>
              </w:rPr>
              <w:t>2022 – 2023</w:t>
            </w:r>
          </w:p>
        </w:tc>
      </w:tr>
    </w:tbl>
    <w:tbl>
      <w:tblGrid>
        <w:gridCol w:w="6952"/>
        <w:gridCol w:w="3272"/>
      </w:tblGrid>
      <w:tblPr>
        <w:tblStyle w:val="TableGrid"/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12"/>
        <w:gridCol w:w="5112"/>
      </w:tblGrid>
      <w:tr>
        <w:tc>
          <w:tcPr>
            <w:tcW w:type="dxa" w:w="6952"/>
            <w:tcMar>
              <w:top w:w="40" w:type="dxa"/>
              <w:bottom w:w="0" w:type="dxa"/>
              <w:left w:w="0" w:type="dxa"/>
              <w:right w:w="0" w:type="dxa"/>
            </w:tcMar>
          </w:tcPr>
          <w:p>
            <w:pPr>
              <w:spacing w:before="20" w:after="40"/>
            </w:pPr>
            <w:r>
              <w:rPr>
                <w:rFonts w:ascii="Calibri" w:hAnsi="Calibri"/>
                <w:b w:val="0"/>
                <w:i/>
                <w:color w:val="444444"/>
                <w:sz w:val="19"/>
              </w:rPr>
              <w:t>IISER Bhopal</w:t>
            </w:r>
          </w:p>
        </w:tc>
        <w:tc>
          <w:tcPr>
            <w:tcW w:type="dxa" w:w="3272"/>
            <w:tcMar>
              <w:top w:w="40" w:type="dxa"/>
              <w:bottom w:w="0" w:type="dxa"/>
              <w:left w:w="0" w:type="dxa"/>
              <w:right w:w="0" w:type="dxa"/>
            </w:tcMar>
          </w:tcPr>
          <w:p>
            <w:pPr>
              <w:spacing w:before="20" w:after="40"/>
              <w:jc w:val="right"/>
            </w:pPr>
            <w:r>
              <w:rPr>
                <w:rFonts w:ascii="Calibri" w:hAnsi="Calibri"/>
                <w:b w:val="0"/>
                <w:i w:val="0"/>
                <w:color w:val="777777"/>
                <w:sz w:val="18"/>
              </w:rPr>
            </w:r>
          </w:p>
        </w:tc>
      </w:tr>
    </w:tbl>
    <w:p>
      <w:pPr>
        <w:pStyle w:val="ListBullet"/>
        <w:spacing w:before="20" w:after="20" w:line="260" w:lineRule="exact"/>
        <w:ind w:left="288"/>
      </w:pPr>
      <w:r>
        <w:rPr>
          <w:rFonts w:ascii="Calibri" w:hAnsi="Calibri"/>
          <w:color w:val="444444"/>
          <w:sz w:val="19"/>
        </w:rPr>
        <w:t>Co-developed an autonomous rover capable of off-road exploration, navigation, and terrain mapping — designed for planetary exploration scenarios.</w:t>
      </w:r>
    </w:p>
    <w:p>
      <w:pPr>
        <w:pStyle w:val="ListBullet"/>
        <w:spacing w:before="20" w:after="20" w:line="260" w:lineRule="exact"/>
        <w:ind w:left="288"/>
      </w:pPr>
      <w:r>
        <w:rPr>
          <w:rFonts w:ascii="Calibri" w:hAnsi="Calibri"/>
          <w:color w:val="444444"/>
          <w:sz w:val="19"/>
        </w:rPr>
        <w:t>Team advanced to and won the Semi-Final Round of the national competition.</w:t>
      </w:r>
    </w:p>
    <w:tbl>
      <w:tblGrid>
        <w:gridCol w:w="6952"/>
        <w:gridCol w:w="3272"/>
      </w:tblGrid>
      <w:tblPr>
        <w:tblStyle w:val="TableGrid"/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12"/>
        <w:gridCol w:w="5112"/>
      </w:tblGrid>
      <w:tr>
        <w:tc>
          <w:tcPr>
            <w:tcW w:type="dxa" w:w="6952"/>
            <w:tcMar>
              <w:top w:w="40" w:type="dxa"/>
              <w:bottom w:w="0" w:type="dxa"/>
              <w:left w:w="0" w:type="dxa"/>
              <w:right w:w="0" w:type="dxa"/>
            </w:tcMar>
          </w:tcPr>
          <w:p>
            <w:pPr>
              <w:spacing w:before="120" w:after="20"/>
            </w:pPr>
            <w:r>
              <w:rPr>
                <w:rFonts w:ascii="Calibri" w:hAnsi="Calibri"/>
                <w:b/>
                <w:i w:val="0"/>
                <w:color w:val="0D7E8C"/>
                <w:sz w:val="21"/>
              </w:rPr>
              <w:t>Pressure Sensor Simulation</w:t>
            </w:r>
          </w:p>
        </w:tc>
        <w:tc>
          <w:tcPr>
            <w:tcW w:type="dxa" w:w="3272"/>
            <w:tcMar>
              <w:top w:w="40" w:type="dxa"/>
              <w:bottom w:w="0" w:type="dxa"/>
              <w:left w:w="0" w:type="dxa"/>
              <w:right w:w="0" w:type="dxa"/>
            </w:tcMar>
          </w:tcPr>
          <w:p>
            <w:pPr>
              <w:spacing w:before="120" w:after="20"/>
              <w:jc w:val="right"/>
            </w:pPr>
            <w:r>
              <w:rPr>
                <w:rFonts w:ascii="Calibri" w:hAnsi="Calibri"/>
                <w:b w:val="0"/>
                <w:i/>
                <w:color w:val="777777"/>
                <w:sz w:val="18"/>
              </w:rPr>
              <w:t>Nov 2024</w:t>
            </w:r>
          </w:p>
        </w:tc>
      </w:tr>
    </w:tbl>
    <w:tbl>
      <w:tblGrid>
        <w:gridCol w:w="6952"/>
        <w:gridCol w:w="3272"/>
      </w:tblGrid>
      <w:tblPr>
        <w:tblStyle w:val="TableGrid"/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12"/>
        <w:gridCol w:w="5112"/>
      </w:tblGrid>
      <w:tr>
        <w:tc>
          <w:tcPr>
            <w:tcW w:type="dxa" w:w="6952"/>
            <w:tcMar>
              <w:top w:w="40" w:type="dxa"/>
              <w:bottom w:w="0" w:type="dxa"/>
              <w:left w:w="0" w:type="dxa"/>
              <w:right w:w="0" w:type="dxa"/>
            </w:tcMar>
          </w:tcPr>
          <w:p>
            <w:pPr>
              <w:spacing w:before="20" w:after="40"/>
            </w:pPr>
            <w:r>
              <w:rPr>
                <w:rFonts w:ascii="Calibri" w:hAnsi="Calibri"/>
                <w:b w:val="0"/>
                <w:i/>
                <w:color w:val="444444"/>
                <w:sz w:val="19"/>
              </w:rPr>
              <w:t>DUDE Lab, IISER Bhopal</w:t>
            </w:r>
          </w:p>
        </w:tc>
        <w:tc>
          <w:tcPr>
            <w:tcW w:type="dxa" w:w="3272"/>
            <w:tcMar>
              <w:top w:w="40" w:type="dxa"/>
              <w:bottom w:w="0" w:type="dxa"/>
              <w:left w:w="0" w:type="dxa"/>
              <w:right w:w="0" w:type="dxa"/>
            </w:tcMar>
          </w:tcPr>
          <w:p>
            <w:pPr>
              <w:spacing w:before="20" w:after="40"/>
              <w:jc w:val="right"/>
            </w:pPr>
            <w:r>
              <w:rPr>
                <w:rFonts w:ascii="Calibri" w:hAnsi="Calibri"/>
                <w:b w:val="0"/>
                <w:i w:val="0"/>
                <w:color w:val="777777"/>
                <w:sz w:val="18"/>
              </w:rPr>
            </w:r>
          </w:p>
        </w:tc>
      </w:tr>
    </w:tbl>
    <w:p>
      <w:pPr>
        <w:pStyle w:val="ListBullet"/>
        <w:spacing w:before="20" w:after="20" w:line="260" w:lineRule="exact"/>
        <w:ind w:left="288"/>
      </w:pPr>
      <w:r>
        <w:rPr>
          <w:rFonts w:ascii="Calibri" w:hAnsi="Calibri"/>
          <w:color w:val="444444"/>
          <w:sz w:val="19"/>
        </w:rPr>
        <w:t>Simulated pressure sensor behavior in COMSOL Multiphysics for sensitivity and accuracy analysis; applied MATLAB and Mathematica for data modeling and visualization.</w:t>
      </w:r>
    </w:p>
    <w:p>
      <w:pPr>
        <w:spacing w:before="100" w:after="40"/>
        <w:pBdr>
          <w:top w:val="single" w:sz="12" w:space="4" w:color="0D7E8C"/>
        </w:pBdr>
      </w:pPr>
      <w:r>
        <w:rPr>
          <w:rFonts w:ascii="Calibri" w:hAnsi="Calibri"/>
          <w:b/>
          <w:caps/>
          <w:color w:val="0D7E8C"/>
          <w:sz w:val="19"/>
        </w:rPr>
        <w:t>TECHNICAL SKILLS</w:t>
      </w:r>
    </w:p>
    <w:p>
      <w:pPr>
        <w:spacing w:before="80" w:after="0"/>
      </w:pPr>
    </w:p>
    <w:p>
      <w:pPr>
        <w:spacing w:before="20" w:after="40" w:line="260" w:lineRule="exact"/>
      </w:pPr>
      <w:r>
        <w:rPr>
          <w:rFonts w:ascii="Calibri" w:hAnsi="Calibri"/>
          <w:b/>
          <w:color w:val="1A2E4A"/>
          <w:sz w:val="19"/>
        </w:rPr>
        <w:t xml:space="preserve">Languages: </w:t>
      </w:r>
      <w:r>
        <w:rPr>
          <w:rFonts w:ascii="Calibri" w:hAnsi="Calibri"/>
          <w:color w:val="444444"/>
          <w:sz w:val="19"/>
        </w:rPr>
        <w:t>Python, C/C++, MATLAB, Mathematica, R</w:t>
      </w:r>
    </w:p>
    <w:p>
      <w:pPr>
        <w:spacing w:before="20" w:after="40" w:line="260" w:lineRule="exact"/>
      </w:pPr>
      <w:r>
        <w:rPr>
          <w:rFonts w:ascii="Calibri" w:hAnsi="Calibri"/>
          <w:b/>
          <w:color w:val="1A2E4A"/>
          <w:sz w:val="19"/>
        </w:rPr>
        <w:t xml:space="preserve">AI / ML: </w:t>
      </w:r>
      <w:r>
        <w:rPr>
          <w:rFonts w:ascii="Calibri" w:hAnsi="Calibri"/>
          <w:color w:val="444444"/>
          <w:sz w:val="19"/>
        </w:rPr>
        <w:t>PyTorch, TensorFlow, OpenCV, MARL, Reinforcement Learning, Multi-Agent Systems, RAG, FAISS, LLM APIs (Gemini, IBM Granite)</w:t>
      </w:r>
    </w:p>
    <w:p>
      <w:pPr>
        <w:spacing w:before="20" w:after="40" w:line="260" w:lineRule="exact"/>
      </w:pPr>
      <w:r>
        <w:rPr>
          <w:rFonts w:ascii="Calibri" w:hAnsi="Calibri"/>
          <w:b/>
          <w:color w:val="1A2E4A"/>
          <w:sz w:val="19"/>
        </w:rPr>
        <w:t xml:space="preserve">Robotics: </w:t>
      </w:r>
      <w:r>
        <w:rPr>
          <w:rFonts w:ascii="Calibri" w:hAnsi="Calibri"/>
          <w:color w:val="444444"/>
          <w:sz w:val="19"/>
        </w:rPr>
        <w:t>ROS / ROS2, Gazebo, Pixhawk, LiDAR, NVIDIA AGX Orin / Jetson, IoT &amp; Embedded Systems</w:t>
      </w:r>
    </w:p>
    <w:p>
      <w:pPr>
        <w:spacing w:before="20" w:after="40" w:line="260" w:lineRule="exact"/>
      </w:pPr>
      <w:r>
        <w:rPr>
          <w:rFonts w:ascii="Calibri" w:hAnsi="Calibri"/>
          <w:b/>
          <w:color w:val="1A2E4A"/>
          <w:sz w:val="19"/>
        </w:rPr>
        <w:t xml:space="preserve">Engineering: </w:t>
      </w:r>
      <w:r>
        <w:rPr>
          <w:rFonts w:ascii="Calibri" w:hAnsi="Calibri"/>
          <w:color w:val="444444"/>
          <w:sz w:val="19"/>
        </w:rPr>
        <w:t>SolidWorks, Fusion 360, COMSOL Multiphysics, 3D Printing, Arduino IDE</w:t>
      </w:r>
    </w:p>
    <w:p>
      <w:pPr>
        <w:spacing w:before="20" w:after="40" w:line="260" w:lineRule="exact"/>
      </w:pPr>
      <w:r>
        <w:rPr>
          <w:rFonts w:ascii="Calibri" w:hAnsi="Calibri"/>
          <w:b/>
          <w:color w:val="1A2E4A"/>
          <w:sz w:val="19"/>
        </w:rPr>
        <w:t xml:space="preserve">Networking: </w:t>
      </w:r>
      <w:r>
        <w:rPr>
          <w:rFonts w:ascii="Calibri" w:hAnsi="Calibri"/>
          <w:color w:val="444444"/>
          <w:sz w:val="19"/>
        </w:rPr>
        <w:t>TCP/IP, OSPF, RIP, IPv4/IPv6, NS-3</w:t>
      </w:r>
    </w:p>
    <w:p>
      <w:pPr>
        <w:spacing w:before="20" w:after="40" w:line="260" w:lineRule="exact"/>
      </w:pPr>
      <w:r>
        <w:rPr>
          <w:rFonts w:ascii="Calibri" w:hAnsi="Calibri"/>
          <w:b/>
          <w:color w:val="1A2E4A"/>
          <w:sz w:val="19"/>
        </w:rPr>
        <w:t xml:space="preserve">Tools: </w:t>
      </w:r>
      <w:r>
        <w:rPr>
          <w:rFonts w:ascii="Calibri" w:hAnsi="Calibri"/>
          <w:color w:val="444444"/>
          <w:sz w:val="19"/>
        </w:rPr>
        <w:t>Podman / Podman AI Lab, Streamlit, Flask, RDKit, Blender, DaVinci Resolve, Git</w:t>
      </w:r>
    </w:p>
    <w:p>
      <w:pPr>
        <w:spacing w:before="100" w:after="40"/>
        <w:pBdr>
          <w:top w:val="single" w:sz="12" w:space="4" w:color="0D7E8C"/>
        </w:pBdr>
      </w:pPr>
      <w:r>
        <w:rPr>
          <w:rFonts w:ascii="Calibri" w:hAnsi="Calibri"/>
          <w:b/>
          <w:caps/>
          <w:color w:val="0D7E8C"/>
          <w:sz w:val="19"/>
        </w:rPr>
        <w:t>ADDITIONAL</w:t>
      </w:r>
    </w:p>
    <w:tbl>
      <w:tblGrid>
        <w:gridCol w:w="6952"/>
        <w:gridCol w:w="3272"/>
      </w:tblGrid>
      <w:tblPr>
        <w:tblStyle w:val="TableGrid"/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12"/>
        <w:gridCol w:w="5112"/>
      </w:tblGrid>
      <w:tr>
        <w:tc>
          <w:tcPr>
            <w:tcW w:type="dxa" w:w="6952"/>
            <w:tcMar>
              <w:top w:w="40" w:type="dxa"/>
              <w:bottom w:w="0" w:type="dxa"/>
              <w:left w:w="0" w:type="dxa"/>
              <w:right w:w="0" w:type="dxa"/>
            </w:tcMar>
          </w:tcPr>
          <w:p>
            <w:pPr>
              <w:spacing w:before="80" w:after="20"/>
            </w:pPr>
            <w:r>
              <w:rPr>
                <w:rFonts w:ascii="Calibri" w:hAnsi="Calibri"/>
                <w:b w:val="0"/>
                <w:i w:val="0"/>
                <w:color w:val="444444"/>
                <w:sz w:val="19"/>
              </w:rPr>
              <w:t>Subject Expert — Physics, Mathematics, Chemistry (Chegg)</w:t>
            </w:r>
          </w:p>
        </w:tc>
        <w:tc>
          <w:tcPr>
            <w:tcW w:type="dxa" w:w="3272"/>
            <w:tcMar>
              <w:top w:w="40" w:type="dxa"/>
              <w:bottom w:w="0" w:type="dxa"/>
              <w:left w:w="0" w:type="dxa"/>
              <w:right w:w="0" w:type="dxa"/>
            </w:tcMar>
          </w:tcPr>
          <w:p>
            <w:pPr>
              <w:spacing w:before="80" w:after="20"/>
              <w:jc w:val="right"/>
            </w:pPr>
            <w:r>
              <w:rPr>
                <w:rFonts w:ascii="Calibri" w:hAnsi="Calibri"/>
                <w:b w:val="0"/>
                <w:i/>
                <w:color w:val="777777"/>
                <w:sz w:val="18"/>
              </w:rPr>
              <w:t>3 yrs · 2 yrs · 1 yr</w:t>
            </w:r>
          </w:p>
        </w:tc>
      </w:tr>
    </w:tbl>
    <w:tbl>
      <w:tblGrid>
        <w:gridCol w:w="6952"/>
        <w:gridCol w:w="3272"/>
      </w:tblGrid>
      <w:tblPr>
        <w:tblStyle w:val="TableGrid"/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12"/>
        <w:gridCol w:w="5112"/>
      </w:tblGrid>
      <w:tr>
        <w:tc>
          <w:tcPr>
            <w:tcW w:type="dxa" w:w="6952"/>
            <w:tcMar>
              <w:top w:w="4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/>
            </w:pPr>
            <w:r>
              <w:rPr>
                <w:rFonts w:ascii="Calibri" w:hAnsi="Calibri"/>
                <w:b w:val="0"/>
                <w:i w:val="0"/>
                <w:color w:val="444444"/>
                <w:sz w:val="19"/>
              </w:rPr>
              <w:t>Chief Video Editor &amp; Graphic Designer — Enthuzia, IISERB</w:t>
            </w:r>
          </w:p>
        </w:tc>
        <w:tc>
          <w:tcPr>
            <w:tcW w:type="dxa" w:w="3272"/>
            <w:tcMar>
              <w:top w:w="4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/>
              <w:jc w:val="right"/>
            </w:pPr>
            <w:r>
              <w:rPr>
                <w:rFonts w:ascii="Calibri" w:hAnsi="Calibri"/>
                <w:b w:val="0"/>
                <w:i w:val="0"/>
                <w:color w:val="777777"/>
                <w:sz w:val="18"/>
              </w:rPr>
            </w:r>
          </w:p>
        </w:tc>
      </w:tr>
    </w:tbl>
    <w:tbl>
      <w:tblGrid>
        <w:gridCol w:w="6952"/>
        <w:gridCol w:w="3272"/>
      </w:tblGrid>
      <w:tblPr>
        <w:tblStyle w:val="TableGrid"/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12"/>
        <w:gridCol w:w="5112"/>
      </w:tblGrid>
      <w:tr>
        <w:tc>
          <w:tcPr>
            <w:tcW w:type="dxa" w:w="6952"/>
            <w:tcMar>
              <w:top w:w="4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/>
            </w:pPr>
            <w:r>
              <w:rPr>
                <w:rFonts w:ascii="Calibri" w:hAnsi="Calibri"/>
                <w:b w:val="0"/>
                <w:i w:val="0"/>
                <w:color w:val="444444"/>
                <w:sz w:val="19"/>
              </w:rPr>
              <w:t>Core Committee Member — CNC Club, IISERB</w:t>
            </w:r>
          </w:p>
        </w:tc>
        <w:tc>
          <w:tcPr>
            <w:tcW w:type="dxa" w:w="3272"/>
            <w:tcMar>
              <w:top w:w="4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/>
              <w:jc w:val="right"/>
            </w:pPr>
            <w:r>
              <w:rPr>
                <w:rFonts w:ascii="Calibri" w:hAnsi="Calibri"/>
                <w:b w:val="0"/>
                <w:i w:val="0"/>
                <w:color w:val="777777"/>
                <w:sz w:val="18"/>
              </w:rPr>
            </w:r>
          </w:p>
        </w:tc>
      </w:tr>
    </w:tbl>
    <w:p>
      <w:pPr>
        <w:spacing w:before="80" w:after="0"/>
      </w:pPr>
    </w:p>
    <w:p>
      <w:pPr>
        <w:spacing w:before="20" w:after="40" w:line="260" w:lineRule="exact"/>
      </w:pPr>
      <w:r>
        <w:rPr>
          <w:rFonts w:ascii="Calibri" w:hAnsi="Calibri"/>
          <w:b/>
          <w:color w:val="1A2E4A"/>
          <w:sz w:val="19"/>
        </w:rPr>
        <w:t xml:space="preserve">Languages: </w:t>
      </w:r>
      <w:r>
        <w:rPr>
          <w:rFonts w:ascii="Calibri" w:hAnsi="Calibri"/>
          <w:color w:val="444444"/>
          <w:sz w:val="19"/>
        </w:rPr>
        <w:t>English (TOEFL 103/120), Hindi (Native), Marathi (Native), German (Beginner), Japanese (Beginner)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