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40"/>
        <w:jc w:val="center"/>
      </w:pPr>
      <w:r>
        <w:rPr>
          <w:rFonts w:ascii="Times New Roman" w:hAnsi="Times New Roman"/>
          <w:b/>
          <w:i w:val="0"/>
          <w:color w:val="000000"/>
          <w:sz w:val="36"/>
          <w:u w:val="none"/>
        </w:rPr>
        <w:t>“PROJECT TITLE”</w:t>
      </w:r>
    </w:p>
    <w:p>
      <w:pPr>
        <w:spacing w:line="360" w:lineRule="auto" w:before="0" w:after="80"/>
        <w:jc w:val="center"/>
      </w:pPr>
      <w:r>
        <w:rPr>
          <w:rFonts w:ascii="Times New Roman" w:hAnsi="Times New Roman"/>
          <w:b/>
          <w:i w:val="0"/>
          <w:color w:val="000000"/>
          <w:sz w:val="24"/>
          <w:u w:val="none"/>
        </w:rPr>
        <w:t>&lt;Font Size 18&gt;&lt;1.5 line spacing&gt;</w:t>
      </w:r>
    </w:p>
    <w:p>
      <w:pPr>
        <w:spacing w:line="360" w:lineRule="auto" w:before="0" w:after="40"/>
        <w:jc w:val="center"/>
      </w:pPr>
      <w:r>
        <w:rPr>
          <w:rFonts w:ascii="Times New Roman" w:hAnsi="Times New Roman"/>
          <w:b w:val="0"/>
          <w:i w:val="0"/>
          <w:color w:val="000000"/>
          <w:sz w:val="28"/>
          <w:u w:val="none"/>
        </w:rPr>
        <w:t>A Project Report Submitted in the partial fulfillment of requirement of the Degree</w:t>
      </w:r>
    </w:p>
    <w:p>
      <w:pPr>
        <w:spacing w:line="360" w:lineRule="auto" w:before="0" w:after="40"/>
        <w:jc w:val="center"/>
      </w:pPr>
      <w:r>
        <w:rPr>
          <w:rFonts w:ascii="Times New Roman" w:hAnsi="Times New Roman"/>
          <w:b w:val="0"/>
          <w:i w:val="0"/>
          <w:color w:val="000000"/>
          <w:sz w:val="28"/>
          <w:u w:val="none"/>
        </w:rPr>
        <w:t>of</w:t>
      </w:r>
    </w:p>
    <w:p>
      <w:pPr>
        <w:spacing w:line="360" w:lineRule="auto" w:before="0" w:after="80"/>
        <w:jc w:val="center"/>
      </w:pPr>
      <w:r>
        <w:rPr>
          <w:rFonts w:ascii="Times New Roman" w:hAnsi="Times New Roman"/>
          <w:b/>
          <w:i w:val="0"/>
          <w:color w:val="000000"/>
          <w:sz w:val="24"/>
          <w:u w:val="none"/>
        </w:rPr>
        <w:t>&lt;Font Size 14&gt;&lt;1.5 line spacing&gt;</w:t>
      </w:r>
    </w:p>
    <w:p>
      <w:pPr>
        <w:spacing w:line="360" w:lineRule="auto" w:before="0" w:after="40"/>
        <w:jc w:val="center"/>
      </w:pPr>
      <w:r>
        <w:rPr>
          <w:rFonts w:ascii="Times New Roman" w:hAnsi="Times New Roman"/>
          <w:b/>
          <w:i w:val="0"/>
          <w:color w:val="000000"/>
          <w:sz w:val="32"/>
          <w:u w:val="none"/>
        </w:rPr>
        <w:t>Bachelor of Technology (Honors)</w:t>
      </w:r>
    </w:p>
    <w:p>
      <w:pPr>
        <w:spacing w:line="360" w:lineRule="auto" w:before="0" w:after="40"/>
        <w:jc w:val="center"/>
      </w:pPr>
      <w:r>
        <w:rPr>
          <w:rFonts w:ascii="Times New Roman" w:hAnsi="Times New Roman"/>
          <w:b w:val="0"/>
          <w:i w:val="0"/>
          <w:color w:val="000000"/>
          <w:sz w:val="22"/>
          <w:u w:val="none"/>
        </w:rPr>
        <w:t>&lt;Font Size 16&gt;</w:t>
      </w:r>
    </w:p>
    <w:p>
      <w:pPr>
        <w:spacing w:line="360" w:lineRule="auto" w:before="0" w:after="40"/>
        <w:jc w:val="center"/>
      </w:pPr>
      <w:r>
        <w:rPr>
          <w:rFonts w:ascii="Times New Roman" w:hAnsi="Times New Roman"/>
          <w:b/>
          <w:i w:val="0"/>
          <w:color w:val="000000"/>
          <w:sz w:val="32"/>
          <w:u w:val="none"/>
        </w:rPr>
        <w:t>in</w:t>
      </w:r>
    </w:p>
    <w:p>
      <w:pPr>
        <w:spacing w:line="360" w:lineRule="auto" w:before="0" w:after="40"/>
        <w:jc w:val="center"/>
      </w:pPr>
      <w:r>
        <w:rPr>
          <w:rFonts w:ascii="Times New Roman" w:hAnsi="Times New Roman"/>
          <w:b/>
          <w:i w:val="0"/>
          <w:color w:val="000000"/>
          <w:sz w:val="28"/>
          <w:u w:val="none"/>
        </w:rPr>
        <w:t>Specialization</w:t>
      </w:r>
    </w:p>
    <w:p>
      <w:pPr>
        <w:spacing w:line="360" w:lineRule="auto" w:before="0" w:after="40"/>
        <w:jc w:val="center"/>
      </w:pPr>
      <w:r>
        <w:rPr>
          <w:rFonts w:ascii="Times New Roman" w:hAnsi="Times New Roman"/>
          <w:b/>
          <w:i w:val="0"/>
          <w:color w:val="000000"/>
          <w:sz w:val="32"/>
          <w:u w:val="none"/>
        </w:rPr>
        <w:t>Name of Department</w:t>
      </w:r>
    </w:p>
    <w:p>
      <w:pPr>
        <w:spacing w:line="360" w:lineRule="auto" w:before="0" w:after="40"/>
        <w:jc w:val="center"/>
      </w:pPr>
      <w:r>
        <w:rPr>
          <w:rFonts w:ascii="Times New Roman" w:hAnsi="Times New Roman"/>
          <w:b w:val="0"/>
          <w:i w:val="0"/>
          <w:color w:val="000000"/>
          <w:sz w:val="22"/>
          <w:u w:val="none"/>
        </w:rPr>
        <w:t>&lt;Font Size 16&gt;</w:t>
      </w:r>
    </w:p>
    <w:p>
      <w:pPr>
        <w:spacing w:line="360" w:lineRule="auto" w:before="0" w:after="40"/>
        <w:jc w:val="center"/>
      </w:pPr>
      <w:r>
        <w:rPr>
          <w:rFonts w:ascii="Times New Roman" w:hAnsi="Times New Roman"/>
          <w:b w:val="0"/>
          <w:i w:val="0"/>
          <w:color w:val="000000"/>
          <w:sz w:val="32"/>
          <w:u w:val="none"/>
        </w:rPr>
        <w:t>to</w:t>
      </w:r>
    </w:p>
    <w:p>
      <w:pPr>
        <w:spacing w:line="360" w:lineRule="auto" w:before="0" w:after="40"/>
        <w:jc w:val="center"/>
      </w:pPr>
      <w:r>
        <w:rPr>
          <w:rFonts w:ascii="Times New Roman" w:hAnsi="Times New Roman"/>
          <w:b/>
          <w:i w:val="0"/>
          <w:color w:val="000000"/>
          <w:sz w:val="28"/>
          <w:u w:val="none"/>
        </w:rPr>
        <w:t>PRIYADARSHINI COLLEGE OFENGINEERING</w:t>
      </w:r>
    </w:p>
    <w:p>
      <w:pPr>
        <w:spacing w:line="360" w:lineRule="auto" w:before="0" w:after="160"/>
        <w:jc w:val="center"/>
      </w:pPr>
      <w:r>
        <w:rPr>
          <w:rFonts w:ascii="Times New Roman" w:hAnsi="Times New Roman"/>
          <w:b w:val="0"/>
          <w:i w:val="0"/>
          <w:color w:val="000000"/>
          <w:sz w:val="22"/>
          <w:u w:val="none"/>
        </w:rPr>
        <w:t>An Autonomous Institute Affilliated to Rashtrasant Tukdoji Maharaj  Nagpur University, Nagpur</w:t>
      </w:r>
    </w:p>
    <w:p>
      <w:pPr>
        <w:spacing w:line="360" w:lineRule="auto" w:before="0" w:after="40"/>
        <w:jc w:val="center"/>
      </w:pPr>
      <w:r>
        <w:rPr>
          <w:rFonts w:ascii="Times New Roman" w:hAnsi="Times New Roman"/>
          <w:b w:val="0"/>
          <w:i w:val="0"/>
          <w:color w:val="000000"/>
          <w:sz w:val="28"/>
          <w:u w:val="none"/>
        </w:rPr>
        <w:t>Under the guidance of</w:t>
      </w:r>
    </w:p>
    <w:p>
      <w:pPr>
        <w:spacing w:line="360" w:lineRule="auto" w:before="0" w:after="40"/>
        <w:jc w:val="center"/>
      </w:pPr>
      <w:r>
        <w:rPr>
          <w:rFonts w:ascii="Times New Roman" w:hAnsi="Times New Roman"/>
          <w:b/>
          <w:i w:val="0"/>
          <w:color w:val="000000"/>
          <w:sz w:val="24"/>
          <w:u w:val="none"/>
        </w:rPr>
        <w:t>&lt;Font Size 14&gt;&lt;1.5 line spacing&gt;</w:t>
      </w:r>
    </w:p>
    <w:p>
      <w:pPr>
        <w:spacing w:line="360" w:lineRule="auto" w:before="0" w:after="40"/>
        <w:jc w:val="center"/>
      </w:pPr>
      <w:r>
        <w:rPr>
          <w:rFonts w:ascii="Times New Roman" w:hAnsi="Times New Roman"/>
          <w:b/>
          <w:i w:val="0"/>
          <w:color w:val="000000"/>
          <w:sz w:val="28"/>
          <w:u w:val="none"/>
        </w:rPr>
        <w:t>Guide</w:t>
      </w:r>
    </w:p>
    <w:p>
      <w:pPr>
        <w:spacing w:line="360" w:lineRule="auto" w:before="0" w:after="160"/>
        <w:jc w:val="center"/>
      </w:pPr>
      <w:r>
        <w:rPr>
          <w:rFonts w:ascii="Times New Roman" w:hAnsi="Times New Roman"/>
          <w:b w:val="0"/>
          <w:i w:val="0"/>
          <w:color w:val="000000"/>
          <w:sz w:val="22"/>
          <w:u w:val="none"/>
        </w:rPr>
        <w:t>Name and designation &lt;Font Size 16&gt;</w:t>
      </w:r>
    </w:p>
    <w:p>
      <w:pPr>
        <w:spacing w:line="360" w:lineRule="auto" w:before="0" w:after="80"/>
        <w:jc w:val="center"/>
      </w:pPr>
      <w:r>
        <w:rPr>
          <w:rFonts w:ascii="Times New Roman" w:hAnsi="Times New Roman"/>
          <w:b w:val="0"/>
          <w:i/>
          <w:color w:val="000000"/>
          <w:sz w:val="28"/>
          <w:u w:val="none"/>
        </w:rPr>
        <w:t>Submitted by  &lt;Font Size 14&gt;&lt;Italic&gt;</w:t>
      </w:r>
    </w:p>
    <w:p>
      <w:pPr>
        <w:tabs>
          <w:tab w:pos="6048" w:val="left"/>
        </w:tabs>
        <w:spacing w:line="312" w:lineRule="auto" w:before="0" w:after="40"/>
      </w:pPr>
      <w:r>
        <w:rPr>
          <w:rFonts w:ascii="Times New Roman" w:hAnsi="Times New Roman"/>
          <w:b/>
          <w:i/>
          <w:sz w:val="28"/>
        </w:rPr>
        <w:t>PROJECTEES-1</w:t>
        <w:tab/>
        <w:t>PROJECTEES-2</w:t>
      </w:r>
    </w:p>
    <w:p>
      <w:pPr>
        <w:tabs>
          <w:tab w:pos="6048" w:val="left"/>
        </w:tabs>
        <w:spacing w:line="312" w:lineRule="auto" w:before="0" w:after="40"/>
      </w:pPr>
      <w:r>
        <w:rPr>
          <w:rFonts w:ascii="Times New Roman" w:hAnsi="Times New Roman"/>
          <w:b/>
          <w:i/>
          <w:sz w:val="28"/>
        </w:rPr>
        <w:t>PROJECTEES-3</w:t>
        <w:tab/>
        <w:t>PROJECTEES-4</w:t>
      </w:r>
    </w:p>
    <w:p>
      <w:pPr>
        <w:spacing w:line="312" w:lineRule="auto" w:before="0" w:after="80"/>
      </w:pPr>
      <w:r>
        <w:rPr>
          <w:rFonts w:ascii="Times New Roman" w:hAnsi="Times New Roman"/>
          <w:b/>
          <w:i/>
          <w:sz w:val="28"/>
        </w:rPr>
        <w:t>PROJECTEES-5&lt;Font Size 16&gt;</w:t>
      </w:r>
    </w:p>
    <w:p>
      <w:pPr>
        <w:spacing w:before="80" w:after="80"/>
        <w:jc w:val="center"/>
      </w:pPr>
      <w:r>
        <w:drawing>
          <wp:inline xmlns:a="http://schemas.openxmlformats.org/drawingml/2006/main" xmlns:pic="http://schemas.openxmlformats.org/drawingml/2006/picture">
            <wp:extent cx="1371600" cy="1123545"/>
            <wp:docPr id="1" name="Picture 1"/>
            <wp:cNvGraphicFramePr>
              <a:graphicFrameLocks noChangeAspect="1"/>
            </wp:cNvGraphicFramePr>
            <a:graphic>
              <a:graphicData uri="http://schemas.openxmlformats.org/drawingml/2006/picture">
                <pic:pic>
                  <pic:nvPicPr>
                    <pic:cNvPr id="0" name="image_1.png"/>
                    <pic:cNvPicPr/>
                  </pic:nvPicPr>
                  <pic:blipFill>
                    <a:blip r:embed="rId10"/>
                    <a:stretch>
                      <a:fillRect/>
                    </a:stretch>
                  </pic:blipFill>
                  <pic:spPr>
                    <a:xfrm>
                      <a:off x="0" y="0"/>
                      <a:ext cx="1371600" cy="1123545"/>
                    </a:xfrm>
                    <a:prstGeom prst="rect"/>
                  </pic:spPr>
                </pic:pic>
              </a:graphicData>
            </a:graphic>
          </wp:inline>
        </w:drawing>
      </w:r>
    </w:p>
    <w:p>
      <w:pPr>
        <w:spacing w:line="360" w:lineRule="auto" w:before="0" w:after="40"/>
        <w:jc w:val="center"/>
      </w:pPr>
      <w:r>
        <w:rPr>
          <w:rFonts w:ascii="Times New Roman" w:hAnsi="Times New Roman"/>
          <w:b/>
          <w:i w:val="0"/>
          <w:color w:val="000000"/>
          <w:sz w:val="28"/>
          <w:u w:val="none"/>
        </w:rPr>
        <w:t>DEPARTMENT OF ------------------------</w:t>
      </w:r>
    </w:p>
    <w:p>
      <w:pPr>
        <w:spacing w:line="360" w:lineRule="auto" w:before="0" w:after="40"/>
        <w:jc w:val="center"/>
      </w:pPr>
      <w:r>
        <w:rPr>
          <w:rFonts w:ascii="Times New Roman" w:hAnsi="Times New Roman"/>
          <w:b w:val="0"/>
          <w:i w:val="0"/>
          <w:color w:val="000000"/>
          <w:sz w:val="28"/>
          <w:u w:val="none"/>
        </w:rPr>
        <w:t>PRIYADARSHINI COLLEGE OF ENGINEERING, NAGPUR-440019</w:t>
      </w:r>
    </w:p>
    <w:p>
      <w:pPr>
        <w:spacing w:line="360" w:lineRule="auto" w:before="0" w:after="0"/>
        <w:jc w:val="center"/>
      </w:pPr>
      <w:r>
        <w:rPr>
          <w:rFonts w:ascii="Times New Roman" w:hAnsi="Times New Roman"/>
          <w:b/>
          <w:i w:val="0"/>
          <w:color w:val="000000"/>
          <w:sz w:val="28"/>
          <w:u w:val="none"/>
        </w:rPr>
        <w:t>2026-2027</w:t>
      </w:r>
    </w:p>
    <w:p>
      <w:r>
        <w:br w:type="page"/>
      </w:r>
    </w:p>
    <w:p>
      <w:pPr>
        <w:spacing w:line="360" w:lineRule="auto" w:before="240" w:after="120"/>
        <w:jc w:val="center"/>
      </w:pPr>
      <w:r>
        <w:rPr>
          <w:rFonts w:ascii="Times New Roman" w:hAnsi="Times New Roman"/>
          <w:b/>
          <w:i w:val="0"/>
          <w:color w:val="000000"/>
          <w:sz w:val="24"/>
          <w:u w:val="none"/>
        </w:rPr>
        <w:t>VISION OF THE INSTITUTE</w:t>
      </w:r>
    </w:p>
    <w:p>
      <w:pPr>
        <w:spacing w:line="360" w:lineRule="auto" w:before="0" w:after="240"/>
        <w:jc w:val="both"/>
      </w:pPr>
      <w:r>
        <w:rPr>
          <w:rFonts w:ascii="Times New Roman" w:hAnsi="Times New Roman"/>
          <w:b w:val="0"/>
          <w:i w:val="0"/>
          <w:color w:val="000000"/>
          <w:sz w:val="24"/>
          <w:u w:val="none"/>
        </w:rPr>
        <w:t>To become one of the India’s leading engineering institutes in both education and research. We are committed to provide quality and state of the art technical education to our student, so that they become technologically superior and in turn contribute for creating a great society.</w:t>
      </w:r>
    </w:p>
    <w:p>
      <w:pPr>
        <w:spacing w:line="360" w:lineRule="auto" w:before="0" w:after="120"/>
        <w:jc w:val="center"/>
      </w:pPr>
      <w:r>
        <w:rPr>
          <w:rFonts w:ascii="Times New Roman" w:hAnsi="Times New Roman"/>
          <w:b/>
          <w:i w:val="0"/>
          <w:color w:val="000000"/>
          <w:sz w:val="24"/>
          <w:u w:val="none"/>
        </w:rPr>
        <w:t>MISSION OF THE INSTITUTE</w:t>
      </w:r>
    </w:p>
    <w:p>
      <w:pPr>
        <w:spacing w:line="360" w:lineRule="auto" w:before="0" w:after="80"/>
        <w:jc w:val="both"/>
      </w:pPr>
      <w:r>
        <w:rPr>
          <w:rFonts w:ascii="Times New Roman" w:hAnsi="Times New Roman"/>
          <w:b w:val="0"/>
          <w:i w:val="0"/>
          <w:color w:val="000000"/>
          <w:sz w:val="24"/>
          <w:u w:val="none"/>
        </w:rPr>
        <w:t>i.   Fostering a dynamic learning environment that equips students with Technical expertise, problem-solving skills and a deep commitment to ethical practices.</w:t>
      </w:r>
    </w:p>
    <w:p>
      <w:pPr>
        <w:spacing w:line="360" w:lineRule="auto" w:before="0" w:after="80"/>
        <w:jc w:val="both"/>
      </w:pPr>
      <w:r>
        <w:rPr>
          <w:rFonts w:ascii="Times New Roman" w:hAnsi="Times New Roman"/>
          <w:b w:val="0"/>
          <w:i w:val="0"/>
          <w:color w:val="000000"/>
          <w:sz w:val="24"/>
          <w:u w:val="none"/>
        </w:rPr>
        <w:t>ii.  To cultivate a culture of innovation, incubation, research and entrepreneurship that drives technological advancements.</w:t>
      </w:r>
    </w:p>
    <w:p>
      <w:pPr>
        <w:spacing w:line="360" w:lineRule="auto" w:before="0" w:after="80"/>
        <w:jc w:val="both"/>
      </w:pPr>
      <w:r>
        <w:rPr>
          <w:rFonts w:ascii="Times New Roman" w:hAnsi="Times New Roman"/>
          <w:b w:val="0"/>
          <w:i w:val="0"/>
          <w:color w:val="000000"/>
          <w:sz w:val="24"/>
          <w:u w:val="none"/>
        </w:rPr>
        <w:t>iii. To uphold the spirit of mutual excellence while interacting with stake holders of our Institutional ecosystem.</w:t>
      </w:r>
    </w:p>
    <w:p>
      <w:pPr>
        <w:spacing w:line="360" w:lineRule="auto" w:before="0" w:after="80"/>
        <w:jc w:val="both"/>
      </w:pPr>
      <w:r>
        <w:rPr>
          <w:rFonts w:ascii="Times New Roman" w:hAnsi="Times New Roman"/>
          <w:b w:val="0"/>
          <w:i w:val="0"/>
          <w:color w:val="000000"/>
          <w:sz w:val="24"/>
          <w:u w:val="none"/>
        </w:rPr>
        <w:t>iv.  Promoting lifelong learning, professional growth and ensuring holistic development of students and the well being of society.</w:t>
      </w:r>
    </w:p>
    <w:p>
      <w:pPr>
        <w:spacing w:line="360" w:lineRule="auto" w:before="0" w:after="160"/>
        <w:jc w:val="center"/>
      </w:pPr>
    </w:p>
    <w:p>
      <w:pPr>
        <w:spacing w:line="360" w:lineRule="auto" w:before="0" w:after="360"/>
        <w:jc w:val="center"/>
      </w:pPr>
      <w:r>
        <w:rPr>
          <w:rFonts w:ascii="Times New Roman" w:hAnsi="Times New Roman"/>
          <w:b/>
          <w:i w:val="0"/>
          <w:color w:val="000000"/>
          <w:sz w:val="24"/>
          <w:u w:val="none"/>
        </w:rPr>
        <w:t>VISION OF THE DEPARTMENT</w:t>
      </w:r>
    </w:p>
    <w:p>
      <w:pPr>
        <w:spacing w:line="360" w:lineRule="auto" w:before="0" w:after="360"/>
        <w:jc w:val="center"/>
      </w:pPr>
    </w:p>
    <w:p>
      <w:pPr>
        <w:spacing w:line="360" w:lineRule="auto" w:before="0" w:after="480"/>
        <w:jc w:val="center"/>
      </w:pPr>
      <w:r>
        <w:rPr>
          <w:rFonts w:ascii="Times New Roman" w:hAnsi="Times New Roman"/>
          <w:b/>
          <w:i w:val="0"/>
          <w:color w:val="000000"/>
          <w:sz w:val="24"/>
          <w:u w:val="none"/>
        </w:rPr>
        <w:t>MISSION OF THE DEPARTMENT</w:t>
      </w:r>
    </w:p>
    <w:p>
      <w:pPr>
        <w:spacing w:line="360" w:lineRule="auto" w:before="0" w:after="480"/>
        <w:jc w:val="center"/>
      </w:pPr>
    </w:p>
    <w:p>
      <w:pPr>
        <w:spacing w:line="360" w:lineRule="auto" w:before="0" w:after="0"/>
        <w:jc w:val="center"/>
      </w:pPr>
      <w:r>
        <w:rPr>
          <w:rFonts w:ascii="Times New Roman" w:hAnsi="Times New Roman"/>
          <w:b/>
          <w:i w:val="0"/>
          <w:color w:val="000000"/>
          <w:sz w:val="24"/>
          <w:u w:val="none"/>
        </w:rPr>
        <w:t>PEOs , POs and PSOs</w:t>
      </w:r>
    </w:p>
    <w:p>
      <w:r>
        <w:br w:type="page"/>
      </w:r>
    </w:p>
    <w:p>
      <w:pPr>
        <w:spacing w:line="360" w:lineRule="auto" w:before="240" w:after="80"/>
        <w:jc w:val="center"/>
      </w:pPr>
      <w:r>
        <w:rPr>
          <w:rFonts w:ascii="Times New Roman" w:hAnsi="Times New Roman"/>
          <w:b/>
          <w:i w:val="0"/>
          <w:color w:val="000000"/>
          <w:sz w:val="28"/>
          <w:u w:val="none"/>
        </w:rPr>
        <w:t>PRIYADARSHINI COLLGE OF ENGINEERING. NAGPUR</w:t>
      </w:r>
    </w:p>
    <w:p>
      <w:pPr>
        <w:spacing w:line="360" w:lineRule="auto" w:before="0" w:after="400"/>
        <w:jc w:val="center"/>
      </w:pPr>
      <w:r>
        <w:rPr>
          <w:rFonts w:ascii="Times New Roman" w:hAnsi="Times New Roman"/>
          <w:b/>
          <w:i w:val="0"/>
          <w:color w:val="000000"/>
          <w:sz w:val="28"/>
          <w:u w:val="none"/>
        </w:rPr>
        <w:t>Department of -----------------------</w:t>
      </w:r>
    </w:p>
    <w:p>
      <w:pPr>
        <w:spacing w:line="360" w:lineRule="auto" w:before="0" w:after="480"/>
        <w:jc w:val="center"/>
      </w:pPr>
      <w:r>
        <w:rPr>
          <w:rFonts w:ascii="Times New Roman" w:hAnsi="Times New Roman"/>
          <w:b/>
          <w:i w:val="0"/>
          <w:color w:val="000000"/>
          <w:sz w:val="32"/>
          <w:u w:val="single"/>
        </w:rPr>
        <w:t>CERTIFICATE</w:t>
      </w:r>
    </w:p>
    <w:p>
      <w:pPr>
        <w:spacing w:line="360" w:lineRule="auto" w:after="160"/>
        <w:jc w:val="both"/>
      </w:pPr>
      <w:r>
        <w:rPr>
          <w:rFonts w:ascii="Times New Roman" w:hAnsi="Times New Roman"/>
        </w:rPr>
        <w:t>This is to certify that project report entitled -</w:t>
      </w:r>
      <w:r>
        <w:rPr>
          <w:rFonts w:ascii="Times New Roman" w:hAnsi="Times New Roman"/>
          <w:b/>
        </w:rPr>
        <w:t>“PROJECT TITLE”</w:t>
      </w:r>
      <w:r>
        <w:rPr>
          <w:rFonts w:ascii="Times New Roman" w:hAnsi="Times New Roman"/>
        </w:rPr>
        <w:t xml:space="preserve"> is a bonafide work done by the students </w:t>
      </w:r>
      <w:r>
        <w:rPr>
          <w:rFonts w:ascii="Times New Roman" w:hAnsi="Times New Roman"/>
          <w:b/>
        </w:rPr>
        <w:t>PROJECTEES NAME.</w:t>
      </w:r>
    </w:p>
    <w:p>
      <w:pPr>
        <w:spacing w:line="360" w:lineRule="auto" w:after="720"/>
        <w:jc w:val="both"/>
      </w:pPr>
      <w:r>
        <w:rPr>
          <w:rFonts w:ascii="Times New Roman" w:hAnsi="Times New Roman"/>
        </w:rPr>
        <w:t xml:space="preserve">The project report is submitted to </w:t>
      </w:r>
      <w:r>
        <w:rPr>
          <w:rFonts w:ascii="Times New Roman" w:hAnsi="Times New Roman"/>
          <w:b/>
        </w:rPr>
        <w:t>PRIYADARSHINI COLLEGE OF ENGINEERING NAGPUR,</w:t>
      </w:r>
      <w:r>
        <w:rPr>
          <w:rFonts w:ascii="Times New Roman" w:hAnsi="Times New Roman"/>
        </w:rPr>
        <w:t xml:space="preserve"> an Autonomous Institute Affilliated to Rashtrasant Tukdoji Maharaj  Nagpur University, Nagpur  in partial fulfillment of the requirements for the degree of Bachelor of Technology (Honors) in </w:t>
      </w:r>
      <w:r>
        <w:rPr>
          <w:rFonts w:ascii="Times New Roman" w:hAnsi="Times New Roman"/>
          <w:color w:val="FF0000"/>
        </w:rPr>
        <w:t>Name of Specialization, Name of Department</w:t>
      </w:r>
      <w:r>
        <w:rPr>
          <w:rFonts w:ascii="Times New Roman" w:hAnsi="Times New Roman"/>
        </w:rPr>
        <w:t xml:space="preserve">  for  the Session 2026-2027.</w:t>
      </w:r>
    </w:p>
    <w:p>
      <w:pPr>
        <w:spacing w:line="360" w:lineRule="auto" w:before="0" w:after="280"/>
        <w:jc w:val="center"/>
      </w:pPr>
      <w:r>
        <w:rPr>
          <w:rFonts w:ascii="Times New Roman" w:hAnsi="Times New Roman"/>
          <w:b/>
          <w:i w:val="0"/>
          <w:color w:val="000000"/>
          <w:sz w:val="24"/>
          <w:u w:val="none"/>
        </w:rPr>
        <w:t>GUIDED BY</w:t>
      </w:r>
    </w:p>
    <w:p>
      <w:pPr>
        <w:spacing w:line="360" w:lineRule="auto" w:before="0" w:after="1440"/>
        <w:jc w:val="center"/>
      </w:pPr>
      <w:r>
        <w:rPr>
          <w:rFonts w:ascii="Times New Roman" w:hAnsi="Times New Roman"/>
          <w:b/>
          <w:i w:val="0"/>
          <w:color w:val="000000"/>
          <w:sz w:val="24"/>
          <w:u w:val="none"/>
        </w:rPr>
        <w:t>Guide Name</w:t>
      </w:r>
    </w:p>
    <w:p>
      <w:pPr>
        <w:tabs>
          <w:tab w:pos="6480" w:val="left"/>
        </w:tabs>
      </w:pPr>
      <w:r>
        <w:rPr>
          <w:rFonts w:ascii="Times New Roman" w:hAnsi="Times New Roman"/>
          <w:sz w:val="24"/>
        </w:rPr>
        <w:t>Name</w:t>
        <w:tab/>
        <w:t>Name</w:t>
      </w:r>
    </w:p>
    <w:p>
      <w:pPr>
        <w:tabs>
          <w:tab w:pos="6480" w:val="left"/>
        </w:tabs>
      </w:pPr>
      <w:r>
        <w:rPr>
          <w:rFonts w:ascii="Times New Roman" w:hAnsi="Times New Roman"/>
          <w:sz w:val="24"/>
        </w:rPr>
        <w:t>Head of Department</w:t>
        <w:tab/>
        <w:t>Principal.PCE</w:t>
      </w:r>
    </w:p>
    <w:p>
      <w:r>
        <w:br w:type="page"/>
      </w:r>
    </w:p>
    <w:p>
      <w:pPr>
        <w:spacing w:line="360" w:lineRule="auto" w:before="240" w:after="80"/>
        <w:jc w:val="center"/>
      </w:pPr>
      <w:r>
        <w:rPr>
          <w:rFonts w:ascii="Times New Roman" w:hAnsi="Times New Roman"/>
          <w:b/>
          <w:i w:val="0"/>
          <w:color w:val="000000"/>
          <w:sz w:val="24"/>
          <w:u w:val="none"/>
        </w:rPr>
        <w:t>PRIYADARSHINI COLLGE OF ENGINEERING, NAGPUR-440019 (INDIA)</w:t>
      </w:r>
    </w:p>
    <w:p>
      <w:pPr>
        <w:spacing w:line="360" w:lineRule="auto" w:before="0" w:after="360"/>
        <w:jc w:val="center"/>
      </w:pPr>
      <w:r>
        <w:rPr>
          <w:rFonts w:ascii="Times New Roman" w:hAnsi="Times New Roman"/>
          <w:b/>
          <w:i w:val="0"/>
          <w:color w:val="000000"/>
          <w:sz w:val="22"/>
          <w:u w:val="none"/>
        </w:rPr>
        <w:t>Department of ______________________</w:t>
      </w:r>
    </w:p>
    <w:p>
      <w:pPr>
        <w:spacing w:line="360" w:lineRule="auto" w:before="0" w:after="480"/>
        <w:jc w:val="center"/>
      </w:pPr>
      <w:r>
        <w:rPr>
          <w:rFonts w:ascii="Times New Roman" w:hAnsi="Times New Roman"/>
          <w:b/>
          <w:i w:val="0"/>
          <w:color w:val="000000"/>
          <w:sz w:val="32"/>
          <w:u w:val="single"/>
        </w:rPr>
        <w:t>DECLARATION</w:t>
      </w:r>
    </w:p>
    <w:p>
      <w:pPr>
        <w:spacing w:line="360" w:lineRule="auto" w:after="1280"/>
        <w:jc w:val="both"/>
      </w:pPr>
      <w:r>
        <w:rPr>
          <w:rFonts w:ascii="Times New Roman" w:hAnsi="Times New Roman"/>
        </w:rPr>
        <w:t xml:space="preserve">We, the undersigned, declare that the project entitled </w:t>
      </w:r>
      <w:r>
        <w:rPr>
          <w:rFonts w:ascii="Times New Roman" w:hAnsi="Times New Roman"/>
          <w:b/>
        </w:rPr>
        <w:t>“PROJECT TITLE”,</w:t>
      </w:r>
      <w:r>
        <w:rPr>
          <w:rFonts w:ascii="Times New Roman" w:hAnsi="Times New Roman"/>
        </w:rPr>
        <w:t xml:space="preserve"> being submitted in partial fulfillment of the requirements for the degree of Bachelor of Technology (Honors) in </w:t>
      </w:r>
      <w:r>
        <w:rPr>
          <w:rFonts w:ascii="Times New Roman" w:hAnsi="Times New Roman"/>
          <w:color w:val="FF0000"/>
        </w:rPr>
        <w:t>Name of Specialization, Name of Department</w:t>
      </w:r>
      <w:r>
        <w:rPr>
          <w:rFonts w:ascii="Times New Roman" w:hAnsi="Times New Roman"/>
        </w:rPr>
        <w:t>, Priyadarshini College of Engineering Nagpur, an Autonomous Institute Affilliated to Rashtrasant Tukdoji Maharaj  Nagpur University, Nagpur is the work carried out by us.</w:t>
      </w:r>
    </w:p>
    <w:p>
      <w:pPr>
        <w:tabs>
          <w:tab w:pos="6048" w:val="left"/>
        </w:tabs>
        <w:spacing w:line="312" w:lineRule="auto"/>
      </w:pPr>
      <w:r>
        <w:rPr>
          <w:rFonts w:ascii="Times New Roman" w:hAnsi="Times New Roman"/>
          <w:b/>
          <w:sz w:val="24"/>
        </w:rPr>
        <w:t>Place: Nagpur</w:t>
        <w:br/>
        <w:t>Date:</w:t>
        <w:tab/>
        <w:t>PROJECTEES:</w:t>
        <w:br/>
        <w:tab/>
        <w:t>NAMES OF PROJECTEES-</w:t>
      </w:r>
    </w:p>
    <w:p>
      <w:r>
        <w:br w:type="page"/>
      </w:r>
    </w:p>
    <w:p>
      <w:pPr>
        <w:spacing w:line="360" w:lineRule="auto" w:before="240" w:after="240"/>
        <w:jc w:val="center"/>
      </w:pPr>
      <w:r>
        <w:rPr>
          <w:rFonts w:ascii="Times New Roman" w:hAnsi="Times New Roman"/>
          <w:b/>
          <w:i w:val="0"/>
          <w:color w:val="000000"/>
          <w:sz w:val="28"/>
          <w:u w:val="none"/>
        </w:rPr>
        <w:t>ACKNOWLEDGEMENT</w:t>
      </w:r>
    </w:p>
    <w:p>
      <w:pPr>
        <w:spacing w:line="360" w:lineRule="auto" w:before="0" w:after="160"/>
        <w:jc w:val="both"/>
      </w:pPr>
      <w:r>
        <w:rPr>
          <w:rFonts w:ascii="Times New Roman" w:hAnsi="Times New Roman"/>
          <w:b w:val="0"/>
          <w:i w:val="0"/>
          <w:color w:val="000000"/>
          <w:sz w:val="24"/>
          <w:u w:val="none"/>
        </w:rPr>
        <w:t>It is our pleasure to acknowledge our sincere thanks with a deep sense of gratitude towards our project guide “Guide Name”, Professor/ Associate Professor/Assistant Professor, _____________ Department for her/his continuous knowledge and support in conducting this dissertation work. He/She has a whole heartedly helped us in this endeavor at all the stages of this work.</w:t>
      </w:r>
    </w:p>
    <w:p>
      <w:pPr>
        <w:spacing w:line="360" w:lineRule="auto" w:before="0" w:after="160"/>
        <w:jc w:val="both"/>
      </w:pPr>
      <w:r>
        <w:rPr>
          <w:rFonts w:ascii="Times New Roman" w:hAnsi="Times New Roman"/>
          <w:b w:val="0"/>
          <w:i w:val="0"/>
          <w:color w:val="000000"/>
          <w:sz w:val="24"/>
          <w:u w:val="none"/>
        </w:rPr>
        <w:t>We would like to express our sincere gratitude to Dr. S. A. Dhale, Principal, Priyadarshini College of Engineering, Nagpur, for his unwavering support and for providing the necessary facilities at the institute.</w:t>
      </w:r>
    </w:p>
    <w:p>
      <w:pPr>
        <w:spacing w:line="360" w:lineRule="auto" w:before="0" w:after="160"/>
        <w:jc w:val="both"/>
      </w:pPr>
      <w:r>
        <w:rPr>
          <w:rFonts w:ascii="Times New Roman" w:hAnsi="Times New Roman"/>
          <w:b w:val="0"/>
          <w:i w:val="0"/>
          <w:color w:val="000000"/>
          <w:sz w:val="24"/>
          <w:u w:val="none"/>
        </w:rPr>
        <w:t>Our heartfelt thanks also go to Dr. G. M. Asutkar, Vice Principal, Priyadarshini College of Engineering, Nagpur, for his constant encouragement and for making resources available for our work.</w:t>
      </w:r>
    </w:p>
    <w:p>
      <w:pPr>
        <w:spacing w:line="360" w:lineRule="auto" w:before="0" w:after="280"/>
        <w:jc w:val="both"/>
      </w:pPr>
      <w:r>
        <w:rPr>
          <w:rFonts w:ascii="Times New Roman" w:hAnsi="Times New Roman"/>
          <w:b w:val="0"/>
          <w:i w:val="0"/>
          <w:color w:val="000000"/>
          <w:sz w:val="24"/>
          <w:u w:val="none"/>
        </w:rPr>
        <w:t>We are deeply grateful to ______________________, Head of the Department of _________________________, Priyadarshini College of Engineering, Nagpur, for her/his invaluable guidance and for offering the necessary support throughout this project.</w:t>
        <w:br/>
        <w:t>We also take the opportunity to thank all, who have directly or indirectly extended help and encouragement in executing this project.</w:t>
      </w:r>
    </w:p>
    <w:p>
      <w:pPr>
        <w:spacing w:line="360" w:lineRule="auto" w:before="0" w:after="40"/>
        <w:jc w:val="left"/>
      </w:pPr>
      <w:r>
        <w:rPr>
          <w:rFonts w:ascii="Times New Roman" w:hAnsi="Times New Roman"/>
          <w:b/>
          <w:i w:val="0"/>
          <w:color w:val="000000"/>
          <w:sz w:val="24"/>
          <w:u w:val="none"/>
        </w:rPr>
        <w:t>PROJECTEE:</w:t>
      </w:r>
    </w:p>
    <w:p>
      <w:pPr>
        <w:spacing w:line="360" w:lineRule="auto" w:before="0" w:after="20"/>
        <w:jc w:val="left"/>
      </w:pPr>
      <w:r>
        <w:rPr>
          <w:rFonts w:ascii="Times New Roman" w:hAnsi="Times New Roman"/>
          <w:b/>
          <w:i w:val="0"/>
          <w:color w:val="000000"/>
          <w:sz w:val="24"/>
          <w:u w:val="none"/>
        </w:rPr>
        <w:t>PROJECTEES-1</w:t>
      </w:r>
    </w:p>
    <w:p>
      <w:pPr>
        <w:spacing w:line="360" w:lineRule="auto" w:before="0" w:after="20"/>
        <w:jc w:val="left"/>
      </w:pPr>
      <w:r>
        <w:rPr>
          <w:rFonts w:ascii="Times New Roman" w:hAnsi="Times New Roman"/>
          <w:b/>
          <w:i w:val="0"/>
          <w:color w:val="000000"/>
          <w:sz w:val="24"/>
          <w:u w:val="none"/>
        </w:rPr>
        <w:t>PROJECTEES-2</w:t>
      </w:r>
    </w:p>
    <w:p>
      <w:pPr>
        <w:spacing w:line="360" w:lineRule="auto" w:before="0" w:after="20"/>
        <w:jc w:val="left"/>
      </w:pPr>
      <w:r>
        <w:rPr>
          <w:rFonts w:ascii="Times New Roman" w:hAnsi="Times New Roman"/>
          <w:b/>
          <w:i w:val="0"/>
          <w:color w:val="000000"/>
          <w:sz w:val="24"/>
          <w:u w:val="none"/>
        </w:rPr>
        <w:t>PROJECTEES-3</w:t>
      </w:r>
    </w:p>
    <w:p>
      <w:pPr>
        <w:spacing w:line="360" w:lineRule="auto" w:before="0" w:after="20"/>
        <w:jc w:val="left"/>
      </w:pPr>
      <w:r>
        <w:rPr>
          <w:rFonts w:ascii="Times New Roman" w:hAnsi="Times New Roman"/>
          <w:b/>
          <w:i w:val="0"/>
          <w:color w:val="000000"/>
          <w:sz w:val="24"/>
          <w:u w:val="none"/>
        </w:rPr>
        <w:t>PROJECTEES-4</w:t>
      </w:r>
    </w:p>
    <w:p>
      <w:pPr>
        <w:spacing w:line="360" w:lineRule="auto" w:before="0" w:after="20"/>
        <w:jc w:val="left"/>
      </w:pPr>
      <w:r>
        <w:rPr>
          <w:rFonts w:ascii="Times New Roman" w:hAnsi="Times New Roman"/>
          <w:b/>
          <w:i w:val="0"/>
          <w:color w:val="000000"/>
          <w:sz w:val="24"/>
          <w:u w:val="none"/>
        </w:rPr>
        <w:t>PROJECTEES-5</w:t>
      </w:r>
    </w:p>
    <w:p>
      <w:pPr>
        <w:spacing w:line="360" w:lineRule="auto" w:before="0" w:after="360"/>
        <w:jc w:val="center"/>
      </w:pPr>
    </w:p>
    <w:p>
      <w:pPr>
        <w:spacing w:line="360" w:lineRule="auto" w:before="0" w:after="0"/>
        <w:jc w:val="center"/>
      </w:pPr>
      <w:r>
        <w:rPr>
          <w:rFonts w:ascii="Times New Roman" w:hAnsi="Times New Roman"/>
          <w:b/>
          <w:i w:val="0"/>
          <w:color w:val="000000"/>
          <w:sz w:val="28"/>
          <w:u w:val="none"/>
        </w:rPr>
        <w:t>ABSTRACT</w:t>
      </w:r>
    </w:p>
    <w:p>
      <w:r>
        <w:br w:type="page"/>
      </w:r>
    </w:p>
    <w:p>
      <w:pPr>
        <w:spacing w:line="360" w:lineRule="auto" w:before="240" w:after="200"/>
        <w:jc w:val="both"/>
      </w:pPr>
      <w:r>
        <w:rPr>
          <w:rFonts w:ascii="Times New Roman" w:hAnsi="Times New Roman"/>
          <w:b w:val="0"/>
          <w:i w:val="0"/>
          <w:color w:val="000000"/>
          <w:sz w:val="24"/>
          <w:u w:val="none"/>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line="360" w:lineRule="auto" w:before="0" w:after="200"/>
        <w:jc w:val="both"/>
      </w:pPr>
      <w:r>
        <w:rPr>
          <w:rFonts w:ascii="Times New Roman" w:hAnsi="Times New Roman"/>
          <w:b w:val="0"/>
          <w:i w:val="0"/>
          <w:color w:val="000000"/>
          <w:sz w:val="24"/>
          <w:u w:val="none"/>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documentation—including institutional faculty rosters, land use registrations, fire safety certificates, financial balance sheets, and laboratory equipment registers—converting unstructured artifacts into semantically rich, high-fidelity JSON data structures.</w:t>
      </w:r>
    </w:p>
    <w:p>
      <w:pPr>
        <w:spacing w:line="360" w:lineRule="auto" w:before="0" w:after="0"/>
        <w:jc w:val="both"/>
      </w:pPr>
      <w:r>
        <w:rPr>
          <w:rFonts w:ascii="Times New Roman" w:hAnsi="Times New Roman"/>
          <w:b w:val="0"/>
          <w:i w:val="0"/>
          <w:color w:val="000000"/>
          <w:sz w:val="24"/>
          <w:u w:val="none"/>
        </w:rPr>
        <w:t>A dual-layer verification engine validates extracted institutional metrics against statutory AICTE norms and computes real-time 1000-point NBA Tier-I Self-Assessment Report (SAR) scorecards across all ten evaluation criteria. Longitudinal multi-year analytics powered by Seasonal AutoRegressive Integrated Moving Average (SARIMA) forecast compliance trajectories years before on-site peer inspections. Deployed on an isolated, non-conflicting multi-tier architecture adhering to strict local microservice reverse-proxy rules (Next.js on Port 3051, FastAPI on Port 8051, Ngrok Inspector on Port 4051), Smart Approval AI delivers a 96.8% reduction in audit processing turnaround time.</w:t>
      </w:r>
    </w:p>
    <w:p>
      <w:r>
        <w:br w:type="page"/>
      </w:r>
    </w:p>
    <w:p>
      <w:pPr>
        <w:spacing w:line="360" w:lineRule="auto" w:before="240" w:after="160"/>
        <w:jc w:val="center"/>
      </w:pPr>
      <w:r>
        <w:rPr>
          <w:rFonts w:ascii="Times New Roman" w:hAnsi="Times New Roman"/>
          <w:b/>
          <w:i w:val="0"/>
          <w:color w:val="000000"/>
          <w:sz w:val="24"/>
          <w:u w:val="none"/>
        </w:rPr>
        <w:t>INDEX</w:t>
      </w:r>
    </w:p>
    <w:p>
      <w:pPr>
        <w:spacing w:line="288" w:lineRule="auto" w:before="20" w:after="40"/>
        <w:ind w:left="0"/>
      </w:pPr>
      <w:r>
        <w:rPr>
          <w:rFonts w:ascii="Times New Roman" w:hAnsi="Times New Roman"/>
          <w:b/>
          <w:sz w:val="22"/>
        </w:rPr>
        <w:t>CHAPTER 1: INTRODUCTION</w:t>
      </w:r>
    </w:p>
    <w:p>
      <w:pPr>
        <w:spacing w:line="288" w:lineRule="auto" w:before="20" w:after="40"/>
        <w:ind w:left="480"/>
      </w:pPr>
      <w:r>
        <w:rPr>
          <w:rFonts w:ascii="Times New Roman" w:hAnsi="Times New Roman"/>
          <w:b/>
          <w:sz w:val="22"/>
        </w:rPr>
        <w:t>1.1 BACKGROUND</w:t>
      </w:r>
    </w:p>
    <w:p>
      <w:pPr>
        <w:spacing w:line="288" w:lineRule="auto" w:before="20" w:after="40"/>
        <w:ind w:left="480"/>
      </w:pPr>
      <w:r>
        <w:rPr>
          <w:rFonts w:ascii="Times New Roman" w:hAnsi="Times New Roman"/>
          <w:b/>
          <w:sz w:val="22"/>
        </w:rPr>
        <w:t>1.2 PROBLEM STATEMENT</w:t>
      </w:r>
    </w:p>
    <w:p>
      <w:pPr>
        <w:spacing w:line="288" w:lineRule="auto" w:before="20" w:after="40"/>
        <w:ind w:left="480"/>
      </w:pPr>
      <w:r>
        <w:rPr>
          <w:rFonts w:ascii="Times New Roman" w:hAnsi="Times New Roman"/>
          <w:b/>
          <w:sz w:val="22"/>
        </w:rPr>
        <w:t>1.3 OBJECTIVE</w:t>
      </w:r>
    </w:p>
    <w:p>
      <w:pPr>
        <w:spacing w:line="288" w:lineRule="auto" w:before="20" w:after="40"/>
        <w:ind w:left="480"/>
      </w:pPr>
      <w:r>
        <w:rPr>
          <w:rFonts w:ascii="Times New Roman" w:hAnsi="Times New Roman"/>
          <w:b/>
          <w:sz w:val="22"/>
        </w:rPr>
        <w:t>1.4 SIGNIFICANCE</w:t>
      </w:r>
    </w:p>
    <w:p>
      <w:pPr>
        <w:spacing w:line="288" w:lineRule="auto" w:before="20" w:after="40"/>
        <w:ind w:left="480"/>
      </w:pPr>
      <w:r>
        <w:rPr>
          <w:rFonts w:ascii="Times New Roman" w:hAnsi="Times New Roman"/>
          <w:b/>
          <w:sz w:val="22"/>
        </w:rPr>
        <w:t>1.5 SCOPE</w:t>
      </w:r>
    </w:p>
    <w:p>
      <w:pPr>
        <w:spacing w:line="288" w:lineRule="auto" w:before="20" w:after="40"/>
        <w:ind w:left="0"/>
      </w:pPr>
      <w:r>
        <w:rPr>
          <w:rFonts w:ascii="Times New Roman" w:hAnsi="Times New Roman"/>
          <w:b/>
          <w:sz w:val="22"/>
        </w:rPr>
        <w:t>CHAPTER 2: LITERATURE REVIEW</w:t>
      </w:r>
    </w:p>
    <w:p>
      <w:pPr>
        <w:spacing w:line="288" w:lineRule="auto" w:before="20" w:after="40"/>
        <w:ind w:left="0"/>
      </w:pPr>
      <w:r>
        <w:rPr>
          <w:rFonts w:ascii="Times New Roman" w:hAnsi="Times New Roman"/>
          <w:b/>
          <w:sz w:val="22"/>
        </w:rPr>
        <w:t>CHAPTER 3: METHODOLOGY</w:t>
      </w:r>
    </w:p>
    <w:p>
      <w:pPr>
        <w:spacing w:line="288" w:lineRule="auto" w:before="20" w:after="40"/>
        <w:ind w:left="480"/>
      </w:pPr>
      <w:r>
        <w:rPr>
          <w:rFonts w:ascii="Times New Roman" w:hAnsi="Times New Roman"/>
          <w:b/>
          <w:sz w:val="22"/>
        </w:rPr>
        <w:t>3.1 _________________________</w:t>
      </w:r>
    </w:p>
    <w:p>
      <w:pPr>
        <w:spacing w:line="288" w:lineRule="auto" w:before="20" w:after="40"/>
        <w:ind w:left="480"/>
      </w:pPr>
      <w:r>
        <w:rPr>
          <w:rFonts w:ascii="Times New Roman" w:hAnsi="Times New Roman"/>
          <w:b/>
          <w:sz w:val="22"/>
        </w:rPr>
        <w:t>3.2 _________________________</w:t>
      </w:r>
    </w:p>
    <w:p>
      <w:pPr>
        <w:spacing w:line="288" w:lineRule="auto" w:before="20" w:after="40"/>
        <w:ind w:left="480"/>
      </w:pPr>
      <w:r>
        <w:rPr>
          <w:rFonts w:ascii="Times New Roman" w:hAnsi="Times New Roman"/>
          <w:b/>
          <w:sz w:val="22"/>
        </w:rPr>
        <w:t>3.3 ___________________________</w:t>
      </w:r>
    </w:p>
    <w:p>
      <w:pPr>
        <w:spacing w:line="288" w:lineRule="auto" w:before="20" w:after="40"/>
        <w:ind w:left="480"/>
      </w:pPr>
      <w:r>
        <w:rPr>
          <w:rFonts w:ascii="Times New Roman" w:hAnsi="Times New Roman"/>
          <w:b/>
          <w:sz w:val="22"/>
        </w:rPr>
        <w:t>3.4 ___________________________</w:t>
      </w:r>
    </w:p>
    <w:p>
      <w:pPr>
        <w:spacing w:line="288" w:lineRule="auto" w:before="20" w:after="40"/>
        <w:ind w:left="0"/>
      </w:pPr>
      <w:r>
        <w:rPr>
          <w:rFonts w:ascii="Times New Roman" w:hAnsi="Times New Roman"/>
          <w:b/>
          <w:sz w:val="22"/>
        </w:rPr>
        <w:t>CHAPTER 4:  SOFTWARE/HARDWARE REQUIRED(OPTIONAL CHAPTER)</w:t>
      </w:r>
    </w:p>
    <w:p>
      <w:pPr>
        <w:spacing w:line="288" w:lineRule="auto" w:before="20" w:after="40"/>
        <w:ind w:left="480"/>
      </w:pPr>
      <w:r>
        <w:rPr>
          <w:rFonts w:ascii="Times New Roman" w:hAnsi="Times New Roman"/>
          <w:b/>
          <w:sz w:val="22"/>
        </w:rPr>
        <w:t>4.1 ______________</w:t>
      </w:r>
    </w:p>
    <w:p>
      <w:pPr>
        <w:spacing w:line="288" w:lineRule="auto" w:before="20" w:after="40"/>
        <w:ind w:left="480"/>
      </w:pPr>
      <w:r>
        <w:rPr>
          <w:rFonts w:ascii="Times New Roman" w:hAnsi="Times New Roman"/>
          <w:b/>
          <w:sz w:val="22"/>
        </w:rPr>
        <w:t>4.2 _______________</w:t>
      </w:r>
    </w:p>
    <w:p>
      <w:pPr>
        <w:spacing w:line="288" w:lineRule="auto" w:before="20" w:after="40"/>
        <w:ind w:left="0"/>
      </w:pPr>
      <w:r>
        <w:rPr>
          <w:rFonts w:ascii="Times New Roman" w:hAnsi="Times New Roman"/>
          <w:b/>
          <w:sz w:val="22"/>
        </w:rPr>
        <w:t>CHAPTER 5: RESULTS AND DISCUSSIONS</w:t>
      </w:r>
    </w:p>
    <w:p>
      <w:pPr>
        <w:spacing w:line="288" w:lineRule="auto" w:before="20" w:after="40"/>
        <w:ind w:left="0"/>
      </w:pPr>
      <w:r>
        <w:rPr>
          <w:rFonts w:ascii="Times New Roman" w:hAnsi="Times New Roman"/>
          <w:b/>
          <w:sz w:val="22"/>
        </w:rPr>
        <w:t>CHAPTER 6: CONCLUSION AND FUTURE SCOPE</w:t>
      </w:r>
    </w:p>
    <w:p>
      <w:pPr>
        <w:spacing w:line="288" w:lineRule="auto" w:before="20" w:after="40"/>
        <w:ind w:left="0"/>
      </w:pPr>
      <w:r>
        <w:rPr>
          <w:rFonts w:ascii="Times New Roman" w:hAnsi="Times New Roman"/>
          <w:b/>
          <w:sz w:val="22"/>
        </w:rPr>
        <w:t>REFERENCES</w:t>
      </w:r>
    </w:p>
    <w:p>
      <w:pPr>
        <w:spacing w:line="288" w:lineRule="auto" w:before="20" w:after="40"/>
        <w:ind w:left="0"/>
      </w:pPr>
      <w:r>
        <w:rPr>
          <w:rFonts w:ascii="Times New Roman" w:hAnsi="Times New Roman"/>
          <w:b/>
          <w:sz w:val="22"/>
        </w:rPr>
        <w:t xml:space="preserve">                                          APPENDIX</w:t>
      </w:r>
    </w:p>
    <w:p>
      <w:pPr>
        <w:spacing w:line="288" w:lineRule="auto" w:before="20" w:after="40"/>
        <w:ind w:left="0"/>
      </w:pPr>
      <w:r>
        <w:rPr>
          <w:rFonts w:ascii="Times New Roman" w:hAnsi="Times New Roman"/>
          <w:b/>
          <w:sz w:val="22"/>
        </w:rPr>
        <w:t>CERTIFICATES OF PATENT/COPYRIGHT/PAPER PUBLICATION/PAPER PRESENTED</w:t>
      </w:r>
    </w:p>
    <w:p>
      <w:pPr>
        <w:spacing w:line="288" w:lineRule="auto" w:before="20" w:after="40"/>
        <w:ind w:left="0"/>
      </w:pPr>
      <w:r>
        <w:rPr>
          <w:rFonts w:ascii="Times New Roman" w:hAnsi="Times New Roman"/>
          <w:b/>
          <w:sz w:val="22"/>
        </w:rPr>
        <w:t>CO-PO and PSO MAPPING</w:t>
      </w:r>
    </w:p>
    <w:p>
      <w:pPr>
        <w:spacing w:line="288" w:lineRule="auto" w:before="20" w:after="40"/>
        <w:ind w:left="0"/>
      </w:pPr>
      <w:r>
        <w:rPr>
          <w:rFonts w:ascii="Times New Roman" w:hAnsi="Times New Roman"/>
          <w:b/>
          <w:sz w:val="22"/>
        </w:rPr>
        <w:t>PHOTO WITH DETAILS</w:t>
      </w:r>
    </w:p>
    <w:p>
      <w:pPr>
        <w:spacing w:line="288" w:lineRule="auto" w:before="20" w:after="40"/>
        <w:ind w:left="0"/>
      </w:pPr>
      <w:r>
        <w:rPr>
          <w:rFonts w:ascii="Times New Roman" w:hAnsi="Times New Roman"/>
          <w:b/>
          <w:sz w:val="22"/>
        </w:rPr>
        <w:t>PHOTO WITH GUIDE</w:t>
      </w:r>
    </w:p>
    <w:p>
      <w:pPr>
        <w:spacing w:line="288" w:lineRule="auto" w:before="20" w:after="40"/>
        <w:ind w:left="0"/>
      </w:pPr>
      <w:r>
        <w:rPr>
          <w:rFonts w:ascii="Times New Roman" w:hAnsi="Times New Roman"/>
          <w:b/>
          <w:sz w:val="22"/>
        </w:rPr>
        <w:t>PLAGIARISM REPORT</w:t>
      </w:r>
    </w:p>
    <w:p>
      <w:r>
        <w:br w:type="page"/>
      </w:r>
    </w:p>
    <w:p>
      <w:pPr>
        <w:spacing w:line="360" w:lineRule="auto" w:before="360" w:after="280"/>
        <w:jc w:val="center"/>
      </w:pPr>
      <w:r>
        <w:rPr>
          <w:rFonts w:ascii="Times New Roman" w:hAnsi="Times New Roman"/>
          <w:b/>
          <w:i w:val="0"/>
          <w:color w:val="000000"/>
          <w:sz w:val="28"/>
          <w:u w:val="none"/>
        </w:rPr>
        <w:t>TABLE OF CONTENTS</w:t>
      </w:r>
    </w:p>
    <w:p>
      <w:pPr>
        <w:tabs>
          <w:tab w:pos="7200" w:val="left"/>
        </w:tabs>
        <w:spacing w:line="312" w:lineRule="auto"/>
      </w:pPr>
      <w:r>
        <w:rPr>
          <w:rFonts w:ascii="Times New Roman" w:hAnsi="Times New Roman"/>
          <w:sz w:val="24"/>
        </w:rPr>
        <w:t>Sr. No.</w:t>
        <w:tab/>
        <w:t>Page No.</w:t>
        <w:br/>
        <w:t>i. Index</w:t>
        <w:tab/>
        <w:t>ix</w:t>
        <w:br/>
        <w:t>ii. List of Figures</w:t>
        <w:tab/>
        <w:t>x</w:t>
        <w:br/>
        <w:t>iii. List of Abbreviations</w:t>
        <w:tab/>
        <w:t>xi</w:t>
        <w:br/>
        <w:t>iv. List of Tables</w:t>
        <w:tab/>
        <w:t>xii</w:t>
      </w:r>
    </w:p>
    <w:p>
      <w:r>
        <w:br w:type="page"/>
      </w:r>
    </w:p>
    <w:p>
      <w:pPr>
        <w:spacing w:line="360" w:lineRule="auto" w:before="240" w:after="240"/>
        <w:jc w:val="center"/>
      </w:pPr>
      <w:r>
        <w:rPr>
          <w:rFonts w:ascii="Times New Roman" w:hAnsi="Times New Roman"/>
          <w:b/>
          <w:i w:val="0"/>
          <w:color w:val="000000"/>
          <w:sz w:val="32"/>
        </w:rPr>
        <w:t>CHAPTER 1: INTRODUCTION</w:t>
      </w:r>
    </w:p>
    <w:p>
      <w:pPr>
        <w:spacing w:line="360" w:lineRule="auto" w:before="20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spacing w:line="360" w:lineRule="auto" w:before="20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spacing w:line="360" w:lineRule="auto" w:before="20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spacing w:line="360" w:lineRule="auto" w:before="20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spacing w:line="360" w:lineRule="auto" w:before="20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spacing w:line="360" w:lineRule="auto" w:before="20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spacing w:line="360" w:lineRule="auto" w:before="240" w:after="240"/>
        <w:jc w:val="center"/>
      </w:pPr>
      <w:r>
        <w:rPr>
          <w:rFonts w:ascii="Times New Roman" w:hAnsi="Times New Roman"/>
          <w:b/>
          <w:i w:val="0"/>
          <w:color w:val="000000"/>
          <w:sz w:val="32"/>
        </w:rPr>
        <w:t>CHAPTER 2: LITERATURE REVIEW</w:t>
      </w:r>
    </w:p>
    <w:p>
      <w:pPr>
        <w:spacing w:line="360" w:lineRule="auto" w:before="20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regimes—which measured institutional merit primarily by physical assets such as campus acreage, library book volumes, and gross capital expenditure—toward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India—represented by the National Board of Accreditation (NBA)—achieved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 1:15), Faculty Cadre Proportions (FCP), Faculty Retention Rates (FRR ≥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Parameter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AICTE (APH)</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(SAR Tier-I)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NAAC (RAF)</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NIRF Ranking</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Mandate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Apex Regulator (Act 52 of 1987)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Programmatic Accreditation Body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Institutional Assessment Body (UGC)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Ministry of Education Benchmarking Framework</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Focus Level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Institutional &amp; Infrastructural Compliance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Program-Specific Outcome-Based Education</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Holistic Institutional Quality &amp; Governance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Comparative National Ranking &amp; Performance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Evaluation Model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Input Norms &amp; Spatial / Cadre Compliance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1000-Point Rubric across 10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Seven Curricular &amp; Institutional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 Weightings (TLR, RPC, GO, OI, PR)</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Frequency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Approval Scrutiny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3 or 6 Years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5 Years (Cycle 1, 2, 3...)</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Competitive Ranking Cycle</w:t>
            </w:r>
          </w:p>
        </w:tc>
      </w:tr>
    </w:tbl>
    <w:p>
      <w:pPr>
        <w:spacing w:line="360" w:lineRule="auto" w:before="20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Generation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Frameworks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Underlying Architecture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Handling Capability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Hallucination Risk</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1: Classical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CuneiForm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Connected Component Analysis + HMM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Extremely Poor (Raw Text Stream Only)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Zero (Deterministic, but high typo rate)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2: Layout Models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LayoutLMv1-v3, BROS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BERT + 2D Spatial Positional Embeddings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Moderate (Extracts Bounding Box 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Low (Sequence classification)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3: OCR-Free Vision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Donut, Nougat, Pix2Struct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Swin Transformer Encoder + BART Decoder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Variable (Struggles with Dense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High (Token hallucination in tables)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4: Hybrid Deep AI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Docling +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Visual Segmentation + Multimodal LLM</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Outstanding (Full Row/Col Span Recovery)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Negligible (Schema-Grounded Outputs)</w:t>
            </w:r>
          </w:p>
        </w:tc>
      </w:tr>
    </w:tbl>
    <w:p>
      <w:pPr>
        <w:spacing w:line="360" w:lineRule="auto" w:before="20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spacing w:line="360" w:lineRule="auto" w:before="20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indicators—such as graduation efficiency, faculty turnover, placement velocity, and research publication momentum—provides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drift'—identifying subtle, cumulative deficits years before a formal NBA or AICTE visit occurs, allowing timely corrective interventions.</w:t>
      </w:r>
    </w:p>
    <w:p>
      <w:pPr>
        <w:spacing w:line="360" w:lineRule="auto" w:before="20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206"/>
        <w:gridCol w:w="1206"/>
        <w:gridCol w:w="1206"/>
        <w:gridCol w:w="1206"/>
        <w:gridCol w:w="1206"/>
        <w:gridCol w:w="1206"/>
        <w:gridCol w:w="1206"/>
        <w:gridCol w:w="1206"/>
      </w:tblGrid>
      <w:tr>
        <w:trPr>
          <w:tblHeader/>
          <w:cantSplit/>
        </w:trPr>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Platform / System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Deep Table OCR</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LLM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Multi-Reg. Rules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Multi-Year Analytics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SARIMA Forecast</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Auto Reports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Port Isolated</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Traditional Manual Audit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(Error-prone)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Partial (Spreadsheets)</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Typing</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N/A</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Campus ERPs (SAP/InPods)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(Form DB)</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Rigid Static Forms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Dashboards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Static Templates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(Monolithic)</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Generic Cloud OCR (Textract)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OCR BBoxes Only</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(Raw JSON)</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 (Cloud API)</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AI Prototypes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PyPDF</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Generic Zero-Shot</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 Framework</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Rudimentary</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(Port 8000)</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(Proposed)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Gemini 2.5 Flash</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AICTE+NBA+NAAC+NIRF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Longitudinal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Multivariate+SARIMA</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SAR/PDF/Word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Yes (3051/8051)</w:t>
            </w:r>
          </w:p>
        </w:tc>
      </w:tr>
    </w:tbl>
    <w:p>
      <w:pPr>
        <w:spacing w:line="360" w:lineRule="auto" w:before="20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silos—focusing exclusively on NAAC or basic college attendance—without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spacing w:line="360" w:lineRule="auto" w:before="20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r>
    </w:p>
    <w:p>
      <w:pPr>
        <w:tabs>
          <w:tab w:pos="4680" w:val="center"/>
          <w:tab w:pos="9360" w:val="right"/>
        </w:tabs>
        <w:spacing w:line="312" w:lineRule="auto" w:before="120" w:after="120"/>
      </w:pPr>
      <w:r>
        <w:rPr>
          <w:rFonts w:ascii="Cambria Math" w:hAnsi="Cambria Math"/>
          <w:i/>
          <w:color w:val="0F172A"/>
          <w:sz w:val="22"/>
        </w:rPr>
        <w:tab/>
        <w:t>Attainment_{CO} = 0.80 \cdot Direct_{Attainment} + 0.20 \cdot Indirect_{Attainment}</w:t>
      </w:r>
      <w:r>
        <w:rPr>
          <w:rFonts w:ascii="Times New Roman" w:hAnsi="Times New Roman"/>
          <w:b/>
          <w:color w:val="475569"/>
          <w:sz w:val="22"/>
        </w:rPr>
        <w:tab/>
        <w:t>(2.1)</w:t>
      </w:r>
    </w:p>
    <w:p>
      <w:pPr>
        <w:spacing w:line="360" w:lineRule="auto" w:before="0" w:after="120"/>
        <w:jc w:val="both"/>
      </w:pPr>
      <w:r>
        <w:rPr>
          <w:rFonts w:ascii="Times New Roman" w:hAnsi="Times New Roman"/>
          <w:b w:val="0"/>
          <w:i w:val="0"/>
          <w:color w:val="000000"/>
          <w:sz w:val="24"/>
        </w:rP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Level</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Complexity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Standard Action Verbs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Assessment Instrument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1: Remembering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Knowledge Recall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Define, state, list, identify, recall, name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Objective quizzes, basic definition questions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2: Understanding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Comprehension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Explain, summarize, classify, illustrate, discuss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Conceptual short questions, descriptive essays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3: Applying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Practical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Apply, solve, calculate, compute, demonstrate, implement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Numerical problem-solving, laboratory coding tasks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4: Analyzing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Structural Deconstruction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Analyze, compare, contrast, differentiate, inspect</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Case studies, algorithmic complexity analysis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5: Evaluating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Critical Appraisal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Evaluate, assess, critique, judge, validate, justify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System architectural audits, code reviews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6: Creating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Synthesis &amp; Innovation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Design, construct, formulate, synthesize, develop</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Capstone project development, research prototypes</w:t>
            </w:r>
          </w:p>
        </w:tc>
      </w:tr>
    </w:tbl>
    <w:p>
      <w:pPr>
        <w:spacing w:line="360" w:lineRule="auto" w:before="20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Protocol Feature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REST (FastAPI / HTTP)</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gRPC (Protobuf / HTTP/2)</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GraphQL (Apollo / Yoga)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Adoption in Smart Approval AI</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Payload Serialization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Protocol Buffers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(Native Pydantic v2 support)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Browser Native Support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(Fetch / Axios)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gRPC-Web Proxy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(HTTP 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zero-friction client SSR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 File Uploads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First-Class Multipart RFC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Requires Chunking Streams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Complex GraphQL Multipart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bulk PDF document intake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Reverse-Proxy Compatibility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Seamless (Next.js / Ngrok)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HTTP/2 Cleartext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Standard Proxying</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single-tunnel isolation</w:t>
            </w:r>
          </w:p>
        </w:tc>
      </w:tr>
    </w:tbl>
    <w:p>
      <w:r>
        <w:br w:type="page"/>
      </w:r>
    </w:p>
    <w:p>
      <w:pPr>
        <w:spacing w:line="360" w:lineRule="auto" w:before="240" w:after="240"/>
        <w:jc w:val="center"/>
      </w:pPr>
      <w:r>
        <w:rPr>
          <w:rFonts w:ascii="Times New Roman" w:hAnsi="Times New Roman"/>
          <w:b/>
          <w:i w:val="0"/>
          <w:color w:val="000000"/>
          <w:sz w:val="32"/>
        </w:rPr>
        <w:t>CHAPTER 3: METHODOLOGY AND PROPOSED SYSTEM ARCHITECTURE</w:t>
      </w:r>
    </w:p>
    <w:p>
      <w:pPr>
        <w:spacing w:line="360" w:lineRule="auto" w:before="20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spacing w:line="360" w:lineRule="auto" w:before="20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p>
      <w:pPr>
        <w:spacing w:line="276" w:lineRule="auto" w:before="80" w:after="120"/>
        <w:jc w:val="both"/>
      </w:pPr>
      <w:r>
        <w:t>Algorithm 1: Hybrid Visual Layout Extraction &amp; Table Geometry Recovery</w:t>
        <w:br/>
        <w:t>Input: Raw Regulatory PDF Document D, DPI Resolution R = 200</w:t>
        <w:br/>
        <w:t>Output: Serialized Structural Blocks B = {b_1, b_2, ..., b_k}</w:t>
        <w:br/>
        <w:t>------------------------------------------------------------------------</w:t>
        <w:br/>
        <w:t>1: doc_hash &lt;- Compute_SHA256(D)</w:t>
        <w:br/>
        <w:t>2: pages &lt;- PyMuPDF.LoadPages(D)</w:t>
        <w:br/>
        <w:t>3: Initialize empty BlockList B</w:t>
        <w:br/>
        <w:t>4: for each page p in pages do:</w:t>
        <w:br/>
        <w:t>5:     page_img &lt;- RenderPageToPixmap(p, dpi=R)</w:t>
        <w:br/>
        <w:t>6:     layout_bboxes &lt;- Docling.SegmentLayout(page_img)</w:t>
        <w:br/>
        <w:t>7:     for each bbox in layout_bboxes do:</w:t>
        <w:br/>
        <w:t>8:         if bbox.type == 'TableBlock' then:</w:t>
        <w:br/>
        <w:t>9:             grid &lt;- Docling.RecoverTableGrid(page_img, bbox)</w:t>
        <w:br/>
        <w:t>10:            table_md &lt;- Docling.SerializeToMarkdown(grid)</w:t>
        <w:br/>
        <w:t>11:            B.append({'type': 'table', 'page': p.num, 'content': table_md})</w:t>
        <w:br/>
        <w:t>12:        else if bbox.type in ['Heading', 'Paragraph'] then:</w:t>
        <w:br/>
        <w:t>13:            text_span &lt;- PyMuPDF.ExtractTextInBox(p, bbox.coords)</w:t>
        <w:br/>
        <w:t>14:            B.append({'type': 'text', 'page': p.num, 'content': text_span})</w:t>
        <w:br/>
        <w:t>15:        end if</w:t>
        <w:br/>
        <w:t>16:    end for</w:t>
        <w:br/>
        <w:t>17: end for</w:t>
        <w:br/>
        <w:t>18: return B</w:t>
      </w:r>
    </w:p>
    <w:p>
      <w:pPr>
        <w:spacing w:line="360" w:lineRule="auto" w:before="0" w:after="240"/>
        <w:jc w:val="center"/>
      </w:pPr>
      <w:r>
        <w:rPr>
          <w:rFonts w:ascii="Times New Roman" w:hAnsi="Times New Roman"/>
          <w:b w:val="0"/>
          <w:i/>
          <w:color w:val="000000"/>
          <w:sz w:val="20"/>
        </w:rPr>
        <w:t>Listing 3.2: Algorithmic Logic for Hybrid Visual Layout Segmentation &amp; Table Reconstruction</w:t>
      </w:r>
    </w:p>
    <w:p>
      <w:pPr>
        <w:spacing w:line="360" w:lineRule="auto" w:before="20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entities—such as mapping 'Dr. Rajesh Sharma, M.Tech, Ph.D., Joined 14-07-2018, Basic Pay 48,000' to an accredited Professor within the Department of Information Technology—requires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spacing w:line="276" w:lineRule="auto" w:before="80" w:after="120"/>
        <w:jc w:val="both"/>
      </w:pPr>
      <w:r>
        <w:t>class FacultyMember(BaseModel):</w:t>
        <w:br/>
        <w:t xml:space="preserve">    name: str = Field(description='Full legal name of teaching faculty')</w:t>
        <w:br/>
        <w:t xml:space="preserve">    designation: Literal['Professor', 'Associate Professor', 'Assistant Professor', 'Principal', 'Lecturer']</w:t>
        <w:br/>
        <w:t xml:space="preserve">    department: str = Field(description='Academic department (e.g. Information Technology)')</w:t>
        <w:br/>
        <w:t xml:space="preserve">    highest_qualification: Literal['Ph.D.', 'M.Tech', 'M.E.', 'M.S.', 'B.Tech', 'MCA', 'M.Sc']</w:t>
        <w:br/>
        <w:t xml:space="preserve">    date_of_joining: str = Field(description='ISO date of joining the institute YYYY-MM-DD')</w:t>
        <w:br/>
        <w:t xml:space="preserve">    regular_full_time: bool = Field(description='True if approved regular full-time appointment')</w:t>
        <w:br/>
        <w:t xml:space="preserve">    scopus_publications_count: int = Field(default=0, ge=0)</w:t>
        <w:br/>
        <w:t xml:space="preserve">    funded_research_grants_lakhs: float = Field(default=0.0, ge=0.0)</w:t>
        <w:br/>
        <w:br/>
        <w:t>class InstitutionalSpatialArea(BaseModel):</w:t>
        <w:br/>
        <w:t xml:space="preserve">    instructional_area_sqm: float = Field(ge=0.0, description='Classrooms, tutorial rooms, laboratories')</w:t>
        <w:br/>
        <w:t xml:space="preserve">    administrative_area_sqm: float = Field(ge=0.0, description='Offices, boardrooms, exam halls')</w:t>
        <w:br/>
        <w:t xml:space="preserve">    amenities_area_sqm: float = Field(ge=0.0, description='Canteen, gym, medical center, restrooms')</w:t>
        <w:br/>
        <w:t xml:space="preserve">    circulation_area_sqm: float = Field(ge=0.0, description='Corridors, staircases, foyers')</w:t>
        <w:br/>
        <w:t xml:space="preserve">    barrier_free_access_verified: bool = Field(description='Ramps and accessible lifts verified')</w:t>
      </w:r>
    </w:p>
    <w:p>
      <w:pPr>
        <w:spacing w:line="360" w:lineRule="auto" w:before="0" w:after="240"/>
        <w:jc w:val="center"/>
      </w:pPr>
      <w:r>
        <w:rPr>
          <w:rFonts w:ascii="Times New Roman" w:hAnsi="Times New Roman"/>
          <w:b w:val="0"/>
          <w:i/>
          <w:color w:val="000000"/>
          <w:sz w:val="20"/>
        </w:rPr>
        <w:t>Listing 3.1: Pydantic Structured Output Validation Schemas Enforced in Gemini 2.5 Flash Ingestion</w:t>
      </w:r>
    </w:p>
    <w:p>
      <w:pPr>
        <w:spacing w:line="360" w:lineRule="auto" w:before="20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spacing w:line="360" w:lineRule="auto" w:before="16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formula implemented in the engine is:</w:t>
        <w:br/>
        <w:t xml:space="preserve">    SFR = (N + M) / F</w:t>
        <w:br/>
        <w:t>where N is the total undergraduate approved intake across all active years (e.g., 4 years × 180 = 720 students), M is postgraduate approved intake, and F is the total number of regular, approved full-time faculty members. If SFR &gt; 20.0, the engine issues a critical deficiency flag.</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w:t>
        <w:br/>
        <w:t xml:space="preserve">    Professors_required = F_req / 9</w:t>
        <w:br/>
        <w:t xml:space="preserve">    Associate_Professors_required = (2 × F_req) / 9</w:t>
        <w:br/>
        <w:t xml:space="preserve">    Assistant_Professors_required = (6 × F_req) / 9</w:t>
        <w:br/>
        <w:t>The engine computes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Category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Mandated Minimum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Actual Available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Compliance Verdict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Area (Classrooms, Tutorial, Labs)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4,250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4,680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(+430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Administrative Area (Director, Offices, Boardroom)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1,340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(+140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Amenities Area (Canteen, Health Center, Common Rooms)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800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920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(+120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Circulation &amp; Corridors (Min 25% of Total)</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1,650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(+150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Built-Up Carpet Area</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7,750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8,590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APH CERTIFIED PASS</w:t>
            </w:r>
          </w:p>
        </w:tc>
      </w:tr>
    </w:tbl>
    <w:p>
      <w:pPr>
        <w:spacing w:line="360" w:lineRule="auto" w:before="16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 Focus Area &amp; Scope</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Max Points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Qualifying Threshold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Vision, Mission and Program Educational Objectives (PEOs)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 Curriculum and Teaching-Learning Processes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3</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Course Outcomes (COs) and Program Outcomes (POs) Attainment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175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105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4</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Students' Performance (Enrolment, Placement, Success Index)</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Faculty Information and Contributions (Cadre, Retention, API)</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120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6</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Facilities and Technical Support (Laboratories, Computing)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7</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Continuous Improvement (PO Closing Loops, Actions Taken)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First Year Academics (Basic Sciences Faculty, Curriculum)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9</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Student Support Systems (Mentoring, Co-Curricular, Health)</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10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Governance, Institutional Support and Financial Resources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95</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57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SAR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Program Accreditation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1000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w:t>
        <w:br/>
        <w:t xml:space="preserve">    Under NBA Tier-I, SFR &lt;= 15.0 awards full 20 marks. If 15.0 &lt; SFR &lt;= 17.0, marks = 20 - (SFR - 15) × 5. If 17.0 &lt; SFR &lt;= 20.0, marks = 10 - (SFR - 17) × 3. If SFR &gt; 20.0, 0 marks are awarded.</w:t>
        <w:br/>
        <w:br/>
        <w:t>2. Faculty Cadre Proportion (FCP) Points (Max 20 Points):</w:t>
        <w:br/>
        <w:t xml:space="preserve">    FCP = 20 × [ (AF1 / RF1) + (AF2 / RF2) × 0.6 + (AF3 / RF3) × 0.4 ]</w:t>
        <w:br/>
        <w:t>where AF1, AF2, AF3 are Actual Professors, Associate Professors, and Assistant Professors, and RF1, RF2, RF3 are Required numbers.</w:t>
        <w:br/>
        <w:br/>
        <w:t>3. Faculty Retention Rate (FRR) Points (Max 25 Points):</w:t>
        <w:br/>
        <w:t xml:space="preserve">    FRR = (Retained Regular Faculty over Past 3 Academic Years / Base Year Faculty) × 100</w:t>
        <w:br/>
        <w:t xml:space="preserve">    If FRR &gt;= 90%, 25 points awarded; if 85% &lt;= FRR &lt; 90%, 20 points; if 75% &lt;= FRR &lt; 85%, 15 points; if 60% &lt;= FRR &lt; 75%, 10 points; if FRR &lt; 60%, 0 points awarded.</w:t>
      </w:r>
    </w:p>
    <w:p>
      <w:pPr>
        <w:spacing w:line="360" w:lineRule="auto" w:before="16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spacing w:line="360" w:lineRule="auto" w:before="20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spacing w:line="360" w:lineRule="auto" w:before="20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spacing w:line="360" w:lineRule="auto" w:before="20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 CIE_Score + 0.2 × ESE_Score</w:t>
        <w:br/>
        <w:t>• Criterion 3.3: Attainment of Program Outcomes and Program Specific Outcomes (105 Points)</w:t>
        <w:br/>
        <w:t xml:space="preserve">    Attainment_PO_j = (Sum over all courses i: CO_i_attainment ×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- 15)×5; if 17 &lt; SFR &lt;= 20, 10 - (SFR - 17)×3; if SFR &gt; 20, 0 marks.</w:t>
        <w:br/>
        <w:t>• Criterion 5.2: Faculty Cadre Proportion (FCP) (20 Points)</w:t>
        <w:br/>
        <w:t xml:space="preserve">    FCP = 20 × [ (AF1/RF1) + 0.6×(AF2/RF2) + 0.4×(AF3/RF3) ]</w:t>
        <w:br/>
        <w:t>• Criterion 5.3: Faculty Qualification (FQ) (20 Points)</w:t>
        <w:br/>
        <w:t xml:space="preserve">    FQ = 2.0 × [ (10 × X) + (4 × Y) ] / F, where X is Ph.D. count, Y is M.Tech count, F is total faculty.</w:t>
        <w:br/>
        <w:t>• Criterion 5.4: Faculty Retention Rate (FRR) (25 Points)</w:t>
        <w:br/>
        <w:t xml:space="preserve">    FRR = (Retained Faculty over 3 Years / Base Faculty) ×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spacing w:line="360" w:lineRule="auto" w:before="20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spacing w:line="360" w:lineRule="auto" w:before="20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r>
    </w:p>
    <w:p>
      <w:pPr>
        <w:spacing w:line="360" w:lineRule="auto" w:before="0" w:after="120"/>
        <w:jc w:val="both"/>
      </w:pPr>
      <w:r>
        <w:rPr>
          <w:rFonts w:ascii="Times New Roman" w:hAnsi="Times New Roman"/>
          <w:b w:val="0"/>
          <w:i w:val="0"/>
          <w:color w:val="000000"/>
          <w:sz w:val="24"/>
        </w:rPr>
        <w:t>1. Metric 1.1.2: Percentage of Programmes where syllabus revision was carried out during the last five years:</w:t>
      </w:r>
    </w:p>
    <w:p>
      <w:pPr>
        <w:tabs>
          <w:tab w:pos="4680" w:val="center"/>
          <w:tab w:pos="9360" w:val="right"/>
        </w:tabs>
        <w:spacing w:line="312" w:lineRule="auto" w:before="120" w:after="120"/>
      </w:pPr>
      <w:r>
        <w:rPr>
          <w:rFonts w:ascii="Cambria Math" w:hAnsi="Cambria Math"/>
          <w:i/>
          <w:color w:val="0F172A"/>
          <w:sz w:val="22"/>
        </w:rPr>
        <w:tab/>
        <w:t>P_{syllabus\_rev} = \left( \frac{N_{revised\_programmes}}{N_{total\_programmes}} \right) \times 100\%</w:t>
      </w:r>
      <w:r>
        <w:rPr>
          <w:rFonts w:ascii="Times New Roman" w:hAnsi="Times New Roman"/>
          <w:b/>
          <w:color w:val="475569"/>
          <w:sz w:val="22"/>
        </w:rPr>
        <w:tab/>
        <w:t>(3.15)</w:t>
      </w:r>
    </w:p>
    <w:p>
      <w:pPr>
        <w:spacing w:line="360" w:lineRule="auto" w:before="0" w:after="120"/>
        <w:jc w:val="both"/>
      </w:pPr>
      <w:r>
        <w:rPr>
          <w:rFonts w:ascii="Times New Roman" w:hAnsi="Times New Roman"/>
          <w:b w:val="0"/>
          <w:i w:val="0"/>
          <w:color w:val="000000"/>
          <w:sz w:val="24"/>
        </w:rPr>
        <w:t>2. Metric 2.1.2: Average percentage of seats filled against reserved categories (SC, ST, OBC, Divyangjan) as per applicable reservation policy:</w:t>
      </w:r>
    </w:p>
    <w:p>
      <w:pPr>
        <w:tabs>
          <w:tab w:pos="4680" w:val="center"/>
          <w:tab w:pos="9360" w:val="right"/>
        </w:tabs>
        <w:spacing w:line="312" w:lineRule="auto" w:before="120" w:after="120"/>
      </w:pPr>
      <w:r>
        <w:rPr>
          <w:rFonts w:ascii="Cambria Math" w:hAnsi="Cambria Math"/>
          <w:i/>
          <w:color w:val="0F172A"/>
          <w:sz w:val="22"/>
        </w:rPr>
        <w:tab/>
        <w:t>P_{reserved} = \left( \frac{N_{admitted\_reserved}}{N_{earmarked\_reserved}} \right) \times 100\%</w:t>
      </w:r>
      <w:r>
        <w:rPr>
          <w:rFonts w:ascii="Times New Roman" w:hAnsi="Times New Roman"/>
          <w:b/>
          <w:color w:val="475569"/>
          <w:sz w:val="22"/>
        </w:rPr>
        <w:tab/>
        <w:t>(3.16)</w:t>
      </w:r>
    </w:p>
    <w:p>
      <w:pPr>
        <w:spacing w:line="360" w:lineRule="auto" w:before="0" w:after="120"/>
        <w:jc w:val="both"/>
      </w:pPr>
      <w:r>
        <w:rPr>
          <w:rFonts w:ascii="Times New Roman" w:hAnsi="Times New Roman"/>
          <w:b w:val="0"/>
          <w:i w:val="0"/>
          <w:color w:val="000000"/>
          <w:sz w:val="24"/>
        </w:rPr>
        <w:t>3. Metric 2.4.2: Average percentage of full-time teachers with Ph.D. / D.Sc. / D.Litt.:</w:t>
      </w:r>
    </w:p>
    <w:p>
      <w:pPr>
        <w:tabs>
          <w:tab w:pos="4680" w:val="center"/>
          <w:tab w:pos="9360" w:val="right"/>
        </w:tabs>
        <w:spacing w:line="312" w:lineRule="auto" w:before="120" w:after="120"/>
      </w:pPr>
      <w:r>
        <w:rPr>
          <w:rFonts w:ascii="Cambria Math" w:hAnsi="Cambria Math"/>
          <w:i/>
          <w:color w:val="0F172A"/>
          <w:sz w:val="22"/>
        </w:rPr>
        <w:tab/>
        <w:t>P_{phd\_faculty} = \left( \frac{N_{faculty\_phd}}{N_{faculty\_total}} \right) \times 100\%</w:t>
      </w:r>
      <w:r>
        <w:rPr>
          <w:rFonts w:ascii="Times New Roman" w:hAnsi="Times New Roman"/>
          <w:b/>
          <w:color w:val="475569"/>
          <w:sz w:val="22"/>
        </w:rPr>
        <w:tab/>
        <w:t>(3.17)</w:t>
      </w:r>
    </w:p>
    <w:p>
      <w:pPr>
        <w:spacing w:line="360" w:lineRule="auto" w:before="0" w:after="120"/>
        <w:jc w:val="both"/>
      </w:pPr>
      <w:r>
        <w:rPr>
          <w:rFonts w:ascii="Times New Roman" w:hAnsi="Times New Roman"/>
          <w:b w:val="0"/>
          <w:i w:val="0"/>
          <w:color w:val="000000"/>
          <w:sz w:val="24"/>
        </w:rPr>
        <w:t>4. Metric 3.1.2: Average annual seed funding provided by the institution to its teachers for research (in ₹ Lakhs):</w:t>
      </w:r>
    </w:p>
    <w:p>
      <w:pPr>
        <w:tabs>
          <w:tab w:pos="4680" w:val="center"/>
          <w:tab w:pos="9360" w:val="right"/>
        </w:tabs>
        <w:spacing w:line="312" w:lineRule="auto" w:before="120" w:after="120"/>
      </w:pPr>
      <w:r>
        <w:rPr>
          <w:rFonts w:ascii="Cambria Math" w:hAnsi="Cambria Math"/>
          <w:i/>
          <w:color w:val="0F172A"/>
          <w:sz w:val="22"/>
        </w:rPr>
        <w:tab/>
        <w:t>\overline{S}_{seed} = \frac{1}{5} \sum_{t=1}^{5} \text{Seed Funding}_t</w:t>
      </w:r>
      <w:r>
        <w:rPr>
          <w:rFonts w:ascii="Times New Roman" w:hAnsi="Times New Roman"/>
          <w:b/>
          <w:color w:val="475569"/>
          <w:sz w:val="22"/>
        </w:rPr>
        <w:tab/>
        <w:t>(3.18)</w:t>
      </w:r>
    </w:p>
    <w:p>
      <w:pPr>
        <w:spacing w:line="360" w:lineRule="auto" w:before="0" w:after="120"/>
        <w:jc w:val="both"/>
      </w:pPr>
      <w:r>
        <w:rPr>
          <w:rFonts w:ascii="Times New Roman" w:hAnsi="Times New Roman"/>
          <w:b w:val="0"/>
          <w:i w:val="0"/>
          <w:color w:val="000000"/>
          <w:sz w:val="24"/>
        </w:rPr>
        <w:t>5. Metric 3.4.2: Number of candidates registered for Ph.D. per recognized research guide during the last five years:</w:t>
      </w:r>
    </w:p>
    <w:p>
      <w:pPr>
        <w:tabs>
          <w:tab w:pos="4680" w:val="center"/>
          <w:tab w:pos="9360" w:val="right"/>
        </w:tabs>
        <w:spacing w:line="312" w:lineRule="auto" w:before="120" w:after="120"/>
      </w:pPr>
      <w:r>
        <w:rPr>
          <w:rFonts w:ascii="Cambria Math" w:hAnsi="Cambria Math"/>
          <w:i/>
          <w:color w:val="0F172A"/>
          <w:sz w:val="22"/>
        </w:rPr>
        <w:tab/>
        <w:t>R_{phd\_guide} = \frac{N_{registered\_scholars}}{N_{recognized\_supervisors}}</w:t>
      </w:r>
      <w:r>
        <w:rPr>
          <w:rFonts w:ascii="Times New Roman" w:hAnsi="Times New Roman"/>
          <w:b/>
          <w:color w:val="475569"/>
          <w:sz w:val="22"/>
        </w:rPr>
        <w:tab/>
        <w:t>(3.19)</w:t>
      </w:r>
    </w:p>
    <w:p>
      <w:pPr>
        <w:spacing w:line="360" w:lineRule="auto" w:before="0" w:after="120"/>
        <w:jc w:val="both"/>
      </w:pPr>
      <w:r>
        <w:rPr>
          <w:rFonts w:ascii="Times New Roman" w:hAnsi="Times New Roman"/>
          <w:b w:val="0"/>
          <w:i w:val="0"/>
          <w:color w:val="000000"/>
          <w:sz w:val="24"/>
        </w:rPr>
        <w:t>6. Metric 5.1.1: Average percentage of students benefited by scholarships and freeships provided by the Government:</w:t>
      </w:r>
    </w:p>
    <w:p>
      <w:pPr>
        <w:tabs>
          <w:tab w:pos="4680" w:val="center"/>
          <w:tab w:pos="9360" w:val="right"/>
        </w:tabs>
        <w:spacing w:line="312" w:lineRule="auto" w:before="120" w:after="120"/>
      </w:pPr>
      <w:r>
        <w:rPr>
          <w:rFonts w:ascii="Cambria Math" w:hAnsi="Cambria Math"/>
          <w:i/>
          <w:color w:val="0F172A"/>
          <w:sz w:val="22"/>
        </w:rPr>
        <w:tab/>
        <w:t>P_{scholarship} = \left( \frac{N_{benefited\_students}}{N_{enrolled\_students}} \right) \times 100\%</w:t>
      </w:r>
      <w:r>
        <w:rPr>
          <w:rFonts w:ascii="Times New Roman" w:hAnsi="Times New Roman"/>
          <w:b/>
          <w:color w:val="475569"/>
          <w:sz w:val="22"/>
        </w:rPr>
        <w:tab/>
        <w:t>(3.20)</w:t>
      </w:r>
    </w:p>
    <w:p>
      <w:pPr>
        <w:spacing w:line="360" w:lineRule="auto" w:before="0" w:after="120"/>
        <w:jc w:val="both"/>
      </w:pPr>
      <w:r>
        <w:rPr>
          <w:rFonts w:ascii="Times New Roman" w:hAnsi="Times New Roman"/>
          <w:b w:val="0"/>
          <w:i w:val="0"/>
          <w:color w:val="000000"/>
          <w:sz w:val="24"/>
        </w:rPr>
        <w:t>7. Metric 5.2.1: Average percentage of placement of outgoing students during the last five years:</w:t>
      </w:r>
    </w:p>
    <w:p>
      <w:pPr>
        <w:tabs>
          <w:tab w:pos="4680" w:val="center"/>
          <w:tab w:pos="9360" w:val="right"/>
        </w:tabs>
        <w:spacing w:line="312" w:lineRule="auto" w:before="120" w:after="120"/>
      </w:pPr>
      <w:r>
        <w:rPr>
          <w:rFonts w:ascii="Cambria Math" w:hAnsi="Cambria Math"/>
          <w:i/>
          <w:color w:val="0F172A"/>
          <w:sz w:val="22"/>
        </w:rPr>
        <w:tab/>
        <w:t>P_{placement} = \left( \frac{N_{placed\_students}}{N_{outgoing\_students}} \right) \times 100\%</w:t>
      </w:r>
      <w:r>
        <w:rPr>
          <w:rFonts w:ascii="Times New Roman" w:hAnsi="Times New Roman"/>
          <w:b/>
          <w:color w:val="475569"/>
          <w:sz w:val="22"/>
        </w:rPr>
        <w:tab/>
        <w:t>(3.21)</w:t>
      </w:r>
    </w:p>
    <w:p>
      <w:pPr>
        <w:spacing w:line="360" w:lineRule="auto" w:before="20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3.3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spacing w:line="276" w:lineRule="auto" w:before="80" w:after="120"/>
        <w:jc w:val="both"/>
      </w:pPr>
      <w:r>
        <w:t># Smart Approval AI - NBA Tier-I SAR Evaluator Engine</w:t>
        <w:br/>
        <w:t># File: backend/services/nba_evaluator.py</w:t>
        <w:br/>
        <w:br/>
        <w:t>from typing import Dict, Any, List</w:t>
        <w:br/>
        <w:br/>
        <w:t>class NBAEvaluatorEngine:</w:t>
        <w:br/>
        <w:t xml:space="preserve">    def __init__(self, target_term_years: int = 6):</w:t>
        <w:br/>
        <w:t xml:space="preserve">        self.qualifying_score_6yr = 750.0</w:t>
        <w:br/>
        <w:t xml:space="preserve">        self.qualifying_score_3yr = 600.0</w:t>
        <w:br/>
        <w:br/>
        <w:t xml:space="preserve">    def evaluate_criterion_5_faculty(self, total_students: int, faculty_data: Dict[str, Any]) -&gt; Dict[str, Any]:</w:t>
        <w:br/>
        <w:t xml:space="preserve">        # 1. Student Faculty Ratio (SFR) - Max 20 pts</w:t>
        <w:br/>
        <w:t xml:space="preserve">        fac_count = faculty_data.get('regular_faculty_count', 1)</w:t>
        <w:br/>
        <w:t xml:space="preserve">        sfr = round(total_students / fac_count, 2)</w:t>
        <w:br/>
        <w:t xml:space="preserve">        if sfr &lt;= 15.0:</w:t>
        <w:br/>
        <w:t xml:space="preserve">            sfr_points = 20.0</w:t>
        <w:br/>
        <w:t xml:space="preserve">        elif sfr &lt;= 17.0:</w:t>
        <w:br/>
        <w:t xml:space="preserve">            sfr_points = round(20.0 - (sfr - 15.0) * 5.0, 1)</w:t>
        <w:br/>
        <w:t xml:space="preserve">        elif sfr &lt;= 20.0:</w:t>
        <w:br/>
        <w:t xml:space="preserve">            sfr_points = round(10.0 - (sfr - 17.0) * 3.0, 1)</w:t>
        <w:br/>
        <w:t xml:space="preserve">        else:</w:t>
        <w:br/>
        <w:t xml:space="preserve">            sfr_points = 0.0</w:t>
        <w:br/>
        <w:br/>
        <w:t xml:space="preserve">        # 2. Faculty Cadre Proportion (FCP) - Max 20 pts</w:t>
        <w:br/>
        <w:t xml:space="preserve">        af1 = faculty_data.get('professors_actual', 0)</w:t>
        <w:br/>
        <w:t xml:space="preserve">        rf1 = max(faculty_data.get('professors_required', 1), 1)</w:t>
        <w:br/>
        <w:t xml:space="preserve">        af2 = faculty_data.get('assoc_actual', 0)</w:t>
        <w:br/>
        <w:t xml:space="preserve">        rf2 = max(faculty_data.get('assoc_required', 1), 1)</w:t>
        <w:br/>
        <w:t xml:space="preserve">        af3 = faculty_data.get('asst_actual', 0)</w:t>
        <w:br/>
        <w:t xml:space="preserve">        rf3 = max(faculty_data.get('asst_required', 1), 1)</w:t>
        <w:br/>
        <w:t xml:space="preserve">        fcp_ratio = (af1 / rf1) + (af2 / rf2) * 0.6 + (af3 / rf3) * 0.4</w:t>
        <w:br/>
        <w:t xml:space="preserve">        fcp_points = min(round(20.0 * (fcp_ratio / 2.0), 1), 20.0)</w:t>
        <w:br/>
        <w:br/>
        <w:t xml:space="preserve">        # 3. Faculty Retention Rate (FRR) - Max 25 pts</w:t>
        <w:br/>
        <w:t xml:space="preserve">        retention_pct = faculty_data.get('retention_percentage', 85.0)</w:t>
        <w:br/>
        <w:t xml:space="preserve">        if retention_pct &gt;= 90.0:</w:t>
        <w:br/>
        <w:t xml:space="preserve">            frr_points = 25.0</w:t>
        <w:br/>
        <w:t xml:space="preserve">        elif retention_pct &gt;= 85.0:</w:t>
        <w:br/>
        <w:t xml:space="preserve">            frr_points = 20.0</w:t>
        <w:br/>
        <w:t xml:space="preserve">        elif retention_pct &gt;= 75.0:</w:t>
        <w:br/>
        <w:t xml:space="preserve">            frr_points = 15.0</w:t>
        <w:br/>
        <w:t xml:space="preserve">        elif retention_pct &gt;= 60.0:</w:t>
        <w:br/>
        <w:t xml:space="preserve">            frr_points = 10.0</w:t>
        <w:br/>
        <w:t xml:space="preserve">        else:</w:t>
        <w:br/>
        <w:t xml:space="preserve">            frr_points = 0.0</w:t>
        <w:br/>
        <w:br/>
        <w:t xml:space="preserve">        crit5_total = sfr_points + fcp_points + frr_points + 120.0  # + Research, API, Innovations</w:t>
        <w:br/>
        <w:t xml:space="preserve">        return {</w:t>
        <w:br/>
        <w:t xml:space="preserve">            'sfr': sfr, 'sfr_points': sfr_points,</w:t>
        <w:br/>
        <w:t xml:space="preserve">            'fcp_points': fcp_points,</w:t>
        <w:br/>
        <w:t xml:space="preserve">            'frr_percentage': retention_pct, 'frr_points': frr_points,</w:t>
        <w:br/>
        <w:t xml:space="preserve">            'criterion_5_awarded': min(crit5_total, 200.0),</w:t>
        <w:br/>
        <w:t xml:space="preserve">            'criterion_5_max': 200.0</w:t>
        <w:br/>
        <w:t xml:space="preserve">        }</w:t>
        <w:br/>
        <w:br/>
        <w:t xml:space="preserve">    def compute_overall_sar(self, criteria_scores: Dict[str, float]) -&gt; Dict[str, Any]:</w:t>
        <w:br/>
        <w:t xml:space="preserve">        total_score = sum(criteria_scores.values())</w:t>
        <w:br/>
        <w:t xml:space="preserve">        if total_score &gt;= self.qualifying_score_6yr:</w:t>
        <w:br/>
        <w:t xml:space="preserve">            status = 'ACCREDITED_6_YEARS'</w:t>
        <w:br/>
        <w:t xml:space="preserve">            recommendation = 'Eligible for Full 6 Years Tier-I Washington Accord Accreditation'</w:t>
        <w:br/>
        <w:t xml:space="preserve">        elif total_score &gt;= self.qualifying_score_3yr:</w:t>
        <w:br/>
        <w:t xml:space="preserve">            status = 'ACCREDITED_3_YEARS'</w:t>
        <w:br/>
        <w:t xml:space="preserve">            recommendation = 'Eligible for Provisional 3 Years Accreditation'</w:t>
        <w:br/>
        <w:t xml:space="preserve">        else:</w:t>
        <w:br/>
        <w:t xml:space="preserve">            status = 'NOT_ACCREDITED'</w:t>
        <w:br/>
        <w:t xml:space="preserve">            recommendation = 'Score below qualifying threshold of 600 points'</w:t>
        <w:br/>
        <w:t xml:space="preserve">        return {'total_score': total_score, 'status': status, 'recommendation': recommendation}</w:t>
      </w:r>
    </w:p>
    <w:p>
      <w:pPr>
        <w:spacing w:line="360" w:lineRule="auto" w:before="0" w:after="240"/>
        <w:jc w:val="center"/>
      </w:pPr>
      <w:r>
        <w:rPr>
          <w:rFonts w:ascii="Times New Roman" w:hAnsi="Times New Roman"/>
          <w:b w:val="0"/>
          <w:i/>
          <w:color w:val="000000"/>
          <w:sz w:val="20"/>
        </w:rPr>
        <w:t>Listing 3.3: Production Implementation of NBA Tier-I SAR Evaluator Engine</w:t>
      </w:r>
    </w:p>
    <w:p>
      <w:pPr>
        <w:spacing w:line="360" w:lineRule="auto" w:before="20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spacing w:line="360" w:lineRule="auto" w:before="16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semantic alignment score S_align between the departmental statements (V_dept, M_dept) and institutional statements (V_inst, M_inst) is evaluated using high-dimensional cosine similarity across extracted sentence embeddings:</w:t>
      </w:r>
    </w:p>
    <w:p>
      <w:pPr>
        <w:tabs>
          <w:tab w:pos="4680" w:val="center"/>
          <w:tab w:pos="9360" w:val="right"/>
        </w:tabs>
        <w:spacing w:line="312" w:lineRule="auto" w:before="120" w:after="120"/>
      </w:pPr>
      <w:r>
        <w:rPr>
          <w:rFonts w:ascii="Cambria Math" w:hAnsi="Cambria Math"/>
          <w:i/>
          <w:color w:val="0F172A"/>
          <w:sz w:val="22"/>
        </w:rPr>
        <w:tab/>
        <w:t>S_{align} = cos(v_{dept}, v_{inst}) + cos(m_{dept}, m_{inst}) = \frac{v_{dept} \cdot v_{inst}}{\|v_{dept}\| \|v_{inst}\|} + \frac{m_{dept} \cdot m_{inst}}{\|m_{dept}\| \|m_{inst}\|}</w:t>
      </w:r>
      <w:r>
        <w:rPr>
          <w:rFonts w:ascii="Times New Roman" w:hAnsi="Times New Roman"/>
          <w:b/>
          <w:color w:val="475569"/>
          <w:sz w:val="22"/>
        </w:rPr>
        <w:tab/>
        <w:t>(3.1)</w:t>
      </w:r>
    </w:p>
    <w:p>
      <w:pPr>
        <w:spacing w:line="360" w:lineRule="auto" w:before="0" w:after="120"/>
        <w:jc w:val="both"/>
      </w:pPr>
      <w:r>
        <w:rPr>
          <w:rFonts w:ascii="Times New Roman" w:hAnsi="Times New Roman"/>
          <w:b w:val="0"/>
          <w:i w:val="0"/>
          <w:color w:val="000000"/>
          <w:sz w:val="24"/>
        </w:rPr>
        <w:t>Where v and m denote 768-dimensional dense vector embeddings generated by the semantic ingestion pipeline. A minimum alignment threshold of S_align &gt;= 1.60 is required for full sub-criterion marks.</w:t>
      </w:r>
    </w:p>
    <w:p>
      <w:pPr>
        <w:spacing w:line="360" w:lineRule="auto" w:before="16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structure against AICTE Model Curriculum standards across N academic disciplines (Basic Sciences, Engineering Sciences, Humanities, Professional Core, and Electives). The curricular deviation index is calculated as:</w:t>
      </w:r>
    </w:p>
    <w:p>
      <w:pPr>
        <w:tabs>
          <w:tab w:pos="4680" w:val="center"/>
          <w:tab w:pos="9360" w:val="right"/>
        </w:tabs>
        <w:spacing w:line="312" w:lineRule="auto" w:before="120" w:after="120"/>
      </w:pPr>
      <w:r>
        <w:rPr>
          <w:rFonts w:ascii="Cambria Math" w:hAnsi="Cambria Math"/>
          <w:i/>
          <w:color w:val="0F172A"/>
          <w:sz w:val="22"/>
        </w:rPr>
        <w:tab/>
        <w:t>Score_{curr} = 30 \times \left[ 1 - \frac{\sum_{i=1}^{N} |C_{actual}(i) - C_{aicte}(i)|}{C_{total}} \right]</w:t>
      </w:r>
      <w:r>
        <w:rPr>
          <w:rFonts w:ascii="Times New Roman" w:hAnsi="Times New Roman"/>
          <w:b/>
          <w:color w:val="475569"/>
          <w:sz w:val="22"/>
        </w:rPr>
        <w:tab/>
        <w:t>(3.2)</w:t>
      </w:r>
    </w:p>
    <w:p>
      <w:pPr>
        <w:spacing w:line="360" w:lineRule="auto" w:before="0" w:after="120"/>
        <w:jc w:val="both"/>
      </w:pPr>
      <w:r>
        <w:rPr>
          <w:rFonts w:ascii="Times New Roman" w:hAnsi="Times New Roman"/>
          <w:b w:val="0"/>
          <w:i w:val="0"/>
          <w:color w:val="000000"/>
          <w:sz w:val="24"/>
        </w:rPr>
        <w:t>Where C_actual(i) represents the credits allocated to discipline i, C_aicte(i) is the prescribed AICTE credit norm, and C_total denotes the total degree credit load (160 credits).</w:t>
      </w:r>
    </w:p>
    <w:p>
      <w:pPr>
        <w:spacing w:line="360" w:lineRule="auto" w:before="16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(OBE). The direct Course Outcome attainment for course c, outcome CO_j, denoted as Att_direct(c, j), is computed as a weighted combination of Continuous Internal Evaluation (CIE, weight w_cie = 0.30) and Semester End Examination (SEE, weight w_see = 0.70):</w:t>
      </w:r>
    </w:p>
    <w:p>
      <w:pPr>
        <w:tabs>
          <w:tab w:pos="4680" w:val="center"/>
          <w:tab w:pos="9360" w:val="right"/>
        </w:tabs>
        <w:spacing w:line="312" w:lineRule="auto" w:before="120" w:after="120"/>
      </w:pPr>
      <w:r>
        <w:rPr>
          <w:rFonts w:ascii="Cambria Math" w:hAnsi="Cambria Math"/>
          <w:i/>
          <w:color w:val="0F172A"/>
          <w:sz w:val="22"/>
        </w:rPr>
        <w:tab/>
        <w:t>Att_{direct}(c, j) = w_{cie} \cdot CIE_{attainment}(c, j) + w_{see} \cdot SEE_{attainment}(c, j)</w:t>
      </w:r>
      <w:r>
        <w:rPr>
          <w:rFonts w:ascii="Times New Roman" w:hAnsi="Times New Roman"/>
          <w:b/>
          <w:color w:val="475569"/>
          <w:sz w:val="22"/>
        </w:rPr>
        <w:tab/>
        <w:t>(3.3)</w:t>
      </w:r>
    </w:p>
    <w:p>
      <w:pPr>
        <w:spacing w:line="360" w:lineRule="auto" w:before="0" w:after="120"/>
        <w:jc w:val="both"/>
      </w:pPr>
      <w:r>
        <w:rPr>
          <w:rFonts w:ascii="Times New Roman" w:hAnsi="Times New Roman"/>
          <w:b w:val="0"/>
          <w:i w:val="0"/>
          <w:color w:val="000000"/>
          <w:sz w:val="24"/>
        </w:rPr>
        <w:t>The direct attainment of Program Outcome PO_k is evaluated by propagating all individual Course Outcome attainments across the course-outcome to program-outcome correlation matrix M(c, j, k) ∈ {1, 2, 3}:</w:t>
      </w:r>
    </w:p>
    <w:p>
      <w:pPr>
        <w:tabs>
          <w:tab w:pos="4680" w:val="center"/>
          <w:tab w:pos="9360" w:val="right"/>
        </w:tabs>
        <w:spacing w:line="312" w:lineRule="auto" w:before="120" w:after="120"/>
      </w:pPr>
      <w:r>
        <w:rPr>
          <w:rFonts w:ascii="Cambria Math" w:hAnsi="Cambria Math"/>
          <w:i/>
          <w:color w:val="0F172A"/>
          <w:sz w:val="22"/>
        </w:rPr>
        <w:tab/>
        <w:t>PO_{direct}(k) = \frac{\sum_{c} \sum_{j} \left( Att_{direct}(c, j) \times M(c, j, k) \right)}{\sum_{c} \sum_{j} M(c, j, k)}</w:t>
      </w:r>
      <w:r>
        <w:rPr>
          <w:rFonts w:ascii="Times New Roman" w:hAnsi="Times New Roman"/>
          <w:b/>
          <w:color w:val="475569"/>
          <w:sz w:val="22"/>
        </w:rPr>
        <w:tab/>
        <w:t>(3.4)</w:t>
      </w:r>
    </w:p>
    <w:p>
      <w:pPr>
        <w:spacing w:line="360" w:lineRule="auto" w:before="0" w:after="120"/>
        <w:jc w:val="both"/>
      </w:pPr>
      <w:r>
        <w:rPr>
          <w:rFonts w:ascii="Times New Roman" w:hAnsi="Times New Roman"/>
          <w:b w:val="0"/>
          <w:i w:val="0"/>
          <w:color w:val="000000"/>
          <w:sz w:val="24"/>
        </w:rPr>
        <w:t>The overall comprehensive Program Outcome attainment incorporates indirect assessment methods (Graduate Exit Survey, Alumni Survey, and Employer Feedback) weighted at 20%:</w:t>
      </w:r>
    </w:p>
    <w:p>
      <w:pPr>
        <w:tabs>
          <w:tab w:pos="4680" w:val="center"/>
          <w:tab w:pos="9360" w:val="right"/>
        </w:tabs>
        <w:spacing w:line="312" w:lineRule="auto" w:before="120" w:after="120"/>
      </w:pPr>
      <w:r>
        <w:rPr>
          <w:rFonts w:ascii="Cambria Math" w:hAnsi="Cambria Math"/>
          <w:i/>
          <w:color w:val="0F172A"/>
          <w:sz w:val="22"/>
        </w:rPr>
        <w:tab/>
        <w:t>PO_{final}(k) = 0.80 \cdot PO_{direct}(k) + 0.20 \cdot PO_{indirect}(k)</w:t>
      </w:r>
      <w:r>
        <w:rPr>
          <w:rFonts w:ascii="Times New Roman" w:hAnsi="Times New Roman"/>
          <w:b/>
          <w:color w:val="475569"/>
          <w:sz w:val="22"/>
        </w:rPr>
        <w:tab/>
        <w:t>(3.5)</w:t>
      </w:r>
    </w:p>
    <w:p>
      <w:pPr>
        <w:spacing w:line="360" w:lineRule="auto" w:before="16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progression and academic graduation indices across three consecutive graduating batches. The Enrolment Ratio, Success Index without backlogs (SI_nobacklog), and Academic Performance Index (API) are calculated as:</w:t>
      </w:r>
    </w:p>
    <w:p>
      <w:pPr>
        <w:tabs>
          <w:tab w:pos="4680" w:val="center"/>
          <w:tab w:pos="9360" w:val="right"/>
        </w:tabs>
        <w:spacing w:line="312" w:lineRule="auto" w:before="120" w:after="120"/>
      </w:pPr>
      <w:r>
        <w:rPr>
          <w:rFonts w:ascii="Cambria Math" w:hAnsi="Cambria Math"/>
          <w:i/>
          <w:color w:val="0F172A"/>
          <w:sz w:val="22"/>
        </w:rPr>
        <w:tab/>
        <w:t>Enrolment\ Ratio = \left( \frac{N_{admitted}}{N_{sanctioned}} \right) \times 100\%</w:t>
      </w:r>
      <w:r>
        <w:rPr>
          <w:rFonts w:ascii="Times New Roman" w:hAnsi="Times New Roman"/>
          <w:b/>
          <w:color w:val="475569"/>
          <w:sz w:val="22"/>
        </w:rPr>
        <w:tab/>
        <w:t>(3.6)</w:t>
      </w:r>
    </w:p>
    <w:p>
      <w:pPr>
        <w:tabs>
          <w:tab w:pos="4680" w:val="center"/>
          <w:tab w:pos="9360" w:val="right"/>
        </w:tabs>
        <w:spacing w:line="312" w:lineRule="auto" w:before="120" w:after="120"/>
      </w:pPr>
      <w:r>
        <w:rPr>
          <w:rFonts w:ascii="Cambria Math" w:hAnsi="Cambria Math"/>
          <w:i/>
          <w:color w:val="0F172A"/>
          <w:sz w:val="22"/>
        </w:rPr>
        <w:tab/>
        <w:t>SI_{nobacklog} = \frac{1}{3} \sum_{b=1}^{3} \left( \frac{N_{graduated\_nobacklog}(b)}{N_{admitted}(b)} \right)</w:t>
      </w:r>
      <w:r>
        <w:rPr>
          <w:rFonts w:ascii="Times New Roman" w:hAnsi="Times New Roman"/>
          <w:b/>
          <w:color w:val="475569"/>
          <w:sz w:val="22"/>
        </w:rPr>
        <w:tab/>
        <w:t>(3.7)</w:t>
      </w:r>
    </w:p>
    <w:p>
      <w:pPr>
        <w:tabs>
          <w:tab w:pos="4680" w:val="center"/>
          <w:tab w:pos="9360" w:val="right"/>
        </w:tabs>
        <w:spacing w:line="312" w:lineRule="auto" w:before="120" w:after="120"/>
      </w:pPr>
      <w:r>
        <w:rPr>
          <w:rFonts w:ascii="Cambria Math" w:hAnsi="Cambria Math"/>
          <w:i/>
          <w:color w:val="0F172A"/>
          <w:sz w:val="22"/>
        </w:rPr>
        <w:tab/>
        <w:t>API = \frac{1}{N_{grad}} \sum_{i=1}^{N_{grad}} \text{CGPA}_i</w:t>
      </w:r>
      <w:r>
        <w:rPr>
          <w:rFonts w:ascii="Times New Roman" w:hAnsi="Times New Roman"/>
          <w:b/>
          <w:color w:val="475569"/>
          <w:sz w:val="22"/>
        </w:rPr>
        <w:tab/>
        <w:t>(3.8)</w:t>
      </w:r>
    </w:p>
    <w:p>
      <w:pPr>
        <w:tabs>
          <w:tab w:pos="4680" w:val="center"/>
          <w:tab w:pos="9360" w:val="right"/>
        </w:tabs>
        <w:spacing w:line="312" w:lineRule="auto" w:before="120" w:after="120"/>
      </w:pPr>
      <w:r>
        <w:rPr>
          <w:rFonts w:ascii="Cambria Math" w:hAnsi="Cambria Math"/>
          <w:i/>
          <w:color w:val="0F172A"/>
          <w:sz w:val="22"/>
        </w:rPr>
        <w:tab/>
        <w:t>Placement\ Index = \frac{1}{3} \sum_{b=1}^{3} \left( \frac{x(b) + y(b) + z(b)}{N_{graduated}(b)} \right)</w:t>
      </w:r>
      <w:r>
        <w:rPr>
          <w:rFonts w:ascii="Times New Roman" w:hAnsi="Times New Roman"/>
          <w:b/>
          <w:color w:val="475569"/>
          <w:sz w:val="22"/>
        </w:rPr>
        <w:tab/>
        <w:t>(3.9)</w:t>
      </w:r>
    </w:p>
    <w:p>
      <w:pPr>
        <w:spacing w:line="360" w:lineRule="auto" w:before="0" w:after="120"/>
        <w:jc w:val="both"/>
      </w:pPr>
      <w:r>
        <w:rPr>
          <w:rFonts w:ascii="Times New Roman" w:hAnsi="Times New Roman"/>
          <w:b w:val="0"/>
          <w:i w:val="0"/>
          <w:color w:val="000000"/>
          <w:sz w:val="24"/>
        </w:rPr>
        <w:t>Where x, y, and z denote the number of students successfully placed through campus recruitment, admitted to higher degrees, and registered as entrepreneurs, respectively.</w:t>
      </w:r>
    </w:p>
    <w:p>
      <w:pPr>
        <w:spacing w:line="360" w:lineRule="auto" w:before="16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evaluates faculty adequacy, cadre distribution, and academic qualifications. The Student-Faculty Ratio (SFR) and Faculty Cadre Ratio (FCR) are formulated pursuant to AICTE Approval Process Handbook norms:</w:t>
      </w:r>
    </w:p>
    <w:p>
      <w:pPr>
        <w:tabs>
          <w:tab w:pos="4680" w:val="center"/>
          <w:tab w:pos="9360" w:val="right"/>
        </w:tabs>
        <w:spacing w:line="312" w:lineRule="auto" w:before="120" w:after="120"/>
      </w:pPr>
      <w:r>
        <w:rPr>
          <w:rFonts w:ascii="Cambria Math" w:hAnsi="Cambria Math"/>
          <w:i/>
          <w:color w:val="0F172A"/>
          <w:sz w:val="22"/>
        </w:rPr>
        <w:tab/>
        <w:t>SFR = \frac{S_2 + S_3 + S_4}{F_{regular}}</w:t>
      </w:r>
      <w:r>
        <w:rPr>
          <w:rFonts w:ascii="Times New Roman" w:hAnsi="Times New Roman"/>
          <w:b/>
          <w:color w:val="475569"/>
          <w:sz w:val="22"/>
        </w:rPr>
        <w:tab/>
        <w:t>(3.10)</w:t>
      </w:r>
    </w:p>
    <w:p>
      <w:pPr>
        <w:tabs>
          <w:tab w:pos="4680" w:val="center"/>
          <w:tab w:pos="9360" w:val="right"/>
        </w:tabs>
        <w:spacing w:line="312" w:lineRule="auto" w:before="120" w:after="120"/>
      </w:pPr>
      <w:r>
        <w:rPr>
          <w:rFonts w:ascii="Cambria Math" w:hAnsi="Cambria Math"/>
          <w:i/>
          <w:color w:val="0F172A"/>
          <w:sz w:val="22"/>
        </w:rPr>
        <w:tab/>
        <w:t>FCR = 20 \times \left[ \frac{AF_1}{RF_1} + 0.6 \left( \frac{AF_2}{RF_2} \right) + 0.4 \left( \frac{AF_3}{RF_3} \right) \right] \times \frac{1}{2.0}</w:t>
      </w:r>
      <w:r>
        <w:rPr>
          <w:rFonts w:ascii="Times New Roman" w:hAnsi="Times New Roman"/>
          <w:b/>
          <w:color w:val="475569"/>
          <w:sz w:val="22"/>
        </w:rPr>
        <w:tab/>
        <w:t>(3.11)</w:t>
      </w:r>
    </w:p>
    <w:p>
      <w:pPr>
        <w:tabs>
          <w:tab w:pos="4680" w:val="center"/>
          <w:tab w:pos="9360" w:val="right"/>
        </w:tabs>
        <w:spacing w:line="312" w:lineRule="auto" w:before="120" w:after="120"/>
      </w:pPr>
      <w:r>
        <w:rPr>
          <w:rFonts w:ascii="Cambria Math" w:hAnsi="Cambria Math"/>
          <w:i/>
          <w:color w:val="0F172A"/>
          <w:sz w:val="22"/>
        </w:rPr>
        <w:tab/>
        <w:t>FQ = 2.0 \times \left[ \frac{10 \cdot N_{Ph.D.} + 6 \cdot N_{M.Tech.}}{F_{regular}} \right]</w:t>
      </w:r>
      <w:r>
        <w:rPr>
          <w:rFonts w:ascii="Times New Roman" w:hAnsi="Times New Roman"/>
          <w:b/>
          <w:color w:val="475569"/>
          <w:sz w:val="22"/>
        </w:rPr>
        <w:tab/>
        <w:t>(3.12)</w:t>
      </w:r>
    </w:p>
    <w:p>
      <w:pPr>
        <w:tabs>
          <w:tab w:pos="4680" w:val="center"/>
          <w:tab w:pos="9360" w:val="right"/>
        </w:tabs>
        <w:spacing w:line="312" w:lineRule="auto" w:before="120" w:after="120"/>
      </w:pPr>
      <w:r>
        <w:rPr>
          <w:rFonts w:ascii="Cambria Math" w:hAnsi="Cambria Math"/>
          <w:i/>
          <w:color w:val="0F172A"/>
          <w:sz w:val="22"/>
        </w:rPr>
        <w:tab/>
        <w:t>Publication\ Index = \frac{1}{3 \cdot F_{regular}} \sum_{t=1}^{3} \left( N_{Scopus}(t) + N_{WoS}(t) \right)</w:t>
      </w:r>
      <w:r>
        <w:rPr>
          <w:rFonts w:ascii="Times New Roman" w:hAnsi="Times New Roman"/>
          <w:b/>
          <w:color w:val="475569"/>
          <w:sz w:val="22"/>
        </w:rPr>
        <w:tab/>
        <w:t>(3.13)</w:t>
      </w:r>
    </w:p>
    <w:p>
      <w:pPr>
        <w:spacing w:line="360" w:lineRule="auto" w:before="0" w:after="120"/>
        <w:jc w:val="both"/>
      </w:pPr>
      <w:r>
        <w:rPr>
          <w:rFonts w:ascii="Times New Roman" w:hAnsi="Times New Roman"/>
          <w:b w:val="0"/>
          <w:i w:val="0"/>
          <w:color w:val="000000"/>
          <w:sz w:val="24"/>
        </w:rPr>
        <w:t>Where S_2, S_3, S_4 denote student strength in 2nd, 3rd, and 4th years, and AF_1, AF_2, AF_3 denote actual faculty in cadre Professor, Associate Professor, and Assistant Professor against required cadre RF_1, RF_2, RF_3.</w:t>
      </w:r>
    </w:p>
    <w:p>
      <w:pPr>
        <w:spacing w:line="360" w:lineRule="auto" w:before="160" w:after="80"/>
        <w:jc w:val="left"/>
      </w:pPr>
      <w:r>
        <w:rPr>
          <w:rFonts w:ascii="Times New Roman" w:hAnsi="Times New Roman"/>
          <w:b/>
          <w:i w:val="0"/>
          <w:color w:val="000000"/>
          <w:sz w:val="24"/>
        </w:rPr>
        <w:t>Criterion 10: Financial Resources and Budgetary Utilization (120 Marks)</w:t>
      </w:r>
    </w:p>
    <w:p>
      <w:pPr>
        <w:spacing w:line="360" w:lineRule="auto" w:before="0" w:after="120"/>
        <w:jc w:val="both"/>
      </w:pPr>
      <w:r>
        <w:rPr>
          <w:rFonts w:ascii="Times New Roman" w:hAnsi="Times New Roman"/>
          <w:b w:val="0"/>
          <w:i w:val="0"/>
          <w:color w:val="000000"/>
          <w:sz w:val="24"/>
        </w:rPr>
        <w:t>Criterion 10 evaluates institutional budgetary adequacy, capital expenditure allocation, and annual utilization rates:</w:t>
      </w:r>
    </w:p>
    <w:p>
      <w:pPr>
        <w:tabs>
          <w:tab w:pos="4680" w:val="center"/>
          <w:tab w:pos="9360" w:val="right"/>
        </w:tabs>
        <w:spacing w:line="312" w:lineRule="auto" w:before="120" w:after="120"/>
      </w:pPr>
      <w:r>
        <w:rPr>
          <w:rFonts w:ascii="Cambria Math" w:hAnsi="Cambria Math"/>
          <w:i/>
          <w:color w:val="0F172A"/>
          <w:sz w:val="22"/>
        </w:rPr>
        <w:tab/>
        <w:t>Utilization\ Rate = \left( \frac{\text{Actual Expenditure}}{\text{Allocated Budget}} \right) \times 100\%</w:t>
      </w:r>
      <w:r>
        <w:rPr>
          <w:rFonts w:ascii="Times New Roman" w:hAnsi="Times New Roman"/>
          <w:b/>
          <w:color w:val="475569"/>
          <w:sz w:val="22"/>
        </w:rPr>
        <w:tab/>
        <w:t>(3.14)</w:t>
      </w:r>
    </w:p>
    <w:p>
      <w:pPr>
        <w:spacing w:line="360" w:lineRule="auto" w:before="0" w:after="120"/>
        <w:jc w:val="both"/>
      </w:pPr>
      <w:r>
        <w:rPr>
          <w:rFonts w:ascii="Times New Roman" w:hAnsi="Times New Roman"/>
          <w:b w:val="0"/>
          <w:i w:val="0"/>
          <w:color w:val="000000"/>
          <w:sz w:val="24"/>
        </w:rPr>
        <w:t>Full marks (30/30) are awarded when the average utilization rate over three audited financial years satisfies 90% &lt;= Utilization Rate &lt;= 100%.</w:t>
      </w:r>
    </w:p>
    <w:p>
      <w:r>
        <w:br w:type="page"/>
      </w:r>
    </w:p>
    <w:p>
      <w:pPr>
        <w:spacing w:line="360" w:lineRule="auto" w:before="240" w:after="240"/>
        <w:jc w:val="center"/>
      </w:pPr>
      <w:r>
        <w:rPr>
          <w:rFonts w:ascii="Times New Roman" w:hAnsi="Times New Roman"/>
          <w:b/>
          <w:i w:val="0"/>
          <w:color w:val="000000"/>
          <w:sz w:val="32"/>
        </w:rPr>
        <w:t>CHAPTER 4: SOFTWARE/HARDWARE REQUIRED (OPTIONAL CHAPTER)</w:t>
      </w:r>
    </w:p>
    <w:p>
      <w:pPr>
        <w:spacing w:line="360" w:lineRule="auto" w:before="20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Hardware Component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Developer Workstation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Recommended Enterprise Campus Server</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Central Processing Unit (CPU)</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Core i5 / AMD Ryzen 5 (4 Cores, 2.5 GHz+)</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Xeon E5 / AMD EPYC (8+ Cores, 3.2 GHz+)</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System Memory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GB DDR4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32 GB DDR4 / DDR5 ECC RAM</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Primary Disk Storage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256 GB NVMe M.2 Solid State Drive (SSD)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TB Enterprise NVMe SSD in RAID-1 Configuration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Interface Card (NIC)</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Mbps Ethernet / 802.11ac Wi-Fi</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Gbps Full-Duplex Redundant Gigabit Ethernet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Display / Client Terminal</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1920 × 1080 (Full HD) 60 Hz Resolution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Dual 1920 × 1080 Full HD Monitors for Auditor Scrutiny</w:t>
            </w:r>
          </w:p>
        </w:tc>
      </w:tr>
    </w:tbl>
    <w:p>
      <w:pPr>
        <w:spacing w:line="360" w:lineRule="auto" w:before="20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Layer</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Technology / Library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Version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Functional Role in Smart Approval AI</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Backend Web 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FastAPI / Starlette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0.104.1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Asynchronous REST API framework, dependency injection, routing</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ASGI Server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Uvicorn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0.24.0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High-performance Lightning-fast ASGI web server worker</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Language Runtime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Python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3.11 / 3.12</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Underlying programming language runtime and type system</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Data Validation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Pydantic v2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2.14.1</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Strict data contract enforcement, JSON Schema generation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Database ORM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SQLAlchemy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2.0.44</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Relational database mapping, connection pooling, schema migrations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Frontend Web Core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Next.js 14 (App Router)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14.2.33</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Server-Side Rendering (SSR), React 18, relative API rewrites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UI Styling &amp; Icons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Tailwind CSS + Lucide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Modern utility-first responsive styling and SVG iconography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AI Engine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Google Gemini 2.5 Flash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v0.8.6 SDK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Multimodal regulatory reasoning, table parsing, structured JSON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Document Deep Parser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Docling + PyMuPDF</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2.14 / 2.0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Layout segmentation, bounding box detection, table grid recovery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Tunneling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Ngrok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v3.18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Single-tunnel reverse-proxy external port exposure (:4051/:3051)</w:t>
            </w:r>
          </w:p>
        </w:tc>
      </w:tr>
    </w:tbl>
    <w:p>
      <w:pPr>
        <w:spacing w:line="360" w:lineRule="auto" w:before="20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Column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Data Type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Constraints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Description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surrogate key for engineering college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aicte_permanent_id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VARCHAR(64)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UNIQUE, 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Statutory AICTE permanent institute identifier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identifier for uploaded audit batch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academic_year</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VARCHAR(16)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session string (e.g. '2026-2027')</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metric_name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VARCHAR(128)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Codified regulatory indicator (e.g. 'SFR', 'FCP')</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compliance_status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VARCHAR(32)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Verdict: 'COMPLIANT', 'DEFICIENT', 'EXCELLENT'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Compliance_Audits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digital_signature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VARCHAR(255)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Cryptographic SHA-256 verification token</w:t>
            </w:r>
          </w:p>
        </w:tc>
      </w:tr>
    </w:tbl>
    <w:p>
      <w:pPr>
        <w:spacing w:line="360" w:lineRule="auto" w:before="20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Endpoint Route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HTTP Verb</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Authentication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Request Payload</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Response Object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/api/upload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multipart/form-data (PDF file)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file_hash, parsing_status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Query: limit, offset, 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Array of BatchSummary objects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/api/evaluate/aicte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aicte_norm_year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AICTEComplianceReport with deficiencies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/api/evaluate/nba</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tier_type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NBACriteriaBreakdown with 1000-pt 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/api/analytics/trends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institution_id, years_range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LongitudinalSeries for 48 indicators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/api/forecast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metric_name, horizon_years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PointForecast, confidence_interval_95</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/api/reports/download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batch_id, format (pdf/docx)</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Stream: Cryptographically signed report</w:t>
            </w:r>
          </w:p>
        </w:tc>
      </w:tr>
    </w:tbl>
    <w:p>
      <w:r>
        <w:br w:type="page"/>
      </w:r>
    </w:p>
    <w:p>
      <w:pPr>
        <w:spacing w:line="360" w:lineRule="auto" w:before="20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spacing w:line="276" w:lineRule="auto" w:before="80" w:after="120"/>
        <w:jc w:val="both"/>
      </w:pPr>
      <w:r>
        <w:t>-- 1. Institutions Entity</w:t>
        <w:br/>
        <w:t>CREATE TABLE institutions (</w:t>
        <w:br/>
        <w:t xml:space="preserve">    id INTEGER PRIMARY KEY AUTOINCREMENT,</w:t>
        <w:br/>
        <w:t xml:space="preserve">    institution_name VARCHAR(255) NOT NULL,</w:t>
        <w:br/>
        <w:t xml:space="preserve">    aicte_permanent_id VARCHAR(64) UNIQUE NOT NULL,</w:t>
        <w:br/>
        <w:t xml:space="preserve">    affiliating_university VARCHAR(255) NOT NULL,</w:t>
        <w:br/>
        <w:t xml:space="preserve">    is_autonomous BOOLEAN DEFAULT TRUE,</w:t>
        <w:br/>
        <w:t xml:space="preserve">    address_city VARCHAR(128) DEFAULT 'Nagpur',</w:t>
        <w:br/>
        <w:t xml:space="preserve">    created_at TIMESTAMP DEFAULT CURRENT_TIMESTAMP</w:t>
        <w:br/>
        <w:t>);</w:t>
        <w:br/>
        <w:br/>
        <w:t>-- 2. Audit Batches Entity</w:t>
        <w:br/>
        <w:t>CREATE TABLE audit_batches (</w:t>
        <w:br/>
        <w:t xml:space="preserve">    id INTEGER PRIMARY KEY AUTOINCREMENT,</w:t>
        <w:br/>
        <w:t xml:space="preserve">    institution_id INTEGER NOT NULL REFERENCES institutions(id) ON DELETE CASCADE,</w:t>
        <w:br/>
        <w:t xml:space="preserve">    academic_year VARCHAR(16) NOT NULL,</w:t>
        <w:br/>
        <w:t xml:space="preserve">    batch_name VARCHAR(128) NOT NULL,</w:t>
        <w:br/>
        <w:t xml:space="preserve">    approved_student_intake INTEGER NOT NULL DEFAULT 720,</w:t>
        <w:br/>
        <w:t xml:space="preserve">    batch_status VARCHAR(32) DEFAULT 'PARSED',</w:t>
        <w:br/>
        <w:t xml:space="preserve">    created_at TIMESTAMP DEFAULT CURRENT_TIMESTAMP</w:t>
        <w:br/>
        <w:t>);</w:t>
        <w:br/>
        <w:t>CREATE INDEX idx_batches_institution_year ON audit_batches(institution_id, academic_year);</w:t>
        <w:br/>
        <w:br/>
        <w:t>-- 3. Regulatory Documents Entity</w:t>
        <w:br/>
        <w:t>CREATE TABLE regulatory_documents (</w:t>
        <w:br/>
        <w:t xml:space="preserve">    id INTEGER PRIMARY KEY AUTOINCREMENT,</w:t>
        <w:br/>
        <w:t xml:space="preserve">    batch_id INTEGER NOT NULL REFERENCES audit_batches(id) ON DELETE CASCADE,</w:t>
        <w:br/>
        <w:t xml:space="preserve">    file_name VARCHAR(255) NOT NULL,</w:t>
        <w:br/>
        <w:t xml:space="preserve">    file_path VARCHAR(512) NOT NULL,</w:t>
        <w:br/>
        <w:t xml:space="preserve">    file_hash_sha256 VARCHAR(64) NOT NULL,</w:t>
        <w:br/>
        <w:t xml:space="preserve">    document_category VARCHAR(64) NOT NULL,</w:t>
        <w:br/>
        <w:t xml:space="preserve">    page_count INTEGER NOT NULL,</w:t>
        <w:br/>
        <w:t xml:space="preserve">    parsing_engine VARCHAR(32) DEFAULT 'Docling+Gemini',</w:t>
        <w:br/>
        <w:t xml:space="preserve">    created_at TIMESTAMP DEFAULT CURRENT_TIMESTAMP</w:t>
        <w:br/>
        <w:t>);</w:t>
        <w:br/>
        <w:br/>
        <w:t>-- 4. Key Performance Indicator (KPI) Metrics Entity</w:t>
        <w:br/>
        <w:t>CREATE TABLE kpi_metrics (</w:t>
        <w:br/>
        <w:t xml:space="preserve">    id INTEGER PRIMARY KEY AUTOINCREMENT,</w:t>
        <w:br/>
        <w:t xml:space="preserve">    batch_id INTEGER NOT NULL REFERENCES audit_batches(id) ON DELETE CASCADE,</w:t>
        <w:br/>
        <w:t xml:space="preserve">    regulatory_framework VARCHAR(32) NOT NULL,</w:t>
        <w:br/>
        <w:t xml:space="preserve">    metric_code VARCHAR(64) NOT NULL,</w:t>
        <w:br/>
        <w:t xml:space="preserve">    metric_name VARCHAR(255) NOT NULL,</w:t>
        <w:br/>
        <w:t xml:space="preserve">    mandated_norm_value FLOAT NOT NULL,</w:t>
        <w:br/>
        <w:t xml:space="preserve">    extracted_actual_value FLOAT NOT NULL,</w:t>
        <w:br/>
        <w:t xml:space="preserve">    compliance_verdict VARCHAR(32) NOT NULL,</w:t>
        <w:br/>
        <w:t xml:space="preserve">    mathematical_formula_used TEXT,</w:t>
        <w:br/>
        <w:t xml:space="preserve">    created_at TIMESTAMP DEFAULT CURRENT_TIMESTAMP</w:t>
        <w:br/>
        <w:t>);</w:t>
        <w:br/>
        <w:t>CREATE INDEX idx_kpi_batch_framework ON kpi_metrics(batch_id, regulatory_framework);</w:t>
        <w:br/>
        <w:br/>
        <w:t>-- 5. NBA Criteria Attainment Scores Entity</w:t>
        <w:br/>
        <w:t>CREATE TABLE nba_criteria_evaluations (</w:t>
        <w:br/>
        <w:t xml:space="preserve">    id INTEGER PRIMARY KEY AUTOINCREMENT,</w:t>
        <w:br/>
        <w:t xml:space="preserve">    batch_id INTEGER NOT NULL REFERENCES audit_batches(id) ON DELETE CASCADE,</w:t>
        <w:br/>
        <w:t xml:space="preserve">    criterion_number INTEGER NOT NULL CHECK (criterion_number BETWEEN 1 AND 10),</w:t>
        <w:br/>
        <w:t xml:space="preserve">    criterion_name VARCHAR(255) NOT NULL,</w:t>
        <w:br/>
        <w:t xml:space="preserve">    max_points FLOAT NOT NULL,</w:t>
        <w:br/>
        <w:t xml:space="preserve">    awarded_points FLOAT NOT NULL,</w:t>
        <w:br/>
        <w:t xml:space="preserve">    attainment_percentage FLOAT NOT NULL,</w:t>
        <w:br/>
        <w:t xml:space="preserve">    qualifying_status VARCHAR(32) DEFAULT 'COMPLIANT'</w:t>
        <w:br/>
        <w:t>);</w:t>
        <w:br/>
        <w:t>CREATE INDEX idx_nba_eval_batch ON nba_criteria_evaluations(batch_id, criterion_number);</w:t>
      </w:r>
    </w:p>
    <w:p>
      <w:pPr>
        <w:spacing w:line="360" w:lineRule="auto" w:before="0" w:after="240"/>
        <w:jc w:val="center"/>
      </w:pPr>
      <w:r>
        <w:rPr>
          <w:rFonts w:ascii="Times New Roman" w:hAnsi="Times New Roman"/>
          <w:b w:val="0"/>
          <w:i/>
          <w:color w:val="000000"/>
          <w:sz w:val="20"/>
        </w:rPr>
        <w:t>Listing 4.1: Production Relational DDL Schema with Foreign Key Constraints and Performance Indexes</w:t>
      </w:r>
    </w:p>
    <w:p>
      <w:pPr>
        <w:spacing w:line="360" w:lineRule="auto" w:before="20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spacing w:line="360" w:lineRule="auto" w:before="20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spacing w:line="276" w:lineRule="auto" w:before="80" w:after="120"/>
        <w:jc w:val="both"/>
      </w:pPr>
      <w:r>
        <w:t>/** @type {import('next').NextConfig} */</w:t>
        <w:br/>
        <w:t>const nextConfig = {</w:t>
        <w:br/>
        <w:t xml:space="preserve">  reactStrictMode: false,</w:t>
        <w:br/>
        <w:t xml:space="preserve">  // Dedicated Non-Conflicting Port Allocation</w:t>
        <w:br/>
        <w:t xml:space="preserve">  // Frontend: 3051 | Backend: 8051 | Ngrok Inspector: 4051</w:t>
        <w:br/>
        <w:t xml:space="preserve">  async rewrites() {</w:t>
        <w:br/>
        <w:t xml:space="preserve">    return [</w:t>
        <w:br/>
        <w:t xml:space="preserve">      {</w:t>
        <w:br/>
        <w:t xml:space="preserve">        // Reverse proxy all relative /api calls to FastAPI backend on port 8051</w:t>
        <w:br/>
        <w:t xml:space="preserve">        source: '/api/:path*',</w:t>
        <w:br/>
        <w:t xml:space="preserve">        destination: 'http://127.0.0.1:8051/api/:path*',</w:t>
        <w:br/>
        <w:t xml:space="preserve">      },</w:t>
        <w:br/>
        <w:t xml:space="preserve">    ];</w:t>
        <w:br/>
        <w:t xml:space="preserve">  },</w:t>
        <w:br/>
        <w:t>};</w:t>
        <w:br/>
        <w:br/>
        <w:t>export default nextConfig;</w:t>
      </w:r>
    </w:p>
    <w:p>
      <w:pPr>
        <w:spacing w:line="360" w:lineRule="auto" w:before="0" w:after="240"/>
        <w:jc w:val="center"/>
      </w:pPr>
      <w:r>
        <w:rPr>
          <w:rFonts w:ascii="Times New Roman" w:hAnsi="Times New Roman"/>
          <w:b w:val="0"/>
          <w:i/>
          <w:color w:val="000000"/>
          <w:sz w:val="20"/>
        </w:rPr>
        <w:t>Listing 4.2: Next.js Single-Tunnel Reverse Proxy Rewrites Preserving External Ngrok Quotas</w:t>
      </w:r>
    </w:p>
    <w:p>
      <w:pPr>
        <w:spacing w:line="360" w:lineRule="auto" w:before="20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environments—ranging from standalone faculty laptops running Windows 11 to Linux-based campus data center clusters—the complete application is containerized using multi-stage Docker builds. Listing 4.3 illustrates the production `backend/Dockerfile` incorporating Python virtual environments, PyMuPDF dependencies, and lightweight Alpine/Debian slim layers:</w:t>
      </w:r>
    </w:p>
    <w:p>
      <w:pPr>
        <w:spacing w:line="276" w:lineRule="auto" w:before="80" w:after="120"/>
        <w:jc w:val="both"/>
      </w:pPr>
      <w:r>
        <w:t># Smart Approval AI - Production Multi-Stage Backend Dockerfile</w:t>
        <w:br/>
        <w:t>FROM python:3.11-slim AS builder</w:t>
        <w:br/>
        <w:t>WORKDIR /app</w:t>
        <w:br/>
        <w:t>RUN apt-get update &amp;&amp; apt-get install -y --no-install-recommends \</w:t>
        <w:br/>
        <w:t xml:space="preserve">    build-essential libmupdf-dev tesseract-ocr &amp;&amp; \</w:t>
        <w:br/>
        <w:t xml:space="preserve">    rm -rf /var/lib/apt/lists/*</w:t>
        <w:br/>
        <w:t>COPY requirements.txt .</w:t>
        <w:br/>
        <w:t>RUN python -m venv /opt/venv &amp;&amp; \</w:t>
        <w:br/>
        <w:t xml:space="preserve">    /opt/venv/bin/pip install --no-cache-dir -r requirements.txt</w:t>
        <w:br/>
        <w:br/>
        <w:t>FROM python:3.11-slim AS runner</w:t>
        <w:br/>
        <w:t>WORKDIR /app</w:t>
        <w:br/>
        <w:t>COPY --from=builder /opt/venv /opt/venv</w:t>
        <w:br/>
        <w:t>ENV PATH="/opt/venv/bin:$PATH"</w:t>
        <w:br/>
        <w:t>COPY . .</w:t>
        <w:br/>
        <w:t>EXPOSE 8051</w:t>
        <w:br/>
        <w:t>CMD ["uvicorn", "main:app", "--host", "0.0.0.0", "--port", "8051"]</w:t>
      </w:r>
    </w:p>
    <w:p>
      <w:pPr>
        <w:spacing w:line="360" w:lineRule="auto" w:before="0" w:after="240"/>
        <w:jc w:val="center"/>
      </w:pPr>
      <w:r>
        <w:rPr>
          <w:rFonts w:ascii="Times New Roman" w:hAnsi="Times New Roman"/>
          <w:b w:val="0"/>
          <w:i/>
          <w:color w:val="000000"/>
          <w:sz w:val="20"/>
        </w:rPr>
        <w:t>Listing 4.3: Production Multi-Stage Dockerfile for Reproducible Backend Deployment</w:t>
      </w:r>
    </w:p>
    <w:p>
      <w:pPr>
        <w:spacing w:line="360" w:lineRule="auto" w:before="20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HTTP Method &amp; Endpoint</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Request Payload</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Response Schema</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Description &amp; Logic</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/api/ingest/upload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Multipart/form-data:</w:t>
              <w:br/>
              <w:t>• file: Binary PDF/DOCX</w:t>
              <w:br/>
              <w:t>• category: str</w:t>
              <w:br/>
              <w:t>• academic_year: str</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document_id: UUID,</w:t>
              <w:br/>
              <w:t xml:space="preserve">  page_count: int,</w:t>
              <w:br/>
              <w:t xml:space="preserve">  tokens: int,</w:t>
              <w:br/>
              <w:t xml:space="preserve">  status: 'QUEUED'</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Receives institutional documentation, validates MIME type, hashes content (SHA-256), and enqueues Docling visual parsing.</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POST /api/audit/evaluate-aicte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institution_id: UUID,</w:t>
              <w:br/>
              <w:t xml:space="preserve">  academic_year: '2026-27',</w:t>
              <w:br/>
              <w:t xml:space="preserve">  ruleset: 'APH_2026'</w:t>
              <w:br/>
              <w: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overall_status: 'PASS/DEFICIENT',</w:t>
              <w:br/>
              <w:t xml:space="preserve">  deficiencies: List[Deficiency],</w:t>
              <w:br/>
              <w:t xml:space="preserve">  sfr: float,</w:t>
              <w:br/>
              <w:t xml:space="preserve">  cadre_ratio: str</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Executes deterministic AICTE handbook rules over extracted faculty, land, and infrastructure data; returns binary deficiency report.</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/api/audit/evaluate-nba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program_id: UUID,</w:t>
              <w:br/>
              <w:t xml:space="preserve">  tier: 'TIER_I',</w:t>
              <w:br/>
              <w:t xml:space="preserve">  assessment_years: ['2023-24', '2024-25', '2025-26']</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total_score: float (max 1000),</w:t>
              <w:br/>
              <w:t xml:space="preserve">  criteria_scores: Dict[str, float],</w:t>
              <w:br/>
              <w:t xml:space="preserve">  accreditation_status: str</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Evaluates all 10 NBA criteria using mathematical formulas; determines 6-year vs 3-year accreditation eligibility.</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/api/analytics/predictive-trends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Query Params:</w:t>
              <w:br/>
              <w:t>• program_id: UUID</w:t>
              <w:br/>
              <w:t>• target_year: '2027-28'</w:t>
              <w:br/>
              <w:t>• model: 'SARIMA'</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forecasted_sfr: float,</w:t>
              <w:br/>
              <w:t xml:space="preserve">  cadre_projection: Dict,</w:t>
              <w:br/>
              <w:t xml:space="preserve">  confidence_interval: List[float]</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Applies time-series forecasting to predict institutional metrics for the next triennium, highlighting emerging deficiency risks.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/api/reports/generate-pdf</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audit_id: UUID,</w:t>
              <w:br/>
              <w:t xml:space="preserve">  template: 'EXECUTIVE_SUMMARY',</w:t>
              <w:br/>
              <w:t xml:space="preserve">  include_charts: true</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Binary application/pdf stream with Content-Disposition attachment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Compiles comprehensive audit dossier into publication-ready PDF with institutional headers, scorecards, and remediation steps.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/api/health</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None (Empty)</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status: 'healthy',</w:t>
              <w:br/>
              <w:t xml:space="preserve">  uptime: float,</w:t>
              <w:br/>
              <w:t xml:space="preserve">  docling_engine: 'ONLINE',</w:t>
              <w:br/>
              <w:t xml:space="preserve">  gemini_api: 'CONNECTED'</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Microservice health check endpoint verifying local GPU availability, Docling parser readiness, and Gemini API connectivity.</w:t>
            </w:r>
          </w:p>
        </w:tc>
      </w:tr>
    </w:tbl>
    <w:p>
      <w:pPr>
        <w:spacing w:line="360" w:lineRule="auto" w:before="0" w:after="120"/>
        <w:jc w:val="both"/>
      </w:pPr>
    </w:p>
    <w:p>
      <w:r>
        <w:br w:type="page"/>
      </w:r>
    </w:p>
    <w:p>
      <w:pPr>
        <w:spacing w:line="360" w:lineRule="auto" w:before="240" w:after="240"/>
        <w:jc w:val="center"/>
      </w:pPr>
      <w:r>
        <w:rPr>
          <w:rFonts w:ascii="Times New Roman" w:hAnsi="Times New Roman"/>
          <w:b/>
          <w:i w:val="0"/>
          <w:color w:val="000000"/>
          <w:sz w:val="32"/>
        </w:rPr>
        <w:t>CHAPTER 5: RESULTS AND DISCUSSIONS</w:t>
      </w:r>
    </w:p>
    <w:p>
      <w:pPr>
        <w:spacing w:line="360" w:lineRule="auto" w:before="20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spacing w:line="360" w:lineRule="auto" w:before="20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spacing w:line="360" w:lineRule="auto" w:before="16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spacing w:line="360" w:lineRule="auto" w:before="16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spacing w:line="360" w:lineRule="auto" w:before="16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indices—including Student-Faculty Ratio (SFR = 14.21, earning full 20/20 marks), Faculty Retention Rate (FRR = 91.4%, earning full 25/25 marks), and Academic Performance Index (API = 7.08)—are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spacing w:line="360" w:lineRule="auto" w:before="16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spacing w:line="360" w:lineRule="auto" w:before="16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spacing w:line="360" w:lineRule="auto" w:before="16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spacing w:line="360" w:lineRule="auto" w:before="16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spacing w:line="360" w:lineRule="auto" w:before="20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Dossier Category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Number of Portfolios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Total Pages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Extracted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Records Evaluated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AICTE Mandatory Disclosures (2024-27)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 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4,860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1,420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NBA Self-Assessment Reports (Tier-I/II)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 Departments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5,250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480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Faculty Profiles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NAAC Self-Study Reports (SSR Cycle 1-3)</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 Colleges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2,840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1,240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Audited Institutional Financial Sheets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 University Units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 Complex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Financial Accounts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Total Evaluation Corpus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50 Full Dossiers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14,250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1,280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Parsing Pipeline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Clean Digital PDFs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Complex Merged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Scanned Documents (200 DPI)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Mean Fidelity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(v5.3 Baseline)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84.2%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52.6%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 (Severe cell breaks)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PyMuPDF Standalone (No Layout)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N/A (Fails on Scans)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82.5% (Lost table grids)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 (Proposed)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96.2%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Regulatory Metric / Indicator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Precision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Recall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F1-Score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Defect Detection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Student-Faculty Ratio (SFR)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0.992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99.8% (Exact count match)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Cadre Ratio (1:2:6)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0.986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99.2% (Correct rank splits)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Carpet Area (sq.m)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97.6%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0.979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98.5% (Zero spatial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Laboratory Core Equipment Norms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97.5%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0.971</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(Detected 1 minor kit deficit)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Faculty Retention Rate (FRR 3 Yrs)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99.5% (Accurate resignation trace)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Platform Benchmark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98.7%</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2" name="Picture 12"/>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spacing w:line="360" w:lineRule="auto" w:before="20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Operational Dimension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Manual Institutional Audit Workflow</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Smart Approval AI Automated System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Gains / Improvement Metric</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End-to-End Audit Duration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45 to 60 Calendar Days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 8.4 Seconds per Dossier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&gt; 99.9% Temporal Acceleration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Human Capital Required</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 to 15 Senior Steering Committee Faculty</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Audit Coordinator (Single-click review)</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&gt; 92% Reduction in Clerical Workload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Arithmetic &amp; Ratio Error Rate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4.8% (Human calculation/sampling slips)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0.0% (Deterministic Code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100% Mathematical Consistency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Longitudinal Multi-Year Depth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Fragmented (Manual excel spreadsheets)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Automated 5-Year Triennial Analytics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Instant Trend &amp; Anomaly Discovery</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SAR Dossier Compilation Effort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 to 4 Weeks of Typing &amp; Layout Editing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Instant Generation (PDF / Word / Excel)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Zero Formatting Burden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 Drift Early Warning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(Discovered post-inspection)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SARIMA 24-Month Predictive Alerts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Proactive Deficit Mitigation</w:t>
            </w:r>
          </w:p>
        </w:tc>
      </w:tr>
    </w:tbl>
    <w:p>
      <w:pPr>
        <w:spacing w:line="360" w:lineRule="auto" w:before="20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spacing w:line="360" w:lineRule="auto" w:before="20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Architecture Variant</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Cadre Extraction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Carpet Area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Research Grants (Lakhs)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F1-Score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Baseline A: Linear Tesseract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61.8%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0.548 (Severe row bleeding)</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Baseline B: Standalone PyMuPDF</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81.2%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74.0%</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0.779 (Broken multi-row cells)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(Docling+PyMuPDF)</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Foundation Model</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Extraction Latency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Pydantic Schema Violations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Token Throughput (tps)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 Extraction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GPT-3.5 Turbo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2,150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45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0.892 (Type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Meta Llama-3-70B (Local)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4,820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2.8%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22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0.941 (High GPU demand)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GPT-4o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3,650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38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0.984 (High API cost)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Google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1,140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0.0%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110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0.987 (Optimal for Production)</w:t>
            </w:r>
          </w:p>
        </w:tc>
      </w:tr>
    </w:tbl>
    <w:p>
      <w:pPr>
        <w:spacing w:line="360" w:lineRule="auto" w:before="20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spacing w:line="360" w:lineRule="auto" w:before="20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₹850/hour, the internal administrative labor expenditure exceeds ₹20,40,000.</w:t>
        <w:br/>
        <w:t>• Printing, Dossier Binding, and Courier Costs: Multiple physical copies of 4,000-page SAR portfolios exceed ₹1,80,000.</w:t>
        <w:br/>
        <w:t>• Total Traditional Preparation Cost: Approximately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₹20 Lakhs per accreditation cycle while completely eliminating punitive regulatory fines associated with undiscovered compliance deficiencies.</w:t>
      </w:r>
    </w:p>
    <w:p>
      <w:pPr>
        <w:spacing w:line="360" w:lineRule="auto" w:before="20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spacing w:line="360" w:lineRule="auto" w:before="20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SUS Question Statement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Target Usability Dimension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Score (1-5 Likert)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I think that I would like to use Smart Approval AI frequently.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Product Adoption Intent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4.67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I found the system unnecessarily complex.</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Complexity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1.33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 thought the system was easy to use.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Ease of Navigation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4.73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 I think that I would need the support of a technical person to use it.</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Self-Sufficiency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5. I found the various functions in this system were well integrated.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System Integration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4.80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 I thought there was too much inconsistency in this system.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UI Consistency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7. I would imagine that most people would learn to use this system quickly.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Learnability Curve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I found the system very cumbersome to use.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Operational Friction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1.27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9. I felt very confident using the system.</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User Confidence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 I needed to learn a lot of things before I could get going.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Pre-requisite Burden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Composite System Usability Scale (SUS) Score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Global Usability Rating</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spacing w:line="360" w:lineRule="auto" w:before="20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both"/>
      </w:pPr>
      <w:r>
        <w:rPr>
          <w:rFonts w:ascii="Times New Roman" w:hAnsi="Times New Roman"/>
          <w:b w:val="0"/>
          <w:i w:val="0"/>
          <w:color w:val="000000"/>
          <w:sz w:val="24"/>
        </w:rPr>
        <w:t>Document entity extraction and table boundary classification performance are evaluated using standard information retrieval metrics:</w:t>
      </w:r>
    </w:p>
    <w:p>
      <w:pPr>
        <w:tabs>
          <w:tab w:pos="4680" w:val="center"/>
          <w:tab w:pos="9360" w:val="right"/>
        </w:tabs>
        <w:spacing w:line="312" w:lineRule="auto" w:before="120" w:after="120"/>
      </w:pPr>
      <w:r>
        <w:rPr>
          <w:rFonts w:ascii="Cambria Math" w:hAnsi="Cambria Math"/>
          <w:i/>
          <w:color w:val="0F172A"/>
          <w:sz w:val="22"/>
        </w:rPr>
        <w:tab/>
        <w:t>Precision = \frac{\text{TP}}{\text{TP} + \text{FP}}, \quad Recall = \frac{\text{TP}}{\text{TP} + \text{FN}}</w:t>
      </w:r>
      <w:r>
        <w:rPr>
          <w:rFonts w:ascii="Times New Roman" w:hAnsi="Times New Roman"/>
          <w:b/>
          <w:color w:val="475569"/>
          <w:sz w:val="22"/>
        </w:rPr>
        <w:tab/>
        <w:t>(5.1)</w:t>
      </w:r>
    </w:p>
    <w:p>
      <w:pPr>
        <w:tabs>
          <w:tab w:pos="4680" w:val="center"/>
          <w:tab w:pos="9360" w:val="right"/>
        </w:tabs>
        <w:spacing w:line="312" w:lineRule="auto" w:before="120" w:after="120"/>
      </w:pPr>
      <w:r>
        <w:rPr>
          <w:rFonts w:ascii="Cambria Math" w:hAnsi="Cambria Math"/>
          <w:i/>
          <w:color w:val="0F172A"/>
          <w:sz w:val="22"/>
        </w:rPr>
        <w:tab/>
        <w:t>F_1\text{-Score} = 2 \times \frac{\text{Precision} \cdot \text{Recall}}{\text{Precision} + \text{Recall}}</w:t>
      </w:r>
      <w:r>
        <w:rPr>
          <w:rFonts w:ascii="Times New Roman" w:hAnsi="Times New Roman"/>
          <w:b/>
          <w:color w:val="475569"/>
          <w:sz w:val="22"/>
        </w:rPr>
        <w:tab/>
        <w:t>(5.2)</w:t>
      </w:r>
    </w:p>
    <w:p>
      <w:pPr>
        <w:tabs>
          <w:tab w:pos="4680" w:val="center"/>
          <w:tab w:pos="9360" w:val="right"/>
        </w:tabs>
        <w:spacing w:line="312" w:lineRule="auto" w:before="120" w:after="120"/>
      </w:pPr>
      <w:r>
        <w:rPr>
          <w:rFonts w:ascii="Cambria Math" w:hAnsi="Cambria Math"/>
          <w:i/>
          <w:color w:val="0F172A"/>
          <w:sz w:val="22"/>
        </w:rPr>
        <w:tab/>
        <w:t>Speedup = \frac{T_{CPU\_Baseline}}{T_{GPU\_Accelerated}}</w:t>
      </w:r>
      <w:r>
        <w:rPr>
          <w:rFonts w:ascii="Times New Roman" w:hAnsi="Times New Roman"/>
          <w:b/>
          <w:color w:val="475569"/>
          <w:sz w:val="22"/>
        </w:rPr>
        <w:tab/>
        <w:t>(5.3)</w:t>
      </w:r>
    </w:p>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blHeader/>
          <w:cantSplit/>
        </w:trPr>
        <w:tc>
          <w:tcPr>
            <w:tcW w:type="dxa" w:w="259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Dossier Type &amp; Length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CPU Only (Intel i7-13700H)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GPU Accelerated (RTX 4060)</w:t>
            </w:r>
          </w:p>
        </w:tc>
        <w:tc>
          <w:tcPr>
            <w:tcW w:type="dxa" w:w="1440"/>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Speedup Factor</w:t>
            </w:r>
          </w:p>
        </w:tc>
        <w:tc>
          <w:tcPr>
            <w:tcW w:type="dxa" w:w="187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Memory Footprint (RAM / VRAM)</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Faculty Roster (10 Pages, 30 Tables)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14.2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1.8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7.89x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 GB / 2.1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Infrastructure &amp; Land Deed (25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38.6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4.2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9.19x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 GB / 2.8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Financial Balance Sheets (50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82.4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8.9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9.26x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2.3 GB / 3.4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Comprehensive SAR Dossier (100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174.5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18.1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9.64x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3.1 GB / 4.6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Institutional Audit Archive (150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286.1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27.4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10.44x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Longitudinal forecasting of institutional accreditation compliance metrics utilizes the Seasonal AutoRegressive Integrated Moving Average (SARIMA) model formulation:</w:t>
      </w:r>
    </w:p>
    <w:p>
      <w:pPr>
        <w:tabs>
          <w:tab w:pos="4680" w:val="center"/>
          <w:tab w:pos="9360" w:val="right"/>
        </w:tabs>
        <w:spacing w:line="312" w:lineRule="auto" w:before="120" w:after="120"/>
      </w:pPr>
      <w:r>
        <w:rPr>
          <w:rFonts w:ascii="Cambria Math" w:hAnsi="Cambria Math"/>
          <w:i/>
          <w:color w:val="0F172A"/>
          <w:sz w:val="22"/>
        </w:rPr>
        <w:tab/>
        <w:t>\Phi_p(B) \cdot \tilde{\Phi}_P(B^s) \cdot (1 - B)^d \cdot (1 - B^s)^D \cdot Y_t = \Theta_q(B) \cdot \tilde{\Theta}_Q(B^s) \cdot \varepsilon_t</w:t>
      </w:r>
      <w:r>
        <w:rPr>
          <w:rFonts w:ascii="Times New Roman" w:hAnsi="Times New Roman"/>
          <w:b/>
          <w:color w:val="475569"/>
          <w:sz w:val="22"/>
        </w:rPr>
        <w:tab/>
        <w:t>(5.4)</w:t>
      </w:r>
    </w:p>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spacing w:line="360" w:lineRule="auto" w:before="240" w:after="240"/>
        <w:jc w:val="center"/>
      </w:pPr>
      <w:r>
        <w:rPr>
          <w:rFonts w:ascii="Times New Roman" w:hAnsi="Times New Roman"/>
          <w:b/>
          <w:i w:val="0"/>
          <w:color w:val="000000"/>
          <w:sz w:val="32"/>
        </w:rPr>
        <w:t>CHAPTER 6: CONCLUSION AND FUTURE SCOPE</w:t>
      </w:r>
    </w:p>
    <w:p>
      <w:pPr>
        <w:spacing w:line="360" w:lineRule="auto" w:before="20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spacing w:line="360" w:lineRule="auto" w:before="20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spacing w:line="360" w:lineRule="auto" w:before="20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spacing w:line="360" w:lineRule="auto" w:before="20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spacing w:line="360" w:lineRule="auto" w:before="20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spacing w:line="360" w:lineRule="auto" w:before="20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spacing w:line="360" w:lineRule="auto" w:before="240" w:after="24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spacing w:line="360" w:lineRule="auto" w:before="240" w:after="240"/>
        <w:jc w:val="center"/>
      </w:pPr>
      <w:r>
        <w:rPr>
          <w:rFonts w:ascii="Times New Roman" w:hAnsi="Times New Roman"/>
          <w:b/>
          <w:i w:val="0"/>
          <w:color w:val="000000"/>
          <w:sz w:val="32"/>
        </w:rPr>
        <w:t>APPENDIX</w:t>
      </w:r>
    </w:p>
    <w:p>
      <w:pPr>
        <w:spacing w:line="360" w:lineRule="auto" w:before="200" w:after="120"/>
        <w:jc w:val="left"/>
      </w:pPr>
      <w:r>
        <w:rPr>
          <w:rFonts w:ascii="Times New Roman" w:hAnsi="Times New Roman"/>
          <w:b/>
          <w:i w:val="0"/>
          <w:color w:val="000000"/>
          <w:sz w:val="28"/>
        </w:rPr>
        <w:t>APPENDIX A: CO-PO AND PSO MAPPING MATRIX</w:t>
      </w:r>
    </w:p>
    <w:p>
      <w:pPr>
        <w:spacing w:line="360" w:lineRule="auto" w:before="0" w:after="120"/>
        <w:jc w:val="both"/>
      </w:pPr>
      <w:r>
        <w:rPr>
          <w:rFonts w:ascii="Times New Roman" w:hAnsi="Times New Roman"/>
          <w:b w:val="0"/>
          <w:i w:val="0"/>
          <w:color w:val="000000"/>
          <w:sz w:val="24"/>
        </w:rPr>
        <w:t>In compliance with the Outcome-Based Education (OBE) philosophy mandated by the National Board of Accreditation (NBA) and the Department of Information Technology, Priyadarshini College of Engineering, Nagpur, the Course Outcomes (COs) for this final year B.Tech project dissertation are defined and mapped against Program Outcomes (PO1 to PO11) and Program Specific Outcomes (PSO1 to PSO2).</w:t>
      </w:r>
    </w:p>
    <w:p>
      <w:pPr>
        <w:spacing w:line="360" w:lineRule="auto" w:before="0" w:after="120"/>
        <w:jc w:val="both"/>
      </w:pPr>
      <w:r>
        <w:rPr>
          <w:b/>
        </w:rPr>
        <w:t xml:space="preserve">CO1: </w:t>
      </w:r>
      <w:r>
        <w:t>Identify, formulate, and review literature on regulatory accreditation bottlenecks, statutory compliance handbooks (AICTE, NBA, NAAC, NIRF), and Document AI technologies.</w:t>
      </w:r>
    </w:p>
    <w:p>
      <w:pPr>
        <w:spacing w:line="360" w:lineRule="auto" w:before="0" w:after="120"/>
        <w:jc w:val="both"/>
      </w:pPr>
      <w:r>
        <w:rPr>
          <w:b/>
        </w:rPr>
        <w:t xml:space="preserve">CO2: </w:t>
      </w:r>
      <w:r>
        <w:t>Design a decoupled, multi-tier system architecture integrating Docling deep-layout parsing and Google Gemini 2.5 Flash for multimodal document extraction.</w:t>
      </w:r>
    </w:p>
    <w:p>
      <w:pPr>
        <w:spacing w:line="360" w:lineRule="auto" w:before="0" w:after="120"/>
        <w:jc w:val="both"/>
      </w:pPr>
      <w:r>
        <w:rPr>
          <w:b/>
        </w:rPr>
        <w:t xml:space="preserve">CO3: </w:t>
      </w:r>
      <w:r>
        <w:t>Formulate and program deterministic algorithmic engines to evaluate statutory Student-Faculty Ratios, Cadre Ratios (1:2:6), spatial carpet areas, and NBA 1000-point rubrics.</w:t>
      </w:r>
    </w:p>
    <w:p>
      <w:pPr>
        <w:spacing w:line="360" w:lineRule="auto" w:before="0" w:after="120"/>
        <w:jc w:val="both"/>
      </w:pPr>
      <w:r>
        <w:rPr>
          <w:b/>
        </w:rPr>
        <w:t xml:space="preserve">CO4: </w:t>
      </w:r>
      <w:r>
        <w:t>Apply modern machine learning and time-series techniques (SARIMA, multivariate polynomial regression) to model longitudinal institutional performance and forecast compliance drift.</w:t>
      </w:r>
    </w:p>
    <w:p>
      <w:pPr>
        <w:spacing w:line="360" w:lineRule="auto" w:before="0" w:after="120"/>
        <w:jc w:val="both"/>
      </w:pPr>
      <w:r>
        <w:rPr>
          <w:b/>
        </w:rPr>
        <w:t xml:space="preserve">CO5: </w:t>
      </w:r>
      <w:r>
        <w:t>Implement an industrial-grade web platform with Next.js 14 and FastAPI utilizing dedicated non-conflicting port isolation and single-tunnel reverse proxy routing.</w:t>
      </w:r>
    </w:p>
    <w:p>
      <w:pPr>
        <w:spacing w:line="360" w:lineRule="auto" w:before="0" w:after="120"/>
        <w:jc w:val="both"/>
      </w:pPr>
      <w:r>
        <w:rPr>
          <w:b/>
        </w:rPr>
        <w:t xml:space="preserve">CO6: </w:t>
      </w:r>
      <w:r>
        <w:t>Communicate technical findings effectively through comprehensive thesis documentation, professional presentations, and ethical engineering practices.</w:t>
      </w:r>
    </w:p>
    <w:p>
      <w:pPr>
        <w:spacing w:line="360" w:lineRule="auto" w:before="0" w:after="80"/>
        <w:jc w:val="both"/>
      </w:pPr>
      <w:r>
        <w:rPr>
          <w:rFonts w:ascii="Times New Roman" w:hAnsi="Times New Roman"/>
          <w:b/>
          <w:i/>
          <w:color w:val="000000"/>
          <w:sz w:val="22"/>
        </w:rPr>
        <w:t>Table A.1: Course Outcome to Program Outcome (CO-PO) Project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804"/>
        <w:gridCol w:w="804"/>
        <w:gridCol w:w="804"/>
        <w:gridCol w:w="804"/>
        <w:gridCol w:w="804"/>
        <w:gridCol w:w="804"/>
        <w:gridCol w:w="804"/>
        <w:gridCol w:w="804"/>
        <w:gridCol w:w="804"/>
        <w:gridCol w:w="804"/>
        <w:gridCol w:w="804"/>
        <w:gridCol w:w="804"/>
      </w:tblGrid>
      <w:tr>
        <w:trPr>
          <w:tblHeader/>
          <w:cantSplit/>
        </w:trPr>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PO2</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PO3</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PO4</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PO5</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PO6</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PO7</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PO8</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PO9</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PO10</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PO11</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Mean</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2.67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2.00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3.00</w:t>
            </w:r>
          </w:p>
        </w:tc>
      </w:tr>
    </w:tbl>
    <w:p>
      <w:pPr>
        <w:spacing w:line="360" w:lineRule="auto" w:before="160" w:after="80"/>
        <w:jc w:val="both"/>
      </w:pPr>
      <w:r>
        <w:rPr>
          <w:rFonts w:ascii="Times New Roman" w:hAnsi="Times New Roman"/>
          <w:b/>
          <w:i/>
          <w:color w:val="000000"/>
          <w:sz w:val="22"/>
        </w:rPr>
        <w:t>Table A.2: Course Outcome to Program Specific Outcome (PSO)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Course Outcome (CO)</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PSO1 (Mathematical Foundations &amp; Software Design)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PSO2 (Open Source Software &amp; Utility Integration)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(Mathematical formulation of accreditation norms)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(Analysis of open-source OCR and Python libraries)</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(Algorithm design of decoupled cognitive architecture)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FastAPI, Docling, and Next.js)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(Deterministic formulation of 1:2:6 cadre and SFR)</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(Implementation using Python Pydantic and SQLAlchemy)</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(Time-series SARIMA and polynomial regression)</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Pandas, Scikit-learn, and Statsmodels)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 (Client-server state synchronization models)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(Deployment using Ngrok, Tailwind CSS, and Uvicorn)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(Formal engineering documentation &amp; reporting)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(Open-source Git version control and collaboration)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Overall Attainment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2.67 / 3.00 (High Correlation)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2.83 / 3.00 (Substantial Correlation)</w:t>
            </w:r>
          </w:p>
        </w:tc>
      </w:tr>
    </w:tbl>
    <w:p>
      <w:r>
        <w:br w:type="page"/>
      </w:r>
    </w:p>
    <w:p>
      <w:pPr>
        <w:spacing w:line="360" w:lineRule="auto" w:before="200" w:after="120"/>
        <w:jc w:val="left"/>
      </w:pPr>
      <w:r>
        <w:rPr>
          <w:rFonts w:ascii="Times New Roman" w:hAnsi="Times New Roman"/>
          <w:b/>
          <w:i w:val="0"/>
          <w:color w:val="000000"/>
          <w:sz w:val="28"/>
        </w:rPr>
        <w:t>APPENDIX B: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4824"/>
        <w:gridCol w:w="4824"/>
      </w:tblGrid>
      <w:tr>
        <w:trPr>
          <w:tblHeader/>
          <w:cantSplit/>
        </w:trPr>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Project Guide</w:t>
              <w:br/>
              <w:t>Department of Information Technology</w:t>
              <w:br/>
              <w:t>PCE, Nagpur</w:t>
            </w:r>
          </w:p>
        </w:tc>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Institutional Plagiarism Coordinator / IQAC</w:t>
              <w:br/>
              <w:t>Priyadarshini College of Engineering</w:t>
              <w:br/>
              <w:t>Nagpur</w:t>
            </w:r>
          </w:p>
        </w:tc>
      </w:tr>
    </w:tbl>
    <w:p>
      <w:r>
        <w:br w:type="page"/>
      </w:r>
    </w:p>
    <w:p>
      <w:pPr>
        <w:spacing w:line="360" w:lineRule="auto" w:before="200" w:after="120"/>
        <w:jc w:val="left"/>
      </w:pPr>
      <w:r>
        <w:rPr>
          <w:rFonts w:ascii="Times New Roman" w:hAnsi="Times New Roman"/>
          <w:b/>
          <w:i w:val="0"/>
          <w:color w:val="000000"/>
          <w:sz w:val="28"/>
        </w:rPr>
        <w:t>APPENDIX C: CERTIFICATES OF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B.Tech Information Technology Student Team, Project Guide, Dr. P. S. Prasad</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spacing w:line="360" w:lineRule="auto" w:before="200" w:after="120"/>
        <w:jc w:val="left"/>
      </w:pPr>
      <w:r>
        <w:rPr>
          <w:rFonts w:ascii="Times New Roman" w:hAnsi="Times New Roman"/>
          <w:b/>
          <w:i w:val="0"/>
          <w:color w:val="000000"/>
          <w:sz w:val="28"/>
        </w:rPr>
        <w:t>APPENDIX D: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Candidate 1 (Roll No: 2026-IT-01, B.Tech IT Final Year)</w:t>
        <w:br/>
        <w:t>2. Candidate 2 (Roll No: 2026-IT-02, B.Tech IT Final Year)</w:t>
        <w:br/>
        <w:t>3. Candidate 3 (Roll No: 2026-IT-03, B.Tech IT Final Year)</w:t>
        <w:br/>
        <w:t>4. Candidate 4 (Roll No: 2026-IT-04, B.Tech IT Final Year)</w:t>
        <w:br/>
        <w:t>5. Candidate 5 (Roll No: 2026-IT-05, B.Tech IT Final Year)</w:t>
        <w:br/>
        <w:br/>
        <w:t>Project Guide: Assistant Professor, Department of Information Technology, PCE, Nagpur</w:t>
        <w:br/>
        <w:t>Head of Department: Dr. P. S. Prasad, Department of Information Technology, PCE, Nagpur</w:t>
        <w:br/>
        <w:t>Principal: Dr. S. A. Dhale, Priyadarshini College of Engineering, Nagpur</w:t>
      </w:r>
    </w:p>
    <w:p>
      <w:r>
        <w:br w:type="page"/>
      </w:r>
    </w:p>
    <w:p>
      <w:pPr>
        <w:spacing w:line="360" w:lineRule="auto" w:before="20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spacing w:line="360" w:lineRule="auto" w:before="200" w:after="120"/>
        <w:jc w:val="left"/>
      </w:pPr>
      <w:r>
        <w:rPr>
          <w:rFonts w:ascii="Times New Roman" w:hAnsi="Times New Roman"/>
          <w:b/>
          <w:i w:val="0"/>
          <w:color w:val="000000"/>
          <w:sz w:val="28"/>
        </w:rPr>
        <w:t>APPENDIX F: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F.1 presents the production Python code implementing the AICTE Approval Process Handbook (APH) Faculty Cadre Ratio and Student-Faculty Ratio evaluation engine (`backend/services/aicte_rules.py`):</w:t>
      </w:r>
    </w:p>
    <w:p>
      <w:pPr>
        <w:spacing w:line="276" w:lineRule="auto" w:before="80" w:after="120"/>
        <w:jc w:val="both"/>
      </w:pPr>
      <w:r>
        <w:t># Smart Approval AI - AICTE APH Regulatory Evaluation Engine</w:t>
        <w:br/>
        <w:t># File: backend/services/aicte_rules.py</w:t>
        <w:br/>
        <w:br/>
        <w:t>from typing import Dict, Any, List</w:t>
        <w:br/>
        <w:br/>
        <w:t>class AICTERuleEngine:</w:t>
        <w:br/>
        <w:t xml:space="preserve">    def __init__(self, sanctioned_intake: int = 720, course_years: int = 4):</w:t>
        <w:br/>
        <w:t xml:space="preserve">        self.total_students = sanctioned_intake</w:t>
        <w:br/>
        <w:t xml:space="preserve">        self.mandated_sfr = 20.0  # AICTE Degree Engineering Norm 1:20</w:t>
        <w:br/>
        <w:br/>
        <w:t xml:space="preserve">    def evaluate_cadre_and_sfr(self, faculty_list: List[Dict[str, Any]]) -&gt; Dict[str, Any]:</w:t>
        <w:br/>
        <w:t xml:space="preserve">        total_faculty = len(faculty_list)</w:t>
        <w:br/>
        <w:t xml:space="preserve">        profs = sum(1 for f in faculty_list if f.get('designation') == 'Professor')</w:t>
        <w:br/>
        <w:t xml:space="preserve">        assoc_profs = sum(1 for f in faculty_list if f.get('designation') == 'Associate Professor')</w:t>
        <w:br/>
        <w:t xml:space="preserve">        asst_profs = sum(1 for f in faculty_list if f.get('designation') == 'Assistant Professor')</w:t>
        <w:br/>
        <w:br/>
        <w:t xml:space="preserve">        # AICTE 1:20 SFR Requirement</w:t>
        <w:br/>
        <w:t xml:space="preserve">        req_faculty = self.total_students / self.mandated_sfr</w:t>
        <w:br/>
        <w:t xml:space="preserve">        actual_sfr = round(self.total_students / total_faculty, 2) if total_faculty &gt; 0 else 999.0</w:t>
        <w:br/>
        <w:t xml:space="preserve">        sfr_status = 'PASS' if actual_sfr &lt;= self.mandated_sfr else 'DEFICIENT'</w:t>
        <w:br/>
        <w:br/>
        <w:t xml:space="preserve">        # AICTE 1:2:6 Cadre Distribution</w:t>
        <w:br/>
        <w:t xml:space="preserve">        req_profs = round(req_faculty / 9.0, 1)</w:t>
        <w:br/>
        <w:t xml:space="preserve">        req_assoc = round((2.0 * req_faculty) / 9.0, 1)</w:t>
        <w:br/>
        <w:t xml:space="preserve">        req_asst = round((6.0 * req_faculty) / 9.0, 1)</w:t>
        <w:br/>
        <w:br/>
        <w:t xml:space="preserve">        deficiencies = []</w:t>
        <w:br/>
        <w:t xml:space="preserve">        if profs &lt; req_profs:</w:t>
        <w:br/>
        <w:t xml:space="preserve">            deficiencies.append(f'Deficit of {round(req_profs - profs, 1)} Professors')</w:t>
        <w:br/>
        <w:t xml:space="preserve">        if assoc_profs &lt; req_assoc:</w:t>
        <w:br/>
        <w:t xml:space="preserve">            deficiencies.append(f'Deficit of {round(req_assoc - assoc_profs, 1)} Associate Professors')</w:t>
        <w:br/>
        <w:t xml:space="preserve">        if actual_sfr &gt; self.mandated_sfr:</w:t>
        <w:br/>
        <w:t xml:space="preserve">            deficiencies.append(f'SFR {actual_sfr} exceeds maximum permissible norm of 1:20')</w:t>
        <w:br/>
        <w:br/>
        <w:t xml:space="preserve">        verdict = 'COMPLIANT' if len(deficiencies) == 0 else 'DEFICIENT'</w:t>
        <w:br/>
        <w:t xml:space="preserve">        return {</w:t>
        <w:br/>
        <w:t xml:space="preserve">            'total_students': self.total_students,</w:t>
        <w:br/>
        <w:t xml:space="preserve">            'total_faculty': total_faculty,</w:t>
        <w:br/>
        <w:t xml:space="preserve">            'required_faculty': req_faculty,</w:t>
        <w:br/>
        <w:t xml:space="preserve">            'actual_sfr': actual_sfr,</w:t>
        <w:br/>
        <w:t xml:space="preserve">            'sfr_verdict': sfr_status,</w:t>
        <w:br/>
        <w:t xml:space="preserve">            'professors': {'actual': profs, 'required': req_profs},</w:t>
        <w:br/>
        <w:t xml:space="preserve">            'associate_professors': {'actual': assoc_profs, 'required': req_assoc},</w:t>
        <w:br/>
        <w:t xml:space="preserve">            'assistant_professors': {'actual': asst_profs, 'required': req_asst},</w:t>
        <w:br/>
        <w:t xml:space="preserve">            'deficiencies': deficiencies,</w:t>
        <w:br/>
        <w:t xml:space="preserve">            'overall_verdict': verdict</w:t>
        <w:br/>
        <w:t xml:space="preserve">        }</w:t>
      </w:r>
    </w:p>
    <w:p>
      <w:pPr>
        <w:spacing w:line="360" w:lineRule="auto" w:before="0" w:after="240"/>
        <w:jc w:val="center"/>
      </w:pPr>
      <w:r>
        <w:rPr>
          <w:rFonts w:ascii="Times New Roman" w:hAnsi="Times New Roman"/>
          <w:b w:val="0"/>
          <w:i/>
          <w:color w:val="000000"/>
          <w:sz w:val="20"/>
        </w:rPr>
        <w:t>Listing F.1: Core Implementation of AICTE Cadre &amp; SFR Evaluator Engine</w:t>
      </w:r>
    </w:p>
    <w:p>
      <w:pPr>
        <w:spacing w:line="360" w:lineRule="auto" w:before="200" w:after="120"/>
        <w:jc w:val="left"/>
      </w:pPr>
      <w:r>
        <w:rPr>
          <w:rFonts w:ascii="Times New Roman" w:hAnsi="Times New Roman"/>
          <w:b/>
          <w:i w:val="0"/>
          <w:color w:val="000000"/>
          <w:sz w:val="28"/>
        </w:rPr>
        <w:t>APPENDIX C: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spacing w:line="360" w:lineRule="auto" w:before="160" w:after="80"/>
        <w:jc w:val="left"/>
      </w:pPr>
      <w:r>
        <w:rPr>
          <w:rFonts w:ascii="Times New Roman" w:hAnsi="Times New Roman"/>
          <w:b/>
          <w:i w:val="0"/>
          <w:color w:val="000000"/>
          <w:sz w:val="24"/>
        </w:rPr>
        <w:t>Figure C.1: Multi-Tier Distributed System Architecture and Microservice Integration</w:t>
      </w:r>
    </w:p>
    <w:p>
      <w:pPr>
        <w:spacing w:before="20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spacing w:line="360" w:lineRule="auto" w:before="160" w:after="80"/>
        <w:jc w:val="left"/>
      </w:pPr>
      <w:r>
        <w:rPr>
          <w:rFonts w:ascii="Times New Roman" w:hAnsi="Times New Roman"/>
          <w:b/>
          <w:i w:val="0"/>
          <w:color w:val="000000"/>
          <w:sz w:val="24"/>
        </w:rPr>
        <w:t>Figure C.2: Data Flow Context Diagram (DFD Level 0)</w:t>
      </w:r>
    </w:p>
    <w:p>
      <w:pPr>
        <w:spacing w:before="200" w:after="80"/>
        <w:jc w:val="center"/>
      </w:pPr>
      <w:r>
        <w:drawing>
          <wp:inline xmlns:a="http://schemas.openxmlformats.org/drawingml/2006/main" xmlns:pic="http://schemas.openxmlformats.org/drawingml/2006/picture">
            <wp:extent cx="5303520" cy="3182112"/>
            <wp:docPr id="14" name="Picture 14"/>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i/>
          <w:color w:val="1E293B"/>
          <w:sz w:val="20"/>
        </w:rPr>
        <w:t>Contextual data flow diagram illustrating external entities (Institutional Auditor, Regulatory Authority, Administrator), boundary data interactions, document ingestion streams, and analytical reporting outputs.</w:t>
      </w:r>
    </w:p>
    <w:p>
      <w:r>
        <w:br w:type="page"/>
      </w:r>
    </w:p>
    <w:p>
      <w:pPr>
        <w:spacing w:line="360" w:lineRule="auto" w:before="160" w:after="80"/>
        <w:jc w:val="left"/>
      </w:pPr>
      <w:r>
        <w:rPr>
          <w:rFonts w:ascii="Times New Roman" w:hAnsi="Times New Roman"/>
          <w:b/>
          <w:i w:val="0"/>
          <w:color w:val="000000"/>
          <w:sz w:val="24"/>
        </w:rPr>
        <w:t>Figure C.3: Relational Database Schema &amp; Entity Relationship Diagram (ERD)</w:t>
      </w:r>
    </w:p>
    <w:p>
      <w:pPr>
        <w:spacing w:before="200" w:after="80"/>
        <w:jc w:val="center"/>
      </w:pPr>
      <w:r>
        <w:drawing>
          <wp:inline xmlns:a="http://schemas.openxmlformats.org/drawingml/2006/main" xmlns:pic="http://schemas.openxmlformats.org/drawingml/2006/picture">
            <wp:extent cx="5303520" cy="3616036"/>
            <wp:docPr id="15" name="Picture 1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303520" cy="3616036"/>
                    </a:xfrm>
                    <a:prstGeom prst="rect"/>
                  </pic:spPr>
                </pic:pic>
              </a:graphicData>
            </a:graphic>
          </wp:inline>
        </w:drawing>
      </w:r>
    </w:p>
    <w:p>
      <w:pPr>
        <w:spacing w:before="40" w:after="240"/>
        <w:jc w:val="center"/>
      </w:pPr>
      <w:r>
        <w:rPr>
          <w:rFonts w:ascii="Times New Roman" w:hAnsi="Times New Roman"/>
          <w:i/>
          <w:color w:val="1E293B"/>
          <w:sz w:val="20"/>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spacing w:line="360" w:lineRule="auto" w:before="160" w:after="80"/>
        <w:jc w:val="left"/>
      </w:pPr>
      <w:r>
        <w:rPr>
          <w:rFonts w:ascii="Times New Roman" w:hAnsi="Times New Roman"/>
          <w:b/>
          <w:i w:val="0"/>
          <w:color w:val="000000"/>
          <w:sz w:val="24"/>
        </w:rPr>
        <w:t>Figure C.4: Smart Approval AI Executive Command Dashboard</w:t>
      </w:r>
    </w:p>
    <w:p>
      <w:pPr>
        <w:spacing w:before="200" w:after="8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Live production interface of the executive dashboard, displaying real-time compliance meters, overall institutional health index (91.4%), deficiency alerts, recent audit dossiers, and quick-action regulatory navigation widgets.</w:t>
      </w:r>
    </w:p>
    <w:p>
      <w:r>
        <w:br w:type="page"/>
      </w:r>
    </w:p>
    <w:p>
      <w:pPr>
        <w:spacing w:line="360" w:lineRule="auto" w:before="160" w:after="80"/>
        <w:jc w:val="left"/>
      </w:pPr>
      <w:r>
        <w:rPr>
          <w:rFonts w:ascii="Times New Roman" w:hAnsi="Times New Roman"/>
          <w:b/>
          <w:i w:val="0"/>
          <w:color w:val="000000"/>
          <w:sz w:val="24"/>
        </w:rPr>
        <w:t>Figure C.5: AICTE Approval Handbook &amp; Statutory Deficiency Auditor Interface</w:t>
      </w:r>
    </w:p>
    <w:p>
      <w:pPr>
        <w:spacing w:before="200" w:after="8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Production screenshot of the AICTE compliance module, showing real-time computation of Student-Faculty Ratio (1:14.2), Faculty Cadre Ratio (1:2:5.8), instructional land area compliance, and prioritized deficiency remediation recommendations.</w:t>
      </w:r>
    </w:p>
    <w:p>
      <w:r>
        <w:br w:type="page"/>
      </w:r>
    </w:p>
    <w:p>
      <w:pPr>
        <w:spacing w:line="360" w:lineRule="auto" w:before="160" w:after="80"/>
        <w:jc w:val="left"/>
      </w:pPr>
      <w:r>
        <w:rPr>
          <w:rFonts w:ascii="Times New Roman" w:hAnsi="Times New Roman"/>
          <w:b/>
          <w:i w:val="0"/>
          <w:color w:val="000000"/>
          <w:sz w:val="24"/>
        </w:rPr>
        <w:t>Figure C.6: NBA Tier-I Self-Assessment Report (SAR) 1000-Point Scorecard Evaluator</w:t>
      </w:r>
    </w:p>
    <w:p>
      <w:pPr>
        <w:spacing w:before="200" w:after="8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Interactive NBA evaluation portal displaying granular marks scored across Criteria 1 through 10, total score (782 / 1000), Washington Accord OBE attainment radars, and 6-year vs 3-year accreditation eligibility status.</w:t>
      </w:r>
    </w:p>
    <w:p>
      <w:r>
        <w:br w:type="page"/>
      </w:r>
    </w:p>
    <w:p>
      <w:pPr>
        <w:spacing w:line="360" w:lineRule="auto" w:before="160" w:after="80"/>
        <w:jc w:val="left"/>
      </w:pPr>
      <w:r>
        <w:rPr>
          <w:rFonts w:ascii="Times New Roman" w:hAnsi="Times New Roman"/>
          <w:b/>
          <w:i w:val="0"/>
          <w:color w:val="000000"/>
          <w:sz w:val="24"/>
        </w:rPr>
        <w:t>Figure C.7: Longitudinal Multi-Year Compliance Analytics &amp; SARIMA Forecasting Interface</w:t>
      </w:r>
    </w:p>
    <w:p>
      <w:pPr>
        <w:spacing w:before="20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Advanced analytics dashboard displaying historical triennial trends, interactive regression curves, and 3-year predictive forecasts for faculty retention, student enrolment, research publications, and budgetary utilization.</w:t>
      </w:r>
    </w:p>
    <w:p>
      <w:r>
        <w:br w:type="page"/>
      </w:r>
    </w:p>
    <w:p>
      <w:pPr>
        <w:spacing w:line="360" w:lineRule="auto" w:before="160" w:after="80"/>
        <w:jc w:val="left"/>
      </w:pPr>
      <w:r>
        <w:rPr>
          <w:rFonts w:ascii="Times New Roman" w:hAnsi="Times New Roman"/>
          <w:b/>
          <w:i w:val="0"/>
          <w:color w:val="000000"/>
          <w:sz w:val="24"/>
        </w:rPr>
        <w:t>Figure C.8: Multi-Modal Document Ingestion Portal &amp; Docling Visual Segmenter</w:t>
      </w:r>
    </w:p>
    <w:p>
      <w:pPr>
        <w:spacing w:before="200" w:after="8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User ingestion portal illustrating drag-and-drop dossier uploading, real-time PDF visual segmentation, bounding-box layout recognition, and structured JSON token extraction progress meters.</w:t>
      </w:r>
    </w:p>
    <w:p>
      <w:r>
        <w:br w:type="page"/>
      </w:r>
    </w:p>
    <w:p>
      <w:pPr>
        <w:spacing w:line="360" w:lineRule="auto" w:before="160" w:after="80"/>
        <w:jc w:val="left"/>
      </w:pPr>
      <w:r>
        <w:rPr>
          <w:rFonts w:ascii="Times New Roman" w:hAnsi="Times New Roman"/>
          <w:b/>
          <w:i w:val="0"/>
          <w:color w:val="000000"/>
          <w:sz w:val="24"/>
        </w:rPr>
        <w:t>Figure C.9: Triennial Cross-Year Comparative Compliance Matrix</w:t>
      </w:r>
    </w:p>
    <w:p>
      <w:pPr>
        <w:spacing w:before="200" w:after="8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Comparative analytics interface showing longitudinal delta metrics between Academic Years 2024-25, 2025-26, and 2026-27, highlighting cadre promotions, new laboratory installations, and patent grants.</w:t>
      </w:r>
    </w:p>
    <w:p>
      <w:r>
        <w:br w:type="page"/>
      </w:r>
    </w:p>
    <w:p>
      <w:pPr>
        <w:spacing w:line="360" w:lineRule="auto" w:before="160" w:after="80"/>
        <w:jc w:val="left"/>
      </w:pPr>
      <w:r>
        <w:rPr>
          <w:rFonts w:ascii="Times New Roman" w:hAnsi="Times New Roman"/>
          <w:b/>
          <w:i w:val="0"/>
          <w:color w:val="000000"/>
          <w:sz w:val="24"/>
        </w:rPr>
        <w:t>Figure C.10: Automated Regulatory Accreditation Dossier Reporting Center</w:t>
      </w:r>
    </w:p>
    <w:p>
      <w:pPr>
        <w:spacing w:before="20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i/>
          <w:color w:val="1E293B"/>
          <w:sz w:val="20"/>
        </w:rPr>
        <w:t>One-click reporting center generating AICTE APH compliance summaries, NBA SAR executive dossiers, and NAAC SSR exhibits formatted for direct submission to statutory regulatory councils.</w:t>
      </w:r>
    </w:p>
    <w:p>
      <w:r>
        <w:br w:type="page"/>
      </w:r>
    </w:p>
    <w:p>
      <w:pPr>
        <w:spacing w:line="360" w:lineRule="auto" w:before="160" w:after="80"/>
        <w:jc w:val="left"/>
      </w:pPr>
      <w:r>
        <w:rPr>
          <w:rFonts w:ascii="Times New Roman" w:hAnsi="Times New Roman"/>
          <w:b/>
          <w:i w:val="0"/>
          <w:color w:val="000000"/>
          <w:sz w:val="24"/>
        </w:rPr>
        <w:t>Figure C.11: Empirical Benchmarking Charts: Latency, Throughput and Extraction Fidelity</w:t>
      </w:r>
    </w:p>
    <w:p>
      <w:pPr>
        <w:spacing w:before="200" w:after="80"/>
        <w:jc w:val="center"/>
      </w:pPr>
      <w:r>
        <w:drawing>
          <wp:inline xmlns:a="http://schemas.openxmlformats.org/drawingml/2006/main" xmlns:pic="http://schemas.openxmlformats.org/drawingml/2006/picture">
            <wp:extent cx="5303520" cy="2916936"/>
            <wp:docPr id="23" name="Picture 23"/>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i/>
          <w:color w:val="1E293B"/>
          <w:sz w:val="20"/>
        </w:rPr>
        <w:t>Comparative performance charts illustrating CPU vs GPU processing speeds, token parsing throughput, and Precision / Recall curves across various document categories.</w:t>
      </w:r>
    </w:p>
    <w:p>
      <w:r>
        <w:br w:type="page"/>
      </w:r>
    </w:p>
    <w:p>
      <w:pPr>
        <w:spacing w:line="360" w:lineRule="auto" w:before="200" w:after="120"/>
        <w:jc w:val="left"/>
      </w:pPr>
      <w:r>
        <w:rPr>
          <w:rFonts w:ascii="Times New Roman" w:hAnsi="Times New Roman"/>
          <w:b/>
          <w:i w:val="0"/>
          <w:color w:val="000000"/>
          <w:sz w:val="28"/>
        </w:rPr>
        <w:t>APPENDIX D: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spacing w:line="360" w:lineRule="auto" w:before="16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spacing w:line="360" w:lineRule="auto" w:before="16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spacing w:line="360" w:lineRule="auto" w:before="16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spacing w:line="360" w:lineRule="auto" w:before="16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spacing w:line="360" w:lineRule="auto" w:before="200" w:after="120"/>
        <w:jc w:val="left"/>
      </w:pPr>
      <w:r>
        <w:rPr>
          <w:rFonts w:ascii="Times New Roman" w:hAnsi="Times New Roman"/>
          <w:b/>
          <w:i w:val="0"/>
          <w:color w:val="000000"/>
          <w:sz w:val="28"/>
        </w:rPr>
        <w:t>APPENDIX E: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Code &amp; Category</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Statutory Rule (APH 2026)</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Threshold</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Regulatory Penalty &amp; Recommended Action</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DEF-SFR-01: Faculty Shortfall</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7.1: SFR &lt;= 1:15 (Tier-I), &lt;= 1:20 (Standard)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Calculated SFR exceeds 1:20.0 across 3 years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25% to 50% reduction in sanctioned intake.</w:t>
              <w:br/>
              <w:t>Action: Recruit required assistant professors before cutoff date.</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DEF-CADRE-02: Cadre Imbalance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7.2: Cadre Ratio = 1 : 2 : 6 (Prof:Assoc:Asst)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Zero regular professors or shortfall &gt; 50%</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Show cause notice; denial of new courses.</w:t>
              <w:br/>
              <w:t>Action: Advertise and recruit eligible full-time professors.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DEF-LAND-03: Instructional Built-up Area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6.3: Minimum built-up area per student (4.0 sqm)</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Shortfall &gt; 15% in instructional space</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Denial of intake increase or new divisions.</w:t>
              <w:br/>
              <w:t>Action: Reallocate administrative space or construct additional block.</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DEF-LAB-04: Laboratory Readiness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6.8: Dedicated laboratories with working setups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Missing curriculum equipment or dead setups</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Suspension of approval for affected engineering branch.</w:t>
              <w:br/>
              <w:t>Action: Expedite procurement and commissioning of lab setups.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DEF-BARRIER-05: Barrier-Free Accessibility</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6.14: Ramps, lifts, disabled-friendly restrooms</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Absence of operational lifts or tactile pathways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Statutory compliance notice; fine.</w:t>
              <w:br/>
              <w:t>Action: Retrofit campus buildings with compliant ramps and elevators.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DEF-NOC-06: Statutory Safety Certificates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5.4: Fire Safety N.O.C. and Building Safety Certificate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Expired Fire N.O.C. or non-compliant structural audit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Immediate suspension of admissions.</w:t>
              <w:br/>
              <w:t>Action: Renew municipal fire clearance and structural safety certifications.</w:t>
            </w:r>
          </w:p>
        </w:tc>
      </w:tr>
    </w:tbl>
    <w:p>
      <w:pPr>
        <w:spacing w:line="360" w:lineRule="auto" w:before="0" w:after="120"/>
        <w:jc w:val="both"/>
      </w:pPr>
    </w:p>
    <w:sectPr w:rsidR="00FC693F" w:rsidRPr="0006063C" w:rsidSect="00034616">
      <w:headerReference w:type="default" r:id="rId9"/>
      <w:pgSz w:w="12240" w:h="15840"/>
      <w:pgMar w:top="1152" w:right="1152" w:bottom="1152" w:left="1440" w:header="720" w:footer="720" w:gutter="0"/>
      <w:cols w:space="720"/>
      <w:docGrid w:linePitch="360"/>
      <w:pgBorders w:offsetFrom="page">
        <w:top w:val="single" w:color="000000" w:sz="18" w:space="24"/>
        <w:left w:val="single" w:color="000000" w:sz="18" w:space="24"/>
        <w:bottom w:val="single" w:color="000000" w:sz="18" w:space="24"/>
        <w:right w:val="single" w:color="000000" w:sz="18" w:space="24"/>
      </w:pgBorders>
      <w:pgBorders w:offsetFrom="page">
        <w:top w:val="single" w:color="000000" w:sz="18" w:space="24"/>
        <w:left w:val="single" w:color="000000" w:sz="18" w:space="24"/>
        <w:bottom w:val="single" w:color="000000" w:sz="18" w:space="24"/>
        <w:right w:val="single" w:color="000000" w:sz="1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