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72"/>
        </w:rPr>
        <w:t>SHADOWLEDGER</w:t>
      </w:r>
    </w:p>
    <w:p>
      <w:pPr>
        <w:jc w:val="center"/>
      </w:pPr>
      <w:r>
        <w:rPr>
          <w:b/>
          <w:color w:val="2563EB"/>
          <w:sz w:val="36"/>
        </w:rPr>
        <w:t>Value-Flow Reconstruction Engine</w:t>
      </w:r>
    </w:p>
    <w:p>
      <w:pPr>
        <w:jc w:val="center"/>
      </w:pPr>
      <w:r>
        <w:rPr>
          <w:color w:val="475569"/>
          <w:sz w:val="24"/>
        </w:rPr>
        <w:t>Razorpay AI Buildathon — Track 04: AI Finance Controller</w:t>
      </w:r>
    </w:p>
    <w:p/>
    <w:tbl>
      <w:tblPr>
        <w:tblStyle w:val="TableGrid"/>
        <w:tblW w:type="auto" w:w="0"/>
        <w:jc w:val="center"/>
        <w:tblLook w:firstColumn="1" w:firstRow="1" w:lastColumn="0" w:lastRow="0" w:noHBand="0" w:noVBand="1" w:val="04A0"/>
      </w:tblPr>
      <w:tblGrid>
        <w:gridCol w:w="10166"/>
      </w:tblGrid>
      <w:tr>
        <w:tc>
          <w:tcPr>
            <w:tcW w:type="dxa" w:w="10166"/>
            <w:shd w:fill="FFF7ED"/>
          </w:tcPr>
          <w:p>
            <w:r/>
            <w:r>
              <w:rPr>
                <w:b/>
                <w:color w:val="0F172A"/>
                <w:sz w:val="22"/>
              </w:rPr>
              <w:t>THE ONE-LINE THESIS</w:t>
              <w:br/>
            </w:r>
            <w:r>
              <w:rPr>
                <w:rFonts w:ascii="Aptos" w:hAnsi="Aptos"/>
                <w:sz w:val="20"/>
              </w:rPr>
              <w:t>Traditional reconciliation asks: “Which records match?” ShadowLedger asks: “What economic events must have happened for all of the observed records to make sense together?”</w:t>
            </w:r>
          </w:p>
        </w:tc>
      </w:tr>
    </w:tbl>
    <w:p/>
    <w:p>
      <w:pPr>
        <w:jc w:val="center"/>
      </w:pPr>
      <w:r>
        <w:rPr>
          <w:color w:val="475569"/>
          <w:sz w:val="20"/>
        </w:rPr>
        <w:t>Build horizon: 56 focused hours  |  Demo target: 5 minutes  |  Data: synthetic, multi-source, deliberately messy</w:t>
      </w:r>
    </w:p>
    <w:p>
      <w:r>
        <w:br w:type="page"/>
      </w:r>
    </w:p>
    <w:p>
      <w:pPr>
        <w:pStyle w:val="Heading1"/>
      </w:pPr>
      <w:r>
        <w:t>1. Executive Summary</w:t>
      </w:r>
    </w:p>
    <w:p>
      <w:r>
        <w:t>We are locking Track 04 — AI Finance Controller. The product is ShadowLedger, an uncertainty-aware value-flow reconstruction engine. It is not a generic AI reconciliation chatbot and not another dashboard. Its core capability is to model a merchant’s financial reality as a graph of value movements across money, inventory, credit and time, then identify cases where the official ledger cannot explain what the broader data implies.</w:t>
      </w:r>
    </w:p>
    <w:p>
      <w:r>
        <w:t>The build will deliberately target the “messy tail” of finance operations. Clean records are handled deterministically. Difficult records are converted into a set of candidate hidden economic events, evaluated against cross-source and accounting-style constraints, and either resolved with evidence, sent for human review, or left unresolved. The system maintains an Official Ledger and a Shadow Ledger: the first captures what systems explicitly recorded; the second captures high-confidence inferred economic events with uncertainty.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F172A"/>
          </w:tcPr>
          <w:p>
            <w:r>
              <w:rPr>
                <w:color w:val="FFFFFF"/>
              </w:rPr>
            </w:r>
            <w:r>
              <w:rPr>
                <w:rFonts w:ascii="Aptos" w:hAnsi="Aptos"/>
                <w:b/>
                <w:color w:val="FFFFFF"/>
                <w:sz w:val="18"/>
              </w:rPr>
              <w:t>Dimension</w:t>
            </w:r>
          </w:p>
        </w:tc>
        <w:tc>
          <w:tcPr>
            <w:tcW w:type="dxa" w:w="6912"/>
            <w:vAlign w:val="center"/>
            <w:shd w:fill="0F172A"/>
          </w:tcPr>
          <w:p>
            <w:r>
              <w:rPr>
                <w:color w:val="FFFFFF"/>
              </w:rPr>
            </w:r>
            <w:r>
              <w:rPr>
                <w:rFonts w:ascii="Aptos" w:hAnsi="Aptos"/>
                <w:b/>
                <w:color w:val="FFFFFF"/>
                <w:sz w:val="18"/>
              </w:rPr>
              <w:t>Locked decision</w:t>
            </w:r>
          </w:p>
        </w:tc>
      </w:tr>
      <w:tr>
        <w:tc>
          <w:tcPr>
            <w:tcW w:type="dxa" w:w="2880"/>
            <w:vAlign w:val="center"/>
          </w:tcPr>
          <w:p>
            <w:r/>
            <w:r>
              <w:rPr>
                <w:rFonts w:ascii="Aptos" w:hAnsi="Aptos"/>
                <w:b w:val="0"/>
                <w:sz w:val="18"/>
              </w:rPr>
              <w:t>Track</w:t>
            </w:r>
          </w:p>
        </w:tc>
        <w:tc>
          <w:tcPr>
            <w:tcW w:type="dxa" w:w="6912"/>
            <w:vAlign w:val="center"/>
          </w:tcPr>
          <w:p>
            <w:r/>
            <w:r>
              <w:rPr>
                <w:rFonts w:ascii="Aptos" w:hAnsi="Aptos"/>
                <w:b w:val="0"/>
                <w:sz w:val="18"/>
              </w:rPr>
              <w:t>04 — AI Finance Controller</w:t>
            </w:r>
          </w:p>
        </w:tc>
      </w:tr>
      <w:tr>
        <w:tc>
          <w:tcPr>
            <w:tcW w:type="dxa" w:w="2880"/>
            <w:vAlign w:val="center"/>
          </w:tcPr>
          <w:p>
            <w:r/>
            <w:r>
              <w:rPr>
                <w:rFonts w:ascii="Aptos" w:hAnsi="Aptos"/>
                <w:b w:val="0"/>
                <w:sz w:val="18"/>
              </w:rPr>
              <w:t>Product</w:t>
            </w:r>
          </w:p>
        </w:tc>
        <w:tc>
          <w:tcPr>
            <w:tcW w:type="dxa" w:w="6912"/>
            <w:vAlign w:val="center"/>
          </w:tcPr>
          <w:p>
            <w:r/>
            <w:r>
              <w:rPr>
                <w:rFonts w:ascii="Aptos" w:hAnsi="Aptos"/>
                <w:b w:val="0"/>
                <w:sz w:val="18"/>
              </w:rPr>
              <w:t>ShadowLedger — Value-Flow Reconstruction Engine</w:t>
            </w:r>
          </w:p>
        </w:tc>
      </w:tr>
      <w:tr>
        <w:tc>
          <w:tcPr>
            <w:tcW w:type="dxa" w:w="2880"/>
            <w:vAlign w:val="center"/>
          </w:tcPr>
          <w:p>
            <w:r/>
            <w:r>
              <w:rPr>
                <w:rFonts w:ascii="Aptos" w:hAnsi="Aptos"/>
                <w:b w:val="0"/>
                <w:sz w:val="18"/>
              </w:rPr>
              <w:t>Core innovation</w:t>
            </w:r>
          </w:p>
        </w:tc>
        <w:tc>
          <w:tcPr>
            <w:tcW w:type="dxa" w:w="6912"/>
            <w:vAlign w:val="center"/>
          </w:tcPr>
          <w:p>
            <w:r/>
            <w:r>
              <w:rPr>
                <w:rFonts w:ascii="Aptos" w:hAnsi="Aptos"/>
                <w:b w:val="0"/>
                <w:sz w:val="18"/>
              </w:rPr>
              <w:t>Infer latent economic events from broken value-flow constraints across heterogeneous financial records</w:t>
            </w:r>
          </w:p>
        </w:tc>
      </w:tr>
      <w:tr>
        <w:tc>
          <w:tcPr>
            <w:tcW w:type="dxa" w:w="2880"/>
            <w:vAlign w:val="center"/>
          </w:tcPr>
          <w:p>
            <w:r/>
            <w:r>
              <w:rPr>
                <w:rFonts w:ascii="Aptos" w:hAnsi="Aptos"/>
                <w:b w:val="0"/>
                <w:sz w:val="18"/>
              </w:rPr>
              <w:t>Primary demo</w:t>
            </w:r>
          </w:p>
        </w:tc>
        <w:tc>
          <w:tcPr>
            <w:tcW w:type="dxa" w:w="6912"/>
            <w:vAlign w:val="center"/>
          </w:tcPr>
          <w:p>
            <w:r/>
            <w:r>
              <w:rPr>
                <w:rFonts w:ascii="Aptos" w:hAnsi="Aptos"/>
                <w:b w:val="0"/>
                <w:sz w:val="18"/>
              </w:rPr>
              <w:t>Kirana-style micro-settlement / non-cash change + broader multi-source reconciliation</w:t>
            </w:r>
          </w:p>
        </w:tc>
      </w:tr>
      <w:tr>
        <w:tc>
          <w:tcPr>
            <w:tcW w:type="dxa" w:w="2880"/>
            <w:vAlign w:val="center"/>
          </w:tcPr>
          <w:p>
            <w:r/>
            <w:r>
              <w:rPr>
                <w:rFonts w:ascii="Aptos" w:hAnsi="Aptos"/>
                <w:b w:val="0"/>
                <w:sz w:val="18"/>
              </w:rPr>
              <w:t>Secondary value</w:t>
            </w:r>
          </w:p>
        </w:tc>
        <w:tc>
          <w:tcPr>
            <w:tcW w:type="dxa" w:w="6912"/>
            <w:vAlign w:val="center"/>
          </w:tcPr>
          <w:p>
            <w:r/>
            <w:r>
              <w:rPr>
                <w:rFonts w:ascii="Aptos" w:hAnsi="Aptos"/>
                <w:b w:val="0"/>
                <w:sz w:val="18"/>
              </w:rPr>
              <w:t>Detect recurring micro-leakage and collapse many exceptions into root-cause patterns</w:t>
            </w:r>
          </w:p>
        </w:tc>
      </w:tr>
      <w:tr>
        <w:tc>
          <w:tcPr>
            <w:tcW w:type="dxa" w:w="2880"/>
            <w:vAlign w:val="center"/>
          </w:tcPr>
          <w:p>
            <w:r/>
            <w:r>
              <w:rPr>
                <w:rFonts w:ascii="Aptos" w:hAnsi="Aptos"/>
                <w:b w:val="0"/>
                <w:sz w:val="18"/>
              </w:rPr>
              <w:t>AI role</w:t>
            </w:r>
          </w:p>
        </w:tc>
        <w:tc>
          <w:tcPr>
            <w:tcW w:type="dxa" w:w="6912"/>
            <w:vAlign w:val="center"/>
          </w:tcPr>
          <w:p>
            <w:r/>
            <w:r>
              <w:rPr>
                <w:rFonts w:ascii="Aptos" w:hAnsi="Aptos"/>
                <w:b w:val="0"/>
                <w:sz w:val="18"/>
              </w:rPr>
              <w:t>Semantic normalization, hypothesis generation, explanation; not the accounting authority</w:t>
            </w:r>
          </w:p>
        </w:tc>
      </w:tr>
      <w:tr>
        <w:tc>
          <w:tcPr>
            <w:tcW w:type="dxa" w:w="2880"/>
            <w:vAlign w:val="center"/>
          </w:tcPr>
          <w:p>
            <w:r/>
            <w:r>
              <w:rPr>
                <w:rFonts w:ascii="Aptos" w:hAnsi="Aptos"/>
                <w:b w:val="0"/>
                <w:sz w:val="18"/>
              </w:rPr>
              <w:t>Safety principle</w:t>
            </w:r>
          </w:p>
        </w:tc>
        <w:tc>
          <w:tcPr>
            <w:tcW w:type="dxa" w:w="6912"/>
            <w:vAlign w:val="center"/>
          </w:tcPr>
          <w:p>
            <w:r/>
            <w:r>
              <w:rPr>
                <w:rFonts w:ascii="Aptos" w:hAnsi="Aptos"/>
                <w:b w:val="0"/>
                <w:sz w:val="18"/>
              </w:rPr>
              <w:t>No auto-resolution without evidence coverage, confidence and policy gate</w:t>
            </w:r>
          </w:p>
        </w:tc>
      </w:tr>
      <w:tr>
        <w:tc>
          <w:tcPr>
            <w:tcW w:type="dxa" w:w="2880"/>
            <w:vAlign w:val="center"/>
          </w:tcPr>
          <w:p>
            <w:r/>
            <w:r>
              <w:rPr>
                <w:rFonts w:ascii="Aptos" w:hAnsi="Aptos"/>
                <w:b w:val="0"/>
                <w:sz w:val="18"/>
              </w:rPr>
              <w:t>Primary output</w:t>
            </w:r>
          </w:p>
        </w:tc>
        <w:tc>
          <w:tcPr>
            <w:tcW w:type="dxa" w:w="6912"/>
            <w:vAlign w:val="center"/>
          </w:tcPr>
          <w:p>
            <w:r/>
            <w:r>
              <w:rPr>
                <w:rFonts w:ascii="Aptos" w:hAnsi="Aptos"/>
                <w:b w:val="0"/>
                <w:sz w:val="18"/>
              </w:rPr>
              <w:t>Resolved value flow + evidence + confidence + audit trail, or explicit exception</w:t>
            </w:r>
          </w:p>
        </w:tc>
      </w:tr>
      <w:tr>
        <w:tc>
          <w:tcPr>
            <w:tcW w:type="dxa" w:w="2880"/>
            <w:vAlign w:val="center"/>
          </w:tcPr>
          <w:p>
            <w:r/>
            <w:r>
              <w:rPr>
                <w:rFonts w:ascii="Aptos" w:hAnsi="Aptos"/>
                <w:b w:val="0"/>
                <w:sz w:val="18"/>
              </w:rPr>
              <w:t>Success definition</w:t>
            </w:r>
          </w:p>
        </w:tc>
        <w:tc>
          <w:tcPr>
            <w:tcW w:type="dxa" w:w="6912"/>
            <w:vAlign w:val="center"/>
          </w:tcPr>
          <w:p>
            <w:r/>
            <w:r>
              <w:rPr>
                <w:rFonts w:ascii="Aptos" w:hAnsi="Aptos"/>
                <w:b w:val="0"/>
                <w:sz w:val="18"/>
              </w:rPr>
              <w:t>Measurable batch throughput, measured accuracy, honest exception list, meaningful time/value saved</w:t>
            </w:r>
          </w:p>
        </w:tc>
      </w:tr>
    </w:tbl>
    <w:p/>
    <w:p>
      <w:pPr>
        <w:pStyle w:val="Heading1"/>
      </w:pPr>
      <w:r>
        <w:t>2. Why We Are Not Building a Normal Reconciliation Product</w:t>
      </w:r>
    </w:p>
    <w:p>
      <w:r>
        <w:t>Razorpay’s brief explicitly asks for one finance-ops loop over a 50+ record synthetic batch, with match rate and unresolved exceptions, and emphasizes throughput, measured accuracy and an honest exception list. That strongly favors a system with an explicit evaluation harness and clear uncertainty handling. Razorpay also already operates or showcases AI finance capabilities spanning reconciliation, bookkeeping, reporting, cash-flow, receivables and other agentic financial workflows. Therefore our differentiation cannot simply be “AI matches records.”</w:t>
      </w:r>
    </w:p>
    <w:tbl>
      <w:tblPr>
        <w:tblStyle w:val="TableGrid"/>
        <w:tblW w:type="auto" w:w="0"/>
        <w:jc w:val="center"/>
        <w:tblLook w:firstColumn="1" w:firstRow="1" w:lastColumn="0" w:lastRow="0" w:noHBand="0" w:noVBand="1" w:val="04A0"/>
      </w:tblPr>
      <w:tblGrid>
        <w:gridCol w:w="10166"/>
      </w:tblGrid>
      <w:tr>
        <w:tc>
          <w:tcPr>
            <w:tcW w:type="dxa" w:w="10166"/>
            <w:shd w:fill="ECFDF5"/>
          </w:tcPr>
          <w:p>
            <w:r/>
            <w:r>
              <w:rPr>
                <w:b/>
                <w:color w:val="0F172A"/>
                <w:sz w:val="22"/>
              </w:rPr>
              <w:t>STRATEGIC POSITIONING</w:t>
              <w:br/>
            </w:r>
            <w:r>
              <w:rPr>
                <w:rFonts w:ascii="Aptos" w:hAnsi="Aptos"/>
                <w:sz w:val="20"/>
              </w:rPr>
              <w:t>We compete on the hard tail: the transaction that looks valid in one system but becomes economically unexplained when money, inventory, credit and time are considered together.</w:t>
            </w:r>
          </w:p>
        </w:tc>
      </w:tr>
    </w:tbl>
    <w:p/>
    <w:p>
      <w:pPr>
        <w:pStyle w:val="Heading1"/>
      </w:pPr>
      <w:r>
        <w:t>3. The Problem</w:t>
      </w:r>
    </w:p>
    <w:p>
      <w:pPr>
        <w:pStyle w:val="Heading2"/>
      </w:pPr>
      <w:r>
        <w:t>3.1 The five-year-old explanation</w:t>
      </w:r>
    </w:p>
    <w:p>
      <w:r>
        <w:t>A shopkeeper can have three stories about the same sale: what the bill says, what the payment says, and what physically changed. Usually they agree. Sometimes they do not. A customer may pay ₹100 for a ₹98 basket and receive ₹2 of chocolate as change. A customer may keep ₹2 as store credit. A product may be exchanged instead of refunded. A driver may receive cash that is higher than the app fare. A small vendor may sell through a partner who keeps an informal margin. The digital records can remain internally “valid” while the real-world value flow is different.</w:t>
      </w:r>
    </w:p>
    <w:p>
      <w:pPr>
        <w:pStyle w:val="Heading2"/>
      </w:pPr>
      <w:r>
        <w:t>3.2 Formal problem statement</w:t>
      </w:r>
    </w:p>
    <w:p>
      <w:r>
        <w:t>Given multiple noisy observations of economic activity — transaction records, order records, settlement records, inventory movement, refunds, credits, adjustments and timestamps — reconstruct a value-flow graph that explains the maximum amount of observed data with the minimum unsupported assumptions, and expose the residual unexplained value as an explicit exception.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0F172A"/>
          </w:tcPr>
          <w:p>
            <w:r>
              <w:rPr>
                <w:color w:val="FFFFFF"/>
              </w:rPr>
            </w:r>
            <w:r>
              <w:rPr>
                <w:rFonts w:ascii="Aptos" w:hAnsi="Aptos"/>
                <w:b/>
                <w:color w:val="FFFFFF"/>
                <w:sz w:val="18"/>
              </w:rPr>
              <w:t>Problem class</w:t>
            </w:r>
          </w:p>
        </w:tc>
        <w:tc>
          <w:tcPr>
            <w:tcW w:type="dxa" w:w="2232"/>
            <w:vAlign w:val="center"/>
            <w:shd w:fill="0F172A"/>
          </w:tcPr>
          <w:p>
            <w:r>
              <w:rPr>
                <w:color w:val="FFFFFF"/>
              </w:rPr>
            </w:r>
            <w:r>
              <w:rPr>
                <w:rFonts w:ascii="Aptos" w:hAnsi="Aptos"/>
                <w:b/>
                <w:color w:val="FFFFFF"/>
                <w:sz w:val="18"/>
              </w:rPr>
              <w:t>What the official system may show</w:t>
            </w:r>
          </w:p>
        </w:tc>
        <w:tc>
          <w:tcPr>
            <w:tcW w:type="dxa" w:w="2880"/>
            <w:vAlign w:val="center"/>
            <w:shd w:fill="0F172A"/>
          </w:tcPr>
          <w:p>
            <w:r>
              <w:rPr>
                <w:color w:val="FFFFFF"/>
              </w:rPr>
            </w:r>
            <w:r>
              <w:rPr>
                <w:rFonts w:ascii="Aptos" w:hAnsi="Aptos"/>
                <w:b/>
                <w:color w:val="FFFFFF"/>
                <w:sz w:val="18"/>
              </w:rPr>
              <w:t>What may have happened economically</w:t>
            </w:r>
          </w:p>
        </w:tc>
        <w:tc>
          <w:tcPr>
            <w:tcW w:type="dxa" w:w="2736"/>
            <w:vAlign w:val="center"/>
            <w:shd w:fill="0F172A"/>
          </w:tcPr>
          <w:p>
            <w:r>
              <w:rPr>
                <w:color w:val="FFFFFF"/>
              </w:rPr>
            </w:r>
            <w:r>
              <w:rPr>
                <w:rFonts w:ascii="Aptos" w:hAnsi="Aptos"/>
                <w:b/>
                <w:color w:val="FFFFFF"/>
                <w:sz w:val="18"/>
              </w:rPr>
              <w:t>What ShadowLedger should do</w:t>
            </w:r>
          </w:p>
        </w:tc>
      </w:tr>
      <w:tr>
        <w:tc>
          <w:tcPr>
            <w:tcW w:type="dxa" w:w="1944"/>
            <w:vAlign w:val="center"/>
          </w:tcPr>
          <w:p>
            <w:r/>
            <w:r>
              <w:rPr>
                <w:rFonts w:ascii="Aptos" w:hAnsi="Aptos"/>
                <w:b w:val="0"/>
                <w:sz w:val="18"/>
              </w:rPr>
              <w:t>Non-cash settlement</w:t>
            </w:r>
          </w:p>
        </w:tc>
        <w:tc>
          <w:tcPr>
            <w:tcW w:type="dxa" w:w="2232"/>
            <w:vAlign w:val="center"/>
          </w:tcPr>
          <w:p>
            <w:r/>
            <w:r>
              <w:rPr>
                <w:rFonts w:ascii="Aptos" w:hAnsi="Aptos"/>
                <w:b w:val="0"/>
                <w:sz w:val="18"/>
              </w:rPr>
              <w:t>Payment and sale differ by ₹1–₹5</w:t>
            </w:r>
          </w:p>
        </w:tc>
        <w:tc>
          <w:tcPr>
            <w:tcW w:type="dxa" w:w="2880"/>
            <w:vAlign w:val="center"/>
          </w:tcPr>
          <w:p>
            <w:r/>
            <w:r>
              <w:rPr>
                <w:rFonts w:ascii="Aptos" w:hAnsi="Aptos"/>
                <w:b w:val="0"/>
                <w:sz w:val="18"/>
              </w:rPr>
              <w:t>Inventory used as change</w:t>
            </w:r>
          </w:p>
        </w:tc>
        <w:tc>
          <w:tcPr>
            <w:tcW w:type="dxa" w:w="2736"/>
            <w:vAlign w:val="center"/>
          </w:tcPr>
          <w:p>
            <w:r/>
            <w:r>
              <w:rPr>
                <w:rFonts w:ascii="Aptos" w:hAnsi="Aptos"/>
                <w:b w:val="0"/>
                <w:sz w:val="18"/>
              </w:rPr>
              <w:t>Infer non-monetary settlement candidate</w:t>
            </w:r>
          </w:p>
        </w:tc>
      </w:tr>
      <w:tr>
        <w:tc>
          <w:tcPr>
            <w:tcW w:type="dxa" w:w="1944"/>
            <w:vAlign w:val="center"/>
          </w:tcPr>
          <w:p>
            <w:r/>
            <w:r>
              <w:rPr>
                <w:rFonts w:ascii="Aptos" w:hAnsi="Aptos"/>
                <w:b w:val="0"/>
                <w:sz w:val="18"/>
              </w:rPr>
              <w:t>Micro-leakage</w:t>
            </w:r>
          </w:p>
        </w:tc>
        <w:tc>
          <w:tcPr>
            <w:tcW w:type="dxa" w:w="2232"/>
            <w:vAlign w:val="center"/>
          </w:tcPr>
          <w:p>
            <w:r/>
            <w:r>
              <w:rPr>
                <w:rFonts w:ascii="Aptos" w:hAnsi="Aptos"/>
                <w:b w:val="0"/>
                <w:sz w:val="18"/>
              </w:rPr>
              <w:t>Hundreds of tiny discrepancies</w:t>
            </w:r>
          </w:p>
        </w:tc>
        <w:tc>
          <w:tcPr>
            <w:tcW w:type="dxa" w:w="2880"/>
            <w:vAlign w:val="center"/>
          </w:tcPr>
          <w:p>
            <w:r/>
            <w:r>
              <w:rPr>
                <w:rFonts w:ascii="Aptos" w:hAnsi="Aptos"/>
                <w:b w:val="0"/>
                <w:sz w:val="18"/>
              </w:rPr>
              <w:t>Repeated under-collection / change leakage</w:t>
            </w:r>
          </w:p>
        </w:tc>
        <w:tc>
          <w:tcPr>
            <w:tcW w:type="dxa" w:w="2736"/>
            <w:vAlign w:val="center"/>
          </w:tcPr>
          <w:p>
            <w:r/>
            <w:r>
              <w:rPr>
                <w:rFonts w:ascii="Aptos" w:hAnsi="Aptos"/>
                <w:b w:val="0"/>
                <w:sz w:val="18"/>
              </w:rPr>
              <w:t>Aggregate into a behavioral fingerprint</w:t>
            </w:r>
          </w:p>
        </w:tc>
      </w:tr>
      <w:tr>
        <w:tc>
          <w:tcPr>
            <w:tcW w:type="dxa" w:w="1944"/>
            <w:vAlign w:val="center"/>
          </w:tcPr>
          <w:p>
            <w:r/>
            <w:r>
              <w:rPr>
                <w:rFonts w:ascii="Aptos" w:hAnsi="Aptos"/>
                <w:b w:val="0"/>
                <w:sz w:val="18"/>
              </w:rPr>
              <w:t>Cross-time obligation</w:t>
            </w:r>
          </w:p>
        </w:tc>
        <w:tc>
          <w:tcPr>
            <w:tcW w:type="dxa" w:w="2232"/>
            <w:vAlign w:val="center"/>
          </w:tcPr>
          <w:p>
            <w:r/>
            <w:r>
              <w:rPr>
                <w:rFonts w:ascii="Aptos" w:hAnsi="Aptos"/>
                <w:b w:val="0"/>
                <w:sz w:val="18"/>
              </w:rPr>
              <w:t>Current transaction looks short</w:t>
            </w:r>
          </w:p>
        </w:tc>
        <w:tc>
          <w:tcPr>
            <w:tcW w:type="dxa" w:w="2880"/>
            <w:vAlign w:val="center"/>
          </w:tcPr>
          <w:p>
            <w:r/>
            <w:r>
              <w:rPr>
                <w:rFonts w:ascii="Aptos" w:hAnsi="Aptos"/>
                <w:b w:val="0"/>
                <w:sz w:val="18"/>
              </w:rPr>
              <w:t>Earlier store credit consumed later</w:t>
            </w:r>
          </w:p>
        </w:tc>
        <w:tc>
          <w:tcPr>
            <w:tcW w:type="dxa" w:w="2736"/>
            <w:vAlign w:val="center"/>
          </w:tcPr>
          <w:p>
            <w:r/>
            <w:r>
              <w:rPr>
                <w:rFonts w:ascii="Aptos" w:hAnsi="Aptos"/>
                <w:b w:val="0"/>
                <w:sz w:val="18"/>
              </w:rPr>
              <w:t>Link events across time</w:t>
            </w:r>
          </w:p>
        </w:tc>
      </w:tr>
      <w:tr>
        <w:tc>
          <w:tcPr>
            <w:tcW w:type="dxa" w:w="1944"/>
            <w:vAlign w:val="center"/>
          </w:tcPr>
          <w:p>
            <w:r/>
            <w:r>
              <w:rPr>
                <w:rFonts w:ascii="Aptos" w:hAnsi="Aptos"/>
                <w:b w:val="0"/>
                <w:sz w:val="18"/>
              </w:rPr>
              <w:t>Replacement/refund mismatch</w:t>
            </w:r>
          </w:p>
        </w:tc>
        <w:tc>
          <w:tcPr>
            <w:tcW w:type="dxa" w:w="2232"/>
            <w:vAlign w:val="center"/>
          </w:tcPr>
          <w:p>
            <w:r/>
            <w:r>
              <w:rPr>
                <w:rFonts w:ascii="Aptos" w:hAnsi="Aptos"/>
                <w:b w:val="0"/>
                <w:sz w:val="18"/>
              </w:rPr>
              <w:t>Refund missing or split</w:t>
            </w:r>
          </w:p>
        </w:tc>
        <w:tc>
          <w:tcPr>
            <w:tcW w:type="dxa" w:w="2880"/>
            <w:vAlign w:val="center"/>
          </w:tcPr>
          <w:p>
            <w:r/>
            <w:r>
              <w:rPr>
                <w:rFonts w:ascii="Aptos" w:hAnsi="Aptos"/>
                <w:b w:val="0"/>
                <w:sz w:val="18"/>
              </w:rPr>
              <w:t>Replacement product substituted for money</w:t>
            </w:r>
          </w:p>
        </w:tc>
        <w:tc>
          <w:tcPr>
            <w:tcW w:type="dxa" w:w="2736"/>
            <w:vAlign w:val="center"/>
          </w:tcPr>
          <w:p>
            <w:r/>
            <w:r>
              <w:rPr>
                <w:rFonts w:ascii="Aptos" w:hAnsi="Aptos"/>
                <w:b w:val="0"/>
                <w:sz w:val="18"/>
              </w:rPr>
              <w:t>Model value-equivalent event</w:t>
            </w:r>
          </w:p>
        </w:tc>
      </w:tr>
      <w:tr>
        <w:tc>
          <w:tcPr>
            <w:tcW w:type="dxa" w:w="1944"/>
            <w:vAlign w:val="center"/>
          </w:tcPr>
          <w:p>
            <w:r/>
            <w:r>
              <w:rPr>
                <w:rFonts w:ascii="Aptos" w:hAnsi="Aptos"/>
                <w:b w:val="0"/>
                <w:sz w:val="18"/>
              </w:rPr>
              <w:t>Hidden adjustment</w:t>
            </w:r>
          </w:p>
        </w:tc>
        <w:tc>
          <w:tcPr>
            <w:tcW w:type="dxa" w:w="2232"/>
            <w:vAlign w:val="center"/>
          </w:tcPr>
          <w:p>
            <w:r/>
            <w:r>
              <w:rPr>
                <w:rFonts w:ascii="Aptos" w:hAnsi="Aptos"/>
                <w:b w:val="0"/>
                <w:sz w:val="18"/>
              </w:rPr>
              <w:t>Settlement differs from capture</w:t>
            </w:r>
          </w:p>
        </w:tc>
        <w:tc>
          <w:tcPr>
            <w:tcW w:type="dxa" w:w="2880"/>
            <w:vAlign w:val="center"/>
          </w:tcPr>
          <w:p>
            <w:r/>
            <w:r>
              <w:rPr>
                <w:rFonts w:ascii="Aptos" w:hAnsi="Aptos"/>
                <w:b w:val="0"/>
                <w:sz w:val="18"/>
              </w:rPr>
              <w:t>Fee/refund/adjustment not present in one source</w:t>
            </w:r>
          </w:p>
        </w:tc>
        <w:tc>
          <w:tcPr>
            <w:tcW w:type="dxa" w:w="2736"/>
            <w:vAlign w:val="center"/>
          </w:tcPr>
          <w:p>
            <w:r/>
            <w:r>
              <w:rPr>
                <w:rFonts w:ascii="Aptos" w:hAnsi="Aptos"/>
                <w:b w:val="0"/>
                <w:sz w:val="18"/>
              </w:rPr>
              <w:t>Reconstruct candidate event set</w:t>
            </w:r>
          </w:p>
        </w:tc>
      </w:tr>
      <w:tr>
        <w:tc>
          <w:tcPr>
            <w:tcW w:type="dxa" w:w="1944"/>
            <w:vAlign w:val="center"/>
          </w:tcPr>
          <w:p>
            <w:r/>
            <w:r>
              <w:rPr>
                <w:rFonts w:ascii="Aptos" w:hAnsi="Aptos"/>
                <w:b w:val="0"/>
                <w:sz w:val="18"/>
              </w:rPr>
              <w:t>Unknown case</w:t>
            </w:r>
          </w:p>
        </w:tc>
        <w:tc>
          <w:tcPr>
            <w:tcW w:type="dxa" w:w="2232"/>
            <w:vAlign w:val="center"/>
          </w:tcPr>
          <w:p>
            <w:r/>
            <w:r>
              <w:rPr>
                <w:rFonts w:ascii="Aptos" w:hAnsi="Aptos"/>
                <w:b w:val="0"/>
                <w:sz w:val="18"/>
              </w:rPr>
              <w:t>No plausible explanation</w:t>
            </w:r>
          </w:p>
        </w:tc>
        <w:tc>
          <w:tcPr>
            <w:tcW w:type="dxa" w:w="2880"/>
            <w:vAlign w:val="center"/>
          </w:tcPr>
          <w:p>
            <w:r/>
            <w:r>
              <w:rPr>
                <w:rFonts w:ascii="Aptos" w:hAnsi="Aptos"/>
                <w:b w:val="0"/>
                <w:sz w:val="18"/>
              </w:rPr>
              <w:t>Potential missing or off-ledger event</w:t>
            </w:r>
          </w:p>
        </w:tc>
        <w:tc>
          <w:tcPr>
            <w:tcW w:type="dxa" w:w="2736"/>
            <w:vAlign w:val="center"/>
          </w:tcPr>
          <w:p>
            <w:r/>
            <w:r>
              <w:rPr>
                <w:rFonts w:ascii="Aptos" w:hAnsi="Aptos"/>
                <w:b w:val="0"/>
                <w:sz w:val="18"/>
              </w:rPr>
              <w:t>Escalate with evidence, do not hallucinate</w:t>
            </w:r>
          </w:p>
        </w:tc>
      </w:tr>
    </w:tbl>
    <w:p/>
    <w:p>
      <w:pPr>
        <w:pStyle w:val="Heading1"/>
      </w:pPr>
      <w:r>
        <w:t>4. Core Innovation — What We Are Actually Building</w:t>
      </w:r>
    </w:p>
    <w:p>
      <w:r>
        <w:t>The novelty target is not the use of an LLM. The core engine is a new representation and reasoning workflow for our submission: a Value-Flow Graph plus an uncertainty-aware Shadow Ledger. The graph treats money, inventory, credit and obligations as value-bearing events. Reconciliation becomes a constrained reconstruction problem rather than a pairwise record-matching problem.</w:t>
      </w:r>
    </w:p>
    <w:p>
      <w:pPr>
        <w:jc w:val="center"/>
      </w:pPr>
      <w:r>
        <w:drawing>
          <wp:inline xmlns:a="http://schemas.openxmlformats.org/drawingml/2006/main" xmlns:pic="http://schemas.openxmlformats.org/drawingml/2006/picture">
            <wp:extent cx="6080760" cy="45716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80760" cy="457168"/>
                    </a:xfrm>
                    <a:prstGeom prst="rect"/>
                  </pic:spPr>
                </pic:pic>
              </a:graphicData>
            </a:graphic>
          </wp:inline>
        </w:drawing>
      </w:r>
    </w:p>
    <w:p>
      <w:pPr>
        <w:jc w:val="center"/>
      </w:pPr>
      <w:r>
        <w:rPr>
          <w:i/>
          <w:color w:val="475569"/>
          <w:sz w:val="18"/>
        </w:rPr>
        <w:t>Locked system architecture: deterministic reconciliation first; AI is used where ambiguity genuinely exists.</w:t>
      </w:r>
    </w:p>
    <w:p/>
    <w:p>
      <w:pPr>
        <w:pStyle w:val="Heading2"/>
      </w:pPr>
      <w:r>
        <w:t>4.1 Official Ledger vs Shadow Ledger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0F172A"/>
          </w:tcPr>
          <w:p>
            <w:r>
              <w:rPr>
                <w:color w:val="FFFFFF"/>
              </w:rPr>
            </w:r>
            <w:r>
              <w:rPr>
                <w:rFonts w:ascii="Aptos" w:hAnsi="Aptos"/>
                <w:b/>
                <w:color w:val="FFFFFF"/>
                <w:sz w:val="18"/>
              </w:rPr>
              <w:t>Ledger</w:t>
            </w:r>
          </w:p>
        </w:tc>
        <w:tc>
          <w:tcPr>
            <w:tcW w:type="dxa" w:w="3456"/>
            <w:vAlign w:val="center"/>
            <w:shd w:fill="0F172A"/>
          </w:tcPr>
          <w:p>
            <w:r>
              <w:rPr>
                <w:color w:val="FFFFFF"/>
              </w:rPr>
            </w:r>
            <w:r>
              <w:rPr>
                <w:rFonts w:ascii="Aptos" w:hAnsi="Aptos"/>
                <w:b/>
                <w:color w:val="FFFFFF"/>
                <w:sz w:val="18"/>
              </w:rPr>
              <w:t>Meaning</w:t>
            </w:r>
          </w:p>
        </w:tc>
        <w:tc>
          <w:tcPr>
            <w:tcW w:type="dxa" w:w="1800"/>
            <w:vAlign w:val="center"/>
            <w:shd w:fill="0F172A"/>
          </w:tcPr>
          <w:p>
            <w:r>
              <w:rPr>
                <w:color w:val="FFFFFF"/>
              </w:rPr>
            </w:r>
            <w:r>
              <w:rPr>
                <w:rFonts w:ascii="Aptos" w:hAnsi="Aptos"/>
                <w:b/>
                <w:color w:val="FFFFFF"/>
                <w:sz w:val="18"/>
              </w:rPr>
              <w:t>Confidence</w:t>
            </w:r>
          </w:p>
        </w:tc>
        <w:tc>
          <w:tcPr>
            <w:tcW w:type="dxa" w:w="2808"/>
            <w:vAlign w:val="center"/>
            <w:shd w:fill="0F172A"/>
          </w:tcPr>
          <w:p>
            <w:r>
              <w:rPr>
                <w:color w:val="FFFFFF"/>
              </w:rPr>
            </w:r>
            <w:r>
              <w:rPr>
                <w:rFonts w:ascii="Aptos" w:hAnsi="Aptos"/>
                <w:b/>
                <w:color w:val="FFFFFF"/>
                <w:sz w:val="18"/>
              </w:rPr>
              <w:t>Example</w:t>
            </w:r>
          </w:p>
        </w:tc>
      </w:tr>
      <w:tr>
        <w:tc>
          <w:tcPr>
            <w:tcW w:type="dxa" w:w="1728"/>
            <w:vAlign w:val="center"/>
          </w:tcPr>
          <w:p>
            <w:r/>
            <w:r>
              <w:rPr>
                <w:rFonts w:ascii="Aptos" w:hAnsi="Aptos"/>
                <w:b w:val="0"/>
                <w:sz w:val="18"/>
              </w:rPr>
              <w:t>Official Ledger</w:t>
            </w:r>
          </w:p>
        </w:tc>
        <w:tc>
          <w:tcPr>
            <w:tcW w:type="dxa" w:w="3456"/>
            <w:vAlign w:val="center"/>
          </w:tcPr>
          <w:p>
            <w:r/>
            <w:r>
              <w:rPr>
                <w:rFonts w:ascii="Aptos" w:hAnsi="Aptos"/>
                <w:b w:val="0"/>
                <w:sz w:val="18"/>
              </w:rPr>
              <w:t>Explicitly recorded by source systems</w:t>
            </w:r>
          </w:p>
        </w:tc>
        <w:tc>
          <w:tcPr>
            <w:tcW w:type="dxa" w:w="1800"/>
            <w:vAlign w:val="center"/>
          </w:tcPr>
          <w:p>
            <w:r/>
            <w:r>
              <w:rPr>
                <w:rFonts w:ascii="Aptos" w:hAnsi="Aptos"/>
                <w:b w:val="0"/>
                <w:sz w:val="18"/>
              </w:rPr>
              <w:t>Observed / factual about the source</w:t>
            </w:r>
          </w:p>
        </w:tc>
        <w:tc>
          <w:tcPr>
            <w:tcW w:type="dxa" w:w="2808"/>
            <w:vAlign w:val="center"/>
          </w:tcPr>
          <w:p>
            <w:r/>
            <w:r>
              <w:rPr>
                <w:rFonts w:ascii="Aptos" w:hAnsi="Aptos"/>
                <w:b w:val="0"/>
                <w:sz w:val="18"/>
              </w:rPr>
              <w:t>Order = ₹98; payment = ₹100</w:t>
            </w:r>
          </w:p>
        </w:tc>
      </w:tr>
      <w:tr>
        <w:tc>
          <w:tcPr>
            <w:tcW w:type="dxa" w:w="1728"/>
            <w:vAlign w:val="center"/>
          </w:tcPr>
          <w:p>
            <w:r/>
            <w:r>
              <w:rPr>
                <w:rFonts w:ascii="Aptos" w:hAnsi="Aptos"/>
                <w:b w:val="0"/>
                <w:sz w:val="18"/>
              </w:rPr>
              <w:t>Shadow Ledger</w:t>
            </w:r>
          </w:p>
        </w:tc>
        <w:tc>
          <w:tcPr>
            <w:tcW w:type="dxa" w:w="3456"/>
            <w:vAlign w:val="center"/>
          </w:tcPr>
          <w:p>
            <w:r/>
            <w:r>
              <w:rPr>
                <w:rFonts w:ascii="Aptos" w:hAnsi="Aptos"/>
                <w:b w:val="0"/>
                <w:sz w:val="18"/>
              </w:rPr>
              <w:t>Inferred economic event needed to explain observations</w:t>
            </w:r>
          </w:p>
        </w:tc>
        <w:tc>
          <w:tcPr>
            <w:tcW w:type="dxa" w:w="1800"/>
            <w:vAlign w:val="center"/>
          </w:tcPr>
          <w:p>
            <w:r/>
            <w:r>
              <w:rPr>
                <w:rFonts w:ascii="Aptos" w:hAnsi="Aptos"/>
                <w:b w:val="0"/>
                <w:sz w:val="18"/>
              </w:rPr>
              <w:t>Probabilistic / evidence-backed</w:t>
            </w:r>
          </w:p>
        </w:tc>
        <w:tc>
          <w:tcPr>
            <w:tcW w:type="dxa" w:w="2808"/>
            <w:vAlign w:val="center"/>
          </w:tcPr>
          <w:p>
            <w:r/>
            <w:r>
              <w:rPr>
                <w:rFonts w:ascii="Aptos" w:hAnsi="Aptos"/>
                <w:b w:val="0"/>
                <w:sz w:val="18"/>
              </w:rPr>
              <w:t>₹2 non-cash settlement candidate</w:t>
            </w:r>
          </w:p>
        </w:tc>
      </w:tr>
      <w:tr>
        <w:tc>
          <w:tcPr>
            <w:tcW w:type="dxa" w:w="1728"/>
            <w:vAlign w:val="center"/>
          </w:tcPr>
          <w:p>
            <w:r/>
            <w:r>
              <w:rPr>
                <w:rFonts w:ascii="Aptos" w:hAnsi="Aptos"/>
                <w:b w:val="0"/>
                <w:sz w:val="18"/>
              </w:rPr>
              <w:t>Exception Queue</w:t>
            </w:r>
          </w:p>
        </w:tc>
        <w:tc>
          <w:tcPr>
            <w:tcW w:type="dxa" w:w="3456"/>
            <w:vAlign w:val="center"/>
          </w:tcPr>
          <w:p>
            <w:r/>
            <w:r>
              <w:rPr>
                <w:rFonts w:ascii="Aptos" w:hAnsi="Aptos"/>
                <w:b w:val="0"/>
                <w:sz w:val="18"/>
              </w:rPr>
              <w:t>Case where evidence is insufficient</w:t>
            </w:r>
          </w:p>
        </w:tc>
        <w:tc>
          <w:tcPr>
            <w:tcW w:type="dxa" w:w="1800"/>
            <w:vAlign w:val="center"/>
          </w:tcPr>
          <w:p>
            <w:r/>
            <w:r>
              <w:rPr>
                <w:rFonts w:ascii="Aptos" w:hAnsi="Aptos"/>
                <w:b w:val="0"/>
                <w:sz w:val="18"/>
              </w:rPr>
              <w:t>Unresolved</w:t>
            </w:r>
          </w:p>
        </w:tc>
        <w:tc>
          <w:tcPr>
            <w:tcW w:type="dxa" w:w="2808"/>
            <w:vAlign w:val="center"/>
          </w:tcPr>
          <w:p>
            <w:r/>
            <w:r>
              <w:rPr>
                <w:rFonts w:ascii="Aptos" w:hAnsi="Aptos"/>
                <w:b w:val="0"/>
                <w:sz w:val="18"/>
              </w:rPr>
              <w:t>Possible ₹20 unrecorded obligation, confidence 41%</w:t>
            </w:r>
          </w:p>
        </w:tc>
      </w:tr>
    </w:tbl>
    <w:p/>
    <w:p>
      <w:pPr>
        <w:pStyle w:val="Heading2"/>
      </w:pPr>
      <w:r>
        <w:t>4.2 The key reasoning objective</w:t>
      </w:r>
    </w:p>
    <w:p>
      <w:r>
        <w:t>For each anomaly, we search for the smallest, safest explanation that satisfies the most constraints. A good explanation should account for multiple observations at once, minimize unsupported assumptions, respect temporal ordering, and remain below a financial-risk threshold. This is why the system should prefer “I cannot safely resolve this” over fabricating certainty.</w:t>
      </w:r>
    </w:p>
    <w:p>
      <w:pPr>
        <w:pStyle w:val="Heading1"/>
      </w:pPr>
      <w:r>
        <w:t>5. The Hero Demo: The ₹100-to-₹98 Kirana Case</w:t>
      </w:r>
    </w:p>
    <w:p>
      <w:r>
        <w:t>The hero scenario is intentionally simple because the judge should understand the problem in seconds. The merchant records a ₹98 sale and a ₹100 payment. The remaining ₹2 is not returned as cash. Inventory logs show one low-value confectionery item leaving stock. The system infers that a non-cash settlement may have been used as change.</w:t>
      </w:r>
    </w:p>
    <w:p>
      <w:pPr>
        <w:jc w:val="center"/>
      </w:pPr>
      <w:r>
        <w:drawing>
          <wp:inline xmlns:a="http://schemas.openxmlformats.org/drawingml/2006/main" xmlns:pic="http://schemas.openxmlformats.org/drawingml/2006/picture">
            <wp:extent cx="5669280" cy="1202575"/>
            <wp:docPr id="2" name="Picture 2"/>
            <wp:cNvGraphicFramePr>
              <a:graphicFrameLocks noChangeAspect="1"/>
            </wp:cNvGraphicFramePr>
            <a:graphic>
              <a:graphicData uri="http://schemas.openxmlformats.org/drawingml/2006/picture">
                <pic:pic>
                  <pic:nvPicPr>
                    <pic:cNvPr id="0" name="shadow_example.png"/>
                    <pic:cNvPicPr/>
                  </pic:nvPicPr>
                  <pic:blipFill>
                    <a:blip r:embed="rId10"/>
                    <a:stretch>
                      <a:fillRect/>
                    </a:stretch>
                  </pic:blipFill>
                  <pic:spPr>
                    <a:xfrm>
                      <a:off x="0" y="0"/>
                      <a:ext cx="5669280" cy="1202575"/>
                    </a:xfrm>
                    <a:prstGeom prst="rect"/>
                  </pic:spPr>
                </pic:pic>
              </a:graphicData>
            </a:graphic>
          </wp:inline>
        </w:drawing>
      </w:r>
    </w:p>
    <w:p>
      <w:pPr>
        <w:jc w:val="center"/>
      </w:pPr>
      <w:r>
        <w:rPr>
          <w:i/>
          <w:color w:val="475569"/>
          <w:sz w:val="18"/>
        </w:rPr>
        <w:t>Example hero flow: the missing ₹2 is modeled as a shadow event, not silently forced into a cash match.</w:t>
      </w:r>
    </w:p>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0F172A"/>
          </w:tcPr>
          <w:p>
            <w:r>
              <w:rPr>
                <w:color w:val="FFFFFF"/>
              </w:rPr>
            </w:r>
            <w:r>
              <w:rPr>
                <w:rFonts w:ascii="Aptos" w:hAnsi="Aptos"/>
                <w:b/>
                <w:color w:val="FFFFFF"/>
                <w:sz w:val="18"/>
              </w:rPr>
              <w:t>Evidence</w:t>
            </w:r>
          </w:p>
        </w:tc>
        <w:tc>
          <w:tcPr>
            <w:tcW w:type="dxa" w:w="3672"/>
            <w:vAlign w:val="center"/>
            <w:shd w:fill="0F172A"/>
          </w:tcPr>
          <w:p>
            <w:r>
              <w:rPr>
                <w:color w:val="FFFFFF"/>
              </w:rPr>
            </w:r>
            <w:r>
              <w:rPr>
                <w:rFonts w:ascii="Aptos" w:hAnsi="Aptos"/>
                <w:b/>
                <w:color w:val="FFFFFF"/>
                <w:sz w:val="18"/>
              </w:rPr>
              <w:t>Observed fact</w:t>
            </w:r>
          </w:p>
        </w:tc>
        <w:tc>
          <w:tcPr>
            <w:tcW w:type="dxa" w:w="4032"/>
            <w:vAlign w:val="center"/>
            <w:shd w:fill="0F172A"/>
          </w:tcPr>
          <w:p>
            <w:r>
              <w:rPr>
                <w:color w:val="FFFFFF"/>
              </w:rPr>
            </w:r>
            <w:r>
              <w:rPr>
                <w:rFonts w:ascii="Aptos" w:hAnsi="Aptos"/>
                <w:b/>
                <w:color w:val="FFFFFF"/>
                <w:sz w:val="18"/>
              </w:rPr>
              <w:t>Role in inference</w:t>
            </w:r>
          </w:p>
        </w:tc>
      </w:tr>
      <w:tr>
        <w:tc>
          <w:tcPr>
            <w:tcW w:type="dxa" w:w="2088"/>
            <w:vAlign w:val="center"/>
          </w:tcPr>
          <w:p>
            <w:r/>
            <w:r>
              <w:rPr>
                <w:rFonts w:ascii="Aptos" w:hAnsi="Aptos"/>
                <w:b w:val="0"/>
                <w:sz w:val="18"/>
              </w:rPr>
              <w:t>Sale record</w:t>
            </w:r>
          </w:p>
        </w:tc>
        <w:tc>
          <w:tcPr>
            <w:tcW w:type="dxa" w:w="3672"/>
            <w:vAlign w:val="center"/>
          </w:tcPr>
          <w:p>
            <w:r/>
            <w:r>
              <w:rPr>
                <w:rFonts w:ascii="Aptos" w:hAnsi="Aptos"/>
                <w:b w:val="0"/>
                <w:sz w:val="18"/>
              </w:rPr>
              <w:t>Basket total = ₹98</w:t>
            </w:r>
          </w:p>
        </w:tc>
        <w:tc>
          <w:tcPr>
            <w:tcW w:type="dxa" w:w="4032"/>
            <w:vAlign w:val="center"/>
          </w:tcPr>
          <w:p>
            <w:r/>
            <w:r>
              <w:rPr>
                <w:rFonts w:ascii="Aptos" w:hAnsi="Aptos"/>
                <w:b w:val="0"/>
                <w:sz w:val="18"/>
              </w:rPr>
              <w:t>Establishes obligation</w:t>
            </w:r>
          </w:p>
        </w:tc>
      </w:tr>
      <w:tr>
        <w:tc>
          <w:tcPr>
            <w:tcW w:type="dxa" w:w="2088"/>
            <w:vAlign w:val="center"/>
          </w:tcPr>
          <w:p>
            <w:r/>
            <w:r>
              <w:rPr>
                <w:rFonts w:ascii="Aptos" w:hAnsi="Aptos"/>
                <w:b w:val="0"/>
                <w:sz w:val="18"/>
              </w:rPr>
              <w:t>Payment record</w:t>
            </w:r>
          </w:p>
        </w:tc>
        <w:tc>
          <w:tcPr>
            <w:tcW w:type="dxa" w:w="3672"/>
            <w:vAlign w:val="center"/>
          </w:tcPr>
          <w:p>
            <w:r/>
            <w:r>
              <w:rPr>
                <w:rFonts w:ascii="Aptos" w:hAnsi="Aptos"/>
                <w:b w:val="0"/>
                <w:sz w:val="18"/>
              </w:rPr>
              <w:t>Cash received = ₹100</w:t>
            </w:r>
          </w:p>
        </w:tc>
        <w:tc>
          <w:tcPr>
            <w:tcW w:type="dxa" w:w="4032"/>
            <w:vAlign w:val="center"/>
          </w:tcPr>
          <w:p>
            <w:r/>
            <w:r>
              <w:rPr>
                <w:rFonts w:ascii="Aptos" w:hAnsi="Aptos"/>
                <w:b w:val="0"/>
                <w:sz w:val="18"/>
              </w:rPr>
              <w:t>Establishes excess paid</w:t>
            </w:r>
          </w:p>
        </w:tc>
      </w:tr>
      <w:tr>
        <w:tc>
          <w:tcPr>
            <w:tcW w:type="dxa" w:w="2088"/>
            <w:vAlign w:val="center"/>
          </w:tcPr>
          <w:p>
            <w:r/>
            <w:r>
              <w:rPr>
                <w:rFonts w:ascii="Aptos" w:hAnsi="Aptos"/>
                <w:b w:val="0"/>
                <w:sz w:val="18"/>
              </w:rPr>
              <w:t>Inventory event</w:t>
            </w:r>
          </w:p>
        </w:tc>
        <w:tc>
          <w:tcPr>
            <w:tcW w:type="dxa" w:w="3672"/>
            <w:vAlign w:val="center"/>
          </w:tcPr>
          <w:p>
            <w:r/>
            <w:r>
              <w:rPr>
                <w:rFonts w:ascii="Aptos" w:hAnsi="Aptos"/>
                <w:b w:val="0"/>
                <w:sz w:val="18"/>
              </w:rPr>
              <w:t>Chocolate SKU leaves stock near transaction time</w:t>
            </w:r>
          </w:p>
        </w:tc>
        <w:tc>
          <w:tcPr>
            <w:tcW w:type="dxa" w:w="4032"/>
            <w:vAlign w:val="center"/>
          </w:tcPr>
          <w:p>
            <w:r/>
            <w:r>
              <w:rPr>
                <w:rFonts w:ascii="Aptos" w:hAnsi="Aptos"/>
                <w:b w:val="0"/>
                <w:sz w:val="18"/>
              </w:rPr>
              <w:t>Candidate non-cash settlement</w:t>
            </w:r>
          </w:p>
        </w:tc>
      </w:tr>
      <w:tr>
        <w:tc>
          <w:tcPr>
            <w:tcW w:type="dxa" w:w="2088"/>
            <w:vAlign w:val="center"/>
          </w:tcPr>
          <w:p>
            <w:r/>
            <w:r>
              <w:rPr>
                <w:rFonts w:ascii="Aptos" w:hAnsi="Aptos"/>
                <w:b w:val="0"/>
                <w:sz w:val="18"/>
              </w:rPr>
              <w:t>Historical behavior</w:t>
            </w:r>
          </w:p>
        </w:tc>
        <w:tc>
          <w:tcPr>
            <w:tcW w:type="dxa" w:w="3672"/>
            <w:vAlign w:val="center"/>
          </w:tcPr>
          <w:p>
            <w:r/>
            <w:r>
              <w:rPr>
                <w:rFonts w:ascii="Aptos" w:hAnsi="Aptos"/>
                <w:b w:val="0"/>
                <w:sz w:val="18"/>
              </w:rPr>
              <w:t>Same cashier frequently uses same SKU in ₹1–₹5 gaps</w:t>
            </w:r>
          </w:p>
        </w:tc>
        <w:tc>
          <w:tcPr>
            <w:tcW w:type="dxa" w:w="4032"/>
            <w:vAlign w:val="center"/>
          </w:tcPr>
          <w:p>
            <w:r/>
            <w:r>
              <w:rPr>
                <w:rFonts w:ascii="Aptos" w:hAnsi="Aptos"/>
                <w:b w:val="0"/>
                <w:sz w:val="18"/>
              </w:rPr>
              <w:t>Raises prior probability</w:t>
            </w:r>
          </w:p>
        </w:tc>
      </w:tr>
      <w:tr>
        <w:tc>
          <w:tcPr>
            <w:tcW w:type="dxa" w:w="2088"/>
            <w:vAlign w:val="center"/>
          </w:tcPr>
          <w:p>
            <w:r/>
            <w:r>
              <w:rPr>
                <w:rFonts w:ascii="Aptos" w:hAnsi="Aptos"/>
                <w:b w:val="0"/>
                <w:sz w:val="18"/>
              </w:rPr>
              <w:t>Constraint</w:t>
            </w:r>
          </w:p>
        </w:tc>
        <w:tc>
          <w:tcPr>
            <w:tcW w:type="dxa" w:w="3672"/>
            <w:vAlign w:val="center"/>
          </w:tcPr>
          <w:p>
            <w:r/>
            <w:r>
              <w:rPr>
                <w:rFonts w:ascii="Aptos" w:hAnsi="Aptos"/>
                <w:b w:val="0"/>
                <w:sz w:val="18"/>
              </w:rPr>
              <w:t>Value gap ≈ retail value of SKU / allowed tolerance</w:t>
            </w:r>
          </w:p>
        </w:tc>
        <w:tc>
          <w:tcPr>
            <w:tcW w:type="dxa" w:w="4032"/>
            <w:vAlign w:val="center"/>
          </w:tcPr>
          <w:p>
            <w:r/>
            <w:r>
              <w:rPr>
                <w:rFonts w:ascii="Aptos" w:hAnsi="Aptos"/>
                <w:b w:val="0"/>
                <w:sz w:val="18"/>
              </w:rPr>
              <w:t>Supports hypothesis</w:t>
            </w:r>
          </w:p>
        </w:tc>
      </w:tr>
      <w:tr>
        <w:tc>
          <w:tcPr>
            <w:tcW w:type="dxa" w:w="2088"/>
            <w:vAlign w:val="center"/>
          </w:tcPr>
          <w:p>
            <w:r/>
            <w:r>
              <w:rPr>
                <w:rFonts w:ascii="Aptos" w:hAnsi="Aptos"/>
                <w:b w:val="0"/>
                <w:sz w:val="18"/>
              </w:rPr>
              <w:t>Decision</w:t>
            </w:r>
          </w:p>
        </w:tc>
        <w:tc>
          <w:tcPr>
            <w:tcW w:type="dxa" w:w="3672"/>
            <w:vAlign w:val="center"/>
          </w:tcPr>
          <w:p>
            <w:r/>
            <w:r>
              <w:rPr>
                <w:rFonts w:ascii="Aptos" w:hAnsi="Aptos"/>
                <w:b w:val="0"/>
                <w:sz w:val="18"/>
              </w:rPr>
              <w:t>High-confidence candidate</w:t>
            </w:r>
          </w:p>
        </w:tc>
        <w:tc>
          <w:tcPr>
            <w:tcW w:type="dxa" w:w="4032"/>
            <w:vAlign w:val="center"/>
          </w:tcPr>
          <w:p>
            <w:r/>
            <w:r>
              <w:rPr>
                <w:rFonts w:ascii="Aptos" w:hAnsi="Aptos"/>
                <w:b w:val="0"/>
                <w:sz w:val="18"/>
              </w:rPr>
              <w:t>Shadow event + audit trail</w:t>
            </w:r>
          </w:p>
        </w:tc>
      </w:tr>
    </w:tbl>
    <w:p/>
    <w:p>
      <w:pPr>
        <w:pStyle w:val="Heading2"/>
      </w:pPr>
      <w:r>
        <w:t>5.1 Why this is not the whole product</w:t>
      </w:r>
    </w:p>
    <w:p>
      <w:r>
        <w:t>The chocolate example is a memorable illustration, not the technical scope. The same engine must handle several classes of latent economic events so the product remains a general finance-ops controller rather than a “change detector.”</w:t>
      </w:r>
    </w:p>
    <w:p>
      <w:pPr>
        <w:pStyle w:val="Heading1"/>
      </w:pPr>
      <w:r>
        <w:t>6. Locked Feature Set</w:t>
      </w:r>
    </w:p>
    <w:tbl>
      <w:tblPr>
        <w:tblStyle w:val="TableGrid"/>
        <w:tblW w:type="auto" w:w="0"/>
        <w:jc w:val="center"/>
        <w:tblLook w:firstColumn="1" w:firstRow="1" w:lastColumn="0" w:lastRow="0" w:noHBand="0" w:noVBand="1" w:val="04A0"/>
      </w:tblPr>
      <w:tblGrid>
        <w:gridCol w:w="3389"/>
        <w:gridCol w:w="3389"/>
        <w:gridCol w:w="3389"/>
      </w:tblGrid>
      <w:tr>
        <w:tc>
          <w:tcPr>
            <w:tcW w:type="dxa" w:w="648"/>
            <w:vAlign w:val="center"/>
            <w:shd w:fill="0F172A"/>
          </w:tcPr>
          <w:p>
            <w:r>
              <w:rPr>
                <w:color w:val="FFFFFF"/>
              </w:rPr>
            </w:r>
            <w:r>
              <w:rPr>
                <w:rFonts w:ascii="Aptos" w:hAnsi="Aptos"/>
                <w:b/>
                <w:color w:val="FFFFFF"/>
                <w:sz w:val="18"/>
              </w:rPr>
              <w:t>ID</w:t>
            </w:r>
          </w:p>
        </w:tc>
        <w:tc>
          <w:tcPr>
            <w:tcW w:type="dxa" w:w="2592"/>
            <w:vAlign w:val="center"/>
            <w:shd w:fill="0F172A"/>
          </w:tcPr>
          <w:p>
            <w:r>
              <w:rPr>
                <w:color w:val="FFFFFF"/>
              </w:rPr>
            </w:r>
            <w:r>
              <w:rPr>
                <w:rFonts w:ascii="Aptos" w:hAnsi="Aptos"/>
                <w:b/>
                <w:color w:val="FFFFFF"/>
                <w:sz w:val="18"/>
              </w:rPr>
              <w:t>Feature</w:t>
            </w:r>
          </w:p>
        </w:tc>
        <w:tc>
          <w:tcPr>
            <w:tcW w:type="dxa" w:w="6552"/>
            <w:vAlign w:val="center"/>
            <w:shd w:fill="0F172A"/>
          </w:tcPr>
          <w:p>
            <w:r>
              <w:rPr>
                <w:color w:val="FFFFFF"/>
              </w:rPr>
            </w:r>
            <w:r>
              <w:rPr>
                <w:rFonts w:ascii="Aptos" w:hAnsi="Aptos"/>
                <w:b/>
                <w:color w:val="FFFFFF"/>
                <w:sz w:val="18"/>
              </w:rPr>
              <w:t>Locked scope</w:t>
            </w:r>
          </w:p>
        </w:tc>
      </w:tr>
      <w:tr>
        <w:tc>
          <w:tcPr>
            <w:tcW w:type="dxa" w:w="648"/>
            <w:vAlign w:val="center"/>
          </w:tcPr>
          <w:p>
            <w:r/>
            <w:r>
              <w:rPr>
                <w:rFonts w:ascii="Aptos" w:hAnsi="Aptos"/>
                <w:b w:val="0"/>
                <w:sz w:val="18"/>
              </w:rPr>
              <w:t>F1</w:t>
            </w:r>
          </w:p>
        </w:tc>
        <w:tc>
          <w:tcPr>
            <w:tcW w:type="dxa" w:w="2592"/>
            <w:vAlign w:val="center"/>
          </w:tcPr>
          <w:p>
            <w:r/>
            <w:r>
              <w:rPr>
                <w:rFonts w:ascii="Aptos" w:hAnsi="Aptos"/>
                <w:b w:val="0"/>
                <w:sz w:val="18"/>
              </w:rPr>
              <w:t>Multi-source ingestion</w:t>
            </w:r>
          </w:p>
        </w:tc>
        <w:tc>
          <w:tcPr>
            <w:tcW w:type="dxa" w:w="6552"/>
            <w:vAlign w:val="center"/>
          </w:tcPr>
          <w:p>
            <w:r/>
            <w:r>
              <w:rPr>
                <w:rFonts w:ascii="Aptos" w:hAnsi="Aptos"/>
                <w:b w:val="0"/>
                <w:sz w:val="18"/>
              </w:rPr>
              <w:t>CSV/JSON synthetic exports for payments, orders, settlements, bank entries, inventory, refunds, credits and adjustments.</w:t>
            </w:r>
          </w:p>
        </w:tc>
      </w:tr>
      <w:tr>
        <w:tc>
          <w:tcPr>
            <w:tcW w:type="dxa" w:w="648"/>
            <w:vAlign w:val="center"/>
          </w:tcPr>
          <w:p>
            <w:r/>
            <w:r>
              <w:rPr>
                <w:rFonts w:ascii="Aptos" w:hAnsi="Aptos"/>
                <w:b w:val="0"/>
                <w:sz w:val="18"/>
              </w:rPr>
              <w:t>F2</w:t>
            </w:r>
          </w:p>
        </w:tc>
        <w:tc>
          <w:tcPr>
            <w:tcW w:type="dxa" w:w="2592"/>
            <w:vAlign w:val="center"/>
          </w:tcPr>
          <w:p>
            <w:r/>
            <w:r>
              <w:rPr>
                <w:rFonts w:ascii="Aptos" w:hAnsi="Aptos"/>
                <w:b w:val="0"/>
                <w:sz w:val="18"/>
              </w:rPr>
              <w:t>Canonical event schema</w:t>
            </w:r>
          </w:p>
        </w:tc>
        <w:tc>
          <w:tcPr>
            <w:tcW w:type="dxa" w:w="6552"/>
            <w:vAlign w:val="center"/>
          </w:tcPr>
          <w:p>
            <w:r/>
            <w:r>
              <w:rPr>
                <w:rFonts w:ascii="Aptos" w:hAnsi="Aptos"/>
                <w:b w:val="0"/>
                <w:sz w:val="18"/>
              </w:rPr>
              <w:t>Normalize IDs, amounts, currencies, entity IDs, timestamps, event types and source provenance.</w:t>
            </w:r>
          </w:p>
        </w:tc>
      </w:tr>
      <w:tr>
        <w:tc>
          <w:tcPr>
            <w:tcW w:type="dxa" w:w="648"/>
            <w:vAlign w:val="center"/>
          </w:tcPr>
          <w:p>
            <w:r/>
            <w:r>
              <w:rPr>
                <w:rFonts w:ascii="Aptos" w:hAnsi="Aptos"/>
                <w:b w:val="0"/>
                <w:sz w:val="18"/>
              </w:rPr>
              <w:t>F3</w:t>
            </w:r>
          </w:p>
        </w:tc>
        <w:tc>
          <w:tcPr>
            <w:tcW w:type="dxa" w:w="2592"/>
            <w:vAlign w:val="center"/>
          </w:tcPr>
          <w:p>
            <w:r/>
            <w:r>
              <w:rPr>
                <w:rFonts w:ascii="Aptos" w:hAnsi="Aptos"/>
                <w:b w:val="0"/>
                <w:sz w:val="18"/>
              </w:rPr>
              <w:t>Value-Flow Graph</w:t>
            </w:r>
          </w:p>
        </w:tc>
        <w:tc>
          <w:tcPr>
            <w:tcW w:type="dxa" w:w="6552"/>
            <w:vAlign w:val="center"/>
          </w:tcPr>
          <w:p>
            <w:r/>
            <w:r>
              <w:rPr>
                <w:rFonts w:ascii="Aptos" w:hAnsi="Aptos"/>
                <w:b w:val="0"/>
                <w:sz w:val="18"/>
              </w:rPr>
              <w:t>Represent event nodes and value-flow edges across money, inventory and obligations.</w:t>
            </w:r>
          </w:p>
        </w:tc>
      </w:tr>
      <w:tr>
        <w:tc>
          <w:tcPr>
            <w:tcW w:type="dxa" w:w="648"/>
            <w:vAlign w:val="center"/>
          </w:tcPr>
          <w:p>
            <w:r/>
            <w:r>
              <w:rPr>
                <w:rFonts w:ascii="Aptos" w:hAnsi="Aptos"/>
                <w:b w:val="0"/>
                <w:sz w:val="18"/>
              </w:rPr>
              <w:t>F4</w:t>
            </w:r>
          </w:p>
        </w:tc>
        <w:tc>
          <w:tcPr>
            <w:tcW w:type="dxa" w:w="2592"/>
            <w:vAlign w:val="center"/>
          </w:tcPr>
          <w:p>
            <w:r/>
            <w:r>
              <w:rPr>
                <w:rFonts w:ascii="Aptos" w:hAnsi="Aptos"/>
                <w:b w:val="0"/>
                <w:sz w:val="18"/>
              </w:rPr>
              <w:t>Deterministic reconciliation layer</w:t>
            </w:r>
          </w:p>
        </w:tc>
        <w:tc>
          <w:tcPr>
            <w:tcW w:type="dxa" w:w="6552"/>
            <w:vAlign w:val="center"/>
          </w:tcPr>
          <w:p>
            <w:r/>
            <w:r>
              <w:rPr>
                <w:rFonts w:ascii="Aptos" w:hAnsi="Aptos"/>
                <w:b w:val="0"/>
                <w:sz w:val="18"/>
              </w:rPr>
              <w:t>Exact / tolerance / time-window / known-fee matching before AI involvement.</w:t>
            </w:r>
          </w:p>
        </w:tc>
      </w:tr>
      <w:tr>
        <w:tc>
          <w:tcPr>
            <w:tcW w:type="dxa" w:w="648"/>
            <w:vAlign w:val="center"/>
          </w:tcPr>
          <w:p>
            <w:r/>
            <w:r>
              <w:rPr>
                <w:rFonts w:ascii="Aptos" w:hAnsi="Aptos"/>
                <w:b w:val="0"/>
                <w:sz w:val="18"/>
              </w:rPr>
              <w:t>F5</w:t>
            </w:r>
          </w:p>
        </w:tc>
        <w:tc>
          <w:tcPr>
            <w:tcW w:type="dxa" w:w="2592"/>
            <w:vAlign w:val="center"/>
          </w:tcPr>
          <w:p>
            <w:r/>
            <w:r>
              <w:rPr>
                <w:rFonts w:ascii="Aptos" w:hAnsi="Aptos"/>
                <w:b w:val="0"/>
                <w:sz w:val="18"/>
              </w:rPr>
              <w:t>Constraint violation detector</w:t>
            </w:r>
          </w:p>
        </w:tc>
        <w:tc>
          <w:tcPr>
            <w:tcW w:type="dxa" w:w="6552"/>
            <w:vAlign w:val="center"/>
          </w:tcPr>
          <w:p>
            <w:r/>
            <w:r>
              <w:rPr>
                <w:rFonts w:ascii="Aptos" w:hAnsi="Aptos"/>
                <w:b w:val="0"/>
                <w:sz w:val="18"/>
              </w:rPr>
              <w:t>Find amount, timing, duplication and cross-source inconsistencies.</w:t>
            </w:r>
          </w:p>
        </w:tc>
      </w:tr>
      <w:tr>
        <w:tc>
          <w:tcPr>
            <w:tcW w:type="dxa" w:w="648"/>
            <w:vAlign w:val="center"/>
          </w:tcPr>
          <w:p>
            <w:r/>
            <w:r>
              <w:rPr>
                <w:rFonts w:ascii="Aptos" w:hAnsi="Aptos"/>
                <w:b w:val="0"/>
                <w:sz w:val="18"/>
              </w:rPr>
              <w:t>F6</w:t>
            </w:r>
          </w:p>
        </w:tc>
        <w:tc>
          <w:tcPr>
            <w:tcW w:type="dxa" w:w="2592"/>
            <w:vAlign w:val="center"/>
          </w:tcPr>
          <w:p>
            <w:r/>
            <w:r>
              <w:rPr>
                <w:rFonts w:ascii="Aptos" w:hAnsi="Aptos"/>
                <w:b w:val="0"/>
                <w:sz w:val="18"/>
              </w:rPr>
              <w:t>Shadow-event hypothesis engine</w:t>
            </w:r>
          </w:p>
        </w:tc>
        <w:tc>
          <w:tcPr>
            <w:tcW w:type="dxa" w:w="6552"/>
            <w:vAlign w:val="center"/>
          </w:tcPr>
          <w:p>
            <w:r/>
            <w:r>
              <w:rPr>
                <w:rFonts w:ascii="Aptos" w:hAnsi="Aptos"/>
                <w:b w:val="0"/>
                <w:sz w:val="18"/>
              </w:rPr>
              <w:t>Generate candidate hidden events such as non-cash settlement, partial refund, credit carryover, adjustment or missing record.</w:t>
            </w:r>
          </w:p>
        </w:tc>
      </w:tr>
      <w:tr>
        <w:tc>
          <w:tcPr>
            <w:tcW w:type="dxa" w:w="648"/>
            <w:vAlign w:val="center"/>
          </w:tcPr>
          <w:p>
            <w:r/>
            <w:r>
              <w:rPr>
                <w:rFonts w:ascii="Aptos" w:hAnsi="Aptos"/>
                <w:b w:val="0"/>
                <w:sz w:val="18"/>
              </w:rPr>
              <w:t>F7</w:t>
            </w:r>
          </w:p>
        </w:tc>
        <w:tc>
          <w:tcPr>
            <w:tcW w:type="dxa" w:w="2592"/>
            <w:vAlign w:val="center"/>
          </w:tcPr>
          <w:p>
            <w:r/>
            <w:r>
              <w:rPr>
                <w:rFonts w:ascii="Aptos" w:hAnsi="Aptos"/>
                <w:b w:val="0"/>
                <w:sz w:val="18"/>
              </w:rPr>
              <w:t>Global explanation scorer</w:t>
            </w:r>
          </w:p>
        </w:tc>
        <w:tc>
          <w:tcPr>
            <w:tcW w:type="dxa" w:w="6552"/>
            <w:vAlign w:val="center"/>
          </w:tcPr>
          <w:p>
            <w:r/>
            <w:r>
              <w:rPr>
                <w:rFonts w:ascii="Aptos" w:hAnsi="Aptos"/>
                <w:b w:val="0"/>
                <w:sz w:val="18"/>
              </w:rPr>
              <w:t>Score hypotheses on evidence coverage, constraint satisfaction, assumptions, financial materiality and consistency with historical patterns.</w:t>
            </w:r>
          </w:p>
        </w:tc>
      </w:tr>
      <w:tr>
        <w:tc>
          <w:tcPr>
            <w:tcW w:type="dxa" w:w="648"/>
            <w:vAlign w:val="center"/>
          </w:tcPr>
          <w:p>
            <w:r/>
            <w:r>
              <w:rPr>
                <w:rFonts w:ascii="Aptos" w:hAnsi="Aptos"/>
                <w:b w:val="0"/>
                <w:sz w:val="18"/>
              </w:rPr>
              <w:t>F8</w:t>
            </w:r>
          </w:p>
        </w:tc>
        <w:tc>
          <w:tcPr>
            <w:tcW w:type="dxa" w:w="2592"/>
            <w:vAlign w:val="center"/>
          </w:tcPr>
          <w:p>
            <w:r/>
            <w:r>
              <w:rPr>
                <w:rFonts w:ascii="Aptos" w:hAnsi="Aptos"/>
                <w:b w:val="0"/>
                <w:sz w:val="18"/>
              </w:rPr>
              <w:t>Confidence gate</w:t>
            </w:r>
          </w:p>
        </w:tc>
        <w:tc>
          <w:tcPr>
            <w:tcW w:type="dxa" w:w="6552"/>
            <w:vAlign w:val="center"/>
          </w:tcPr>
          <w:p>
            <w:r/>
            <w:r>
              <w:rPr>
                <w:rFonts w:ascii="Aptos" w:hAnsi="Aptos"/>
                <w:b w:val="0"/>
                <w:sz w:val="18"/>
              </w:rPr>
              <w:t>Auto-resolve only above configured threshold and policy checks; route ambiguous cases to review.</w:t>
            </w:r>
          </w:p>
        </w:tc>
      </w:tr>
      <w:tr>
        <w:tc>
          <w:tcPr>
            <w:tcW w:type="dxa" w:w="648"/>
            <w:vAlign w:val="center"/>
          </w:tcPr>
          <w:p>
            <w:r/>
            <w:r>
              <w:rPr>
                <w:rFonts w:ascii="Aptos" w:hAnsi="Aptos"/>
                <w:b w:val="0"/>
                <w:sz w:val="18"/>
              </w:rPr>
              <w:t>F9</w:t>
            </w:r>
          </w:p>
        </w:tc>
        <w:tc>
          <w:tcPr>
            <w:tcW w:type="dxa" w:w="2592"/>
            <w:vAlign w:val="center"/>
          </w:tcPr>
          <w:p>
            <w:r/>
            <w:r>
              <w:rPr>
                <w:rFonts w:ascii="Aptos" w:hAnsi="Aptos"/>
                <w:b w:val="0"/>
                <w:sz w:val="18"/>
              </w:rPr>
              <w:t>Evidence-backed explanation</w:t>
            </w:r>
          </w:p>
        </w:tc>
        <w:tc>
          <w:tcPr>
            <w:tcW w:type="dxa" w:w="6552"/>
            <w:vAlign w:val="center"/>
          </w:tcPr>
          <w:p>
            <w:r/>
            <w:r>
              <w:rPr>
                <w:rFonts w:ascii="Aptos" w:hAnsi="Aptos"/>
                <w:b w:val="0"/>
                <w:sz w:val="18"/>
              </w:rPr>
              <w:t>Show exactly which records support the inference and which contradictions remain.</w:t>
            </w:r>
          </w:p>
        </w:tc>
      </w:tr>
      <w:tr>
        <w:tc>
          <w:tcPr>
            <w:tcW w:type="dxa" w:w="648"/>
            <w:vAlign w:val="center"/>
          </w:tcPr>
          <w:p>
            <w:r/>
            <w:r>
              <w:rPr>
                <w:rFonts w:ascii="Aptos" w:hAnsi="Aptos"/>
                <w:b w:val="0"/>
                <w:sz w:val="18"/>
              </w:rPr>
              <w:t>F10</w:t>
            </w:r>
          </w:p>
        </w:tc>
        <w:tc>
          <w:tcPr>
            <w:tcW w:type="dxa" w:w="2592"/>
            <w:vAlign w:val="center"/>
          </w:tcPr>
          <w:p>
            <w:r/>
            <w:r>
              <w:rPr>
                <w:rFonts w:ascii="Aptos" w:hAnsi="Aptos"/>
                <w:b w:val="0"/>
                <w:sz w:val="18"/>
              </w:rPr>
              <w:t>Micro-leakage detector</w:t>
            </w:r>
          </w:p>
        </w:tc>
        <w:tc>
          <w:tcPr>
            <w:tcW w:type="dxa" w:w="6552"/>
            <w:vAlign w:val="center"/>
          </w:tcPr>
          <w:p>
            <w:r/>
            <w:r>
              <w:rPr>
                <w:rFonts w:ascii="Aptos" w:hAnsi="Aptos"/>
                <w:b w:val="0"/>
                <w:sz w:val="18"/>
              </w:rPr>
              <w:t>Aggregate tiny discrepancies into monetary leakage by merchant/operator/time/product pattern.</w:t>
            </w:r>
          </w:p>
        </w:tc>
      </w:tr>
      <w:tr>
        <w:tc>
          <w:tcPr>
            <w:tcW w:type="dxa" w:w="648"/>
            <w:vAlign w:val="center"/>
          </w:tcPr>
          <w:p>
            <w:r/>
            <w:r>
              <w:rPr>
                <w:rFonts w:ascii="Aptos" w:hAnsi="Aptos"/>
                <w:b w:val="0"/>
                <w:sz w:val="18"/>
              </w:rPr>
              <w:t>F11</w:t>
            </w:r>
          </w:p>
        </w:tc>
        <w:tc>
          <w:tcPr>
            <w:tcW w:type="dxa" w:w="2592"/>
            <w:vAlign w:val="center"/>
          </w:tcPr>
          <w:p>
            <w:r/>
            <w:r>
              <w:rPr>
                <w:rFonts w:ascii="Aptos" w:hAnsi="Aptos"/>
                <w:b w:val="0"/>
                <w:sz w:val="18"/>
              </w:rPr>
              <w:t>Pattern clustering / root cause</w:t>
            </w:r>
          </w:p>
        </w:tc>
        <w:tc>
          <w:tcPr>
            <w:tcW w:type="dxa" w:w="6552"/>
            <w:vAlign w:val="center"/>
          </w:tcPr>
          <w:p>
            <w:r/>
            <w:r>
              <w:rPr>
                <w:rFonts w:ascii="Aptos" w:hAnsi="Aptos"/>
                <w:b w:val="0"/>
                <w:sz w:val="18"/>
              </w:rPr>
              <w:t>Collapse many exceptions into a smaller number of recurring operational causes.</w:t>
            </w:r>
          </w:p>
        </w:tc>
      </w:tr>
      <w:tr>
        <w:tc>
          <w:tcPr>
            <w:tcW w:type="dxa" w:w="648"/>
            <w:vAlign w:val="center"/>
          </w:tcPr>
          <w:p>
            <w:r/>
            <w:r>
              <w:rPr>
                <w:rFonts w:ascii="Aptos" w:hAnsi="Aptos"/>
                <w:b w:val="0"/>
                <w:sz w:val="18"/>
              </w:rPr>
              <w:t>F12</w:t>
            </w:r>
          </w:p>
        </w:tc>
        <w:tc>
          <w:tcPr>
            <w:tcW w:type="dxa" w:w="2592"/>
            <w:vAlign w:val="center"/>
          </w:tcPr>
          <w:p>
            <w:r/>
            <w:r>
              <w:rPr>
                <w:rFonts w:ascii="Aptos" w:hAnsi="Aptos"/>
                <w:b w:val="0"/>
                <w:sz w:val="18"/>
              </w:rPr>
              <w:t>Priority queue</w:t>
            </w:r>
          </w:p>
        </w:tc>
        <w:tc>
          <w:tcPr>
            <w:tcW w:type="dxa" w:w="6552"/>
            <w:vAlign w:val="center"/>
          </w:tcPr>
          <w:p>
            <w:r/>
            <w:r>
              <w:rPr>
                <w:rFonts w:ascii="Aptos" w:hAnsi="Aptos"/>
                <w:b w:val="0"/>
                <w:sz w:val="18"/>
              </w:rPr>
              <w:t>Rank unresolved cases by amount at risk, confidence, recurrence and business impact.</w:t>
            </w:r>
          </w:p>
        </w:tc>
      </w:tr>
      <w:tr>
        <w:tc>
          <w:tcPr>
            <w:tcW w:type="dxa" w:w="648"/>
            <w:vAlign w:val="center"/>
          </w:tcPr>
          <w:p>
            <w:r/>
            <w:r>
              <w:rPr>
                <w:rFonts w:ascii="Aptos" w:hAnsi="Aptos"/>
                <w:b w:val="0"/>
                <w:sz w:val="18"/>
              </w:rPr>
              <w:t>F13</w:t>
            </w:r>
          </w:p>
        </w:tc>
        <w:tc>
          <w:tcPr>
            <w:tcW w:type="dxa" w:w="2592"/>
            <w:vAlign w:val="center"/>
          </w:tcPr>
          <w:p>
            <w:r/>
            <w:r>
              <w:rPr>
                <w:rFonts w:ascii="Aptos" w:hAnsi="Aptos"/>
                <w:b w:val="0"/>
                <w:sz w:val="18"/>
              </w:rPr>
              <w:t>Shadow Ledger view</w:t>
            </w:r>
          </w:p>
        </w:tc>
        <w:tc>
          <w:tcPr>
            <w:tcW w:type="dxa" w:w="6552"/>
            <w:vAlign w:val="center"/>
          </w:tcPr>
          <w:p>
            <w:r/>
            <w:r>
              <w:rPr>
                <w:rFonts w:ascii="Aptos" w:hAnsi="Aptos"/>
                <w:b w:val="0"/>
                <w:sz w:val="18"/>
              </w:rPr>
              <w:t>Display official recorded value vs inferred economic value, with uncertainty.</w:t>
            </w:r>
          </w:p>
        </w:tc>
      </w:tr>
      <w:tr>
        <w:tc>
          <w:tcPr>
            <w:tcW w:type="dxa" w:w="648"/>
            <w:vAlign w:val="center"/>
          </w:tcPr>
          <w:p>
            <w:r/>
            <w:r>
              <w:rPr>
                <w:rFonts w:ascii="Aptos" w:hAnsi="Aptos"/>
                <w:b w:val="0"/>
                <w:sz w:val="18"/>
              </w:rPr>
              <w:t>F14</w:t>
            </w:r>
          </w:p>
        </w:tc>
        <w:tc>
          <w:tcPr>
            <w:tcW w:type="dxa" w:w="2592"/>
            <w:vAlign w:val="center"/>
          </w:tcPr>
          <w:p>
            <w:r/>
            <w:r>
              <w:rPr>
                <w:rFonts w:ascii="Aptos" w:hAnsi="Aptos"/>
                <w:b w:val="0"/>
                <w:sz w:val="18"/>
              </w:rPr>
              <w:t>Audit trail</w:t>
            </w:r>
          </w:p>
        </w:tc>
        <w:tc>
          <w:tcPr>
            <w:tcW w:type="dxa" w:w="6552"/>
            <w:vAlign w:val="center"/>
          </w:tcPr>
          <w:p>
            <w:r/>
            <w:r>
              <w:rPr>
                <w:rFonts w:ascii="Aptos" w:hAnsi="Aptos"/>
                <w:b w:val="0"/>
                <w:sz w:val="18"/>
              </w:rPr>
              <w:t>Immutable-style decision log for input IDs, rules/model version, evidence, confidence and final disposition.</w:t>
            </w:r>
          </w:p>
        </w:tc>
      </w:tr>
      <w:tr>
        <w:tc>
          <w:tcPr>
            <w:tcW w:type="dxa" w:w="648"/>
            <w:vAlign w:val="center"/>
          </w:tcPr>
          <w:p>
            <w:r/>
            <w:r>
              <w:rPr>
                <w:rFonts w:ascii="Aptos" w:hAnsi="Aptos"/>
                <w:b w:val="0"/>
                <w:sz w:val="18"/>
              </w:rPr>
              <w:t>F15</w:t>
            </w:r>
          </w:p>
        </w:tc>
        <w:tc>
          <w:tcPr>
            <w:tcW w:type="dxa" w:w="2592"/>
            <w:vAlign w:val="center"/>
          </w:tcPr>
          <w:p>
            <w:r/>
            <w:r>
              <w:rPr>
                <w:rFonts w:ascii="Aptos" w:hAnsi="Aptos"/>
                <w:b w:val="0"/>
                <w:sz w:val="18"/>
              </w:rPr>
              <w:t>Evaluation harness</w:t>
            </w:r>
          </w:p>
        </w:tc>
        <w:tc>
          <w:tcPr>
            <w:tcW w:type="dxa" w:w="6552"/>
            <w:vAlign w:val="center"/>
          </w:tcPr>
          <w:p>
            <w:r/>
            <w:r>
              <w:rPr>
                <w:rFonts w:ascii="Aptos" w:hAnsi="Aptos"/>
                <w:b w:val="0"/>
                <w:sz w:val="18"/>
              </w:rPr>
              <w:t>Held-out ground truth with precision, recall, coverage, false resolution cost and throughput.</w:t>
            </w:r>
          </w:p>
        </w:tc>
      </w:tr>
    </w:tbl>
    <w:p/>
    <w:p>
      <w:pPr>
        <w:pStyle w:val="Heading1"/>
      </w:pPr>
      <w:r>
        <w:t>7. Explicit Non-Goals (to protect the 56-hour build)</w:t>
      </w:r>
    </w:p>
    <w:p>
      <w:pPr>
        <w:pStyle w:val="ListBullet"/>
        <w:spacing w:after="40"/>
      </w:pPr>
      <w:r>
        <w:t>No production bank integrations or real customer data.</w:t>
      </w:r>
    </w:p>
    <w:p>
      <w:pPr>
        <w:pStyle w:val="ListBullet"/>
        <w:spacing w:after="40"/>
      </w:pPr>
      <w:r>
        <w:t>No accusation engine that labels a human as fraudulent from weak evidence.</w:t>
      </w:r>
    </w:p>
    <w:p>
      <w:pPr>
        <w:pStyle w:val="ListBullet"/>
        <w:spacing w:after="40"/>
      </w:pPr>
      <w:r>
        <w:t>No autonomous money movement or real-world financial action.</w:t>
      </w:r>
    </w:p>
    <w:p>
      <w:pPr>
        <w:pStyle w:val="ListBullet"/>
        <w:spacing w:after="40"/>
      </w:pPr>
      <w:r>
        <w:t>No multi-agent swarm.</w:t>
      </w:r>
    </w:p>
    <w:p>
      <w:pPr>
        <w:pStyle w:val="ListBullet"/>
        <w:spacing w:after="40"/>
      </w:pPr>
      <w:r>
        <w:t>No fine-tuning.</w:t>
      </w:r>
    </w:p>
    <w:p>
      <w:pPr>
        <w:pStyle w:val="ListBullet"/>
        <w:spacing w:after="40"/>
      </w:pPr>
      <w:r>
        <w:t>No voice assistant, mobile app or elaborate ERP replacement.</w:t>
      </w:r>
    </w:p>
    <w:p>
      <w:pPr>
        <w:pStyle w:val="ListBullet"/>
        <w:spacing w:after="40"/>
      </w:pPr>
      <w:r>
        <w:t>No attempt to infer private facts that are not represented in the available data.</w:t>
      </w:r>
    </w:p>
    <w:p>
      <w:pPr>
        <w:pStyle w:val="ListBullet"/>
        <w:spacing w:after="40"/>
      </w:pPr>
      <w:r>
        <w:t>No claim that inferred events are facts; all shadow events remain uncertainty-aware.</w:t>
      </w:r>
    </w:p>
    <w:p>
      <w:pPr>
        <w:pStyle w:val="Heading1"/>
      </w:pPr>
      <w:r>
        <w:t>8. End-to-End Architecture</w:t>
      </w:r>
    </w:p>
    <w:p>
      <w:r>
        <w:t>The architecture is deliberately hybrid. Deterministic code handles accounting-style rules. Statistical/ML components handle pattern detection. An LLM is constrained to semantic interpretation and explanation. This makes the system explainable and shows good AI judgment.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0F172A"/>
          </w:tcPr>
          <w:p>
            <w:r>
              <w:rPr>
                <w:color w:val="FFFFFF"/>
              </w:rPr>
            </w:r>
            <w:r>
              <w:rPr>
                <w:rFonts w:ascii="Aptos" w:hAnsi="Aptos"/>
                <w:b/>
                <w:color w:val="FFFFFF"/>
                <w:sz w:val="18"/>
              </w:rPr>
              <w:t>Layer</w:t>
            </w:r>
          </w:p>
        </w:tc>
        <w:tc>
          <w:tcPr>
            <w:tcW w:type="dxa" w:w="4608"/>
            <w:vAlign w:val="center"/>
            <w:shd w:fill="0F172A"/>
          </w:tcPr>
          <w:p>
            <w:r>
              <w:rPr>
                <w:color w:val="FFFFFF"/>
              </w:rPr>
            </w:r>
            <w:r>
              <w:rPr>
                <w:rFonts w:ascii="Aptos" w:hAnsi="Aptos"/>
                <w:b/>
                <w:color w:val="FFFFFF"/>
                <w:sz w:val="18"/>
              </w:rPr>
              <w:t>Responsibility</w:t>
            </w:r>
          </w:p>
        </w:tc>
        <w:tc>
          <w:tcPr>
            <w:tcW w:type="dxa" w:w="3240"/>
            <w:vAlign w:val="center"/>
            <w:shd w:fill="0F172A"/>
          </w:tcPr>
          <w:p>
            <w:r>
              <w:rPr>
                <w:color w:val="FFFFFF"/>
              </w:rPr>
            </w:r>
            <w:r>
              <w:rPr>
                <w:rFonts w:ascii="Aptos" w:hAnsi="Aptos"/>
                <w:b/>
                <w:color w:val="FFFFFF"/>
                <w:sz w:val="18"/>
              </w:rPr>
              <w:t>Output</w:t>
            </w:r>
          </w:p>
        </w:tc>
      </w:tr>
      <w:tr>
        <w:tc>
          <w:tcPr>
            <w:tcW w:type="dxa" w:w="1944"/>
            <w:vAlign w:val="center"/>
          </w:tcPr>
          <w:p>
            <w:r/>
            <w:r>
              <w:rPr>
                <w:rFonts w:ascii="Aptos" w:hAnsi="Aptos"/>
                <w:b w:val="0"/>
                <w:sz w:val="18"/>
              </w:rPr>
              <w:t>1. Data layer</w:t>
            </w:r>
          </w:p>
        </w:tc>
        <w:tc>
          <w:tcPr>
            <w:tcW w:type="dxa" w:w="4608"/>
            <w:vAlign w:val="center"/>
          </w:tcPr>
          <w:p>
            <w:r/>
            <w:r>
              <w:rPr>
                <w:rFonts w:ascii="Aptos" w:hAnsi="Aptos"/>
                <w:b w:val="0"/>
                <w:sz w:val="18"/>
              </w:rPr>
              <w:t>Synthetic event generators and source adapters.</w:t>
            </w:r>
          </w:p>
        </w:tc>
        <w:tc>
          <w:tcPr>
            <w:tcW w:type="dxa" w:w="3240"/>
            <w:vAlign w:val="center"/>
          </w:tcPr>
          <w:p>
            <w:r/>
            <w:r>
              <w:rPr>
                <w:rFonts w:ascii="Aptos" w:hAnsi="Aptos"/>
                <w:b w:val="0"/>
                <w:sz w:val="18"/>
              </w:rPr>
              <w:t>CSV/JSON → canonical events</w:t>
            </w:r>
          </w:p>
        </w:tc>
      </w:tr>
      <w:tr>
        <w:tc>
          <w:tcPr>
            <w:tcW w:type="dxa" w:w="1944"/>
            <w:vAlign w:val="center"/>
          </w:tcPr>
          <w:p>
            <w:r/>
            <w:r>
              <w:rPr>
                <w:rFonts w:ascii="Aptos" w:hAnsi="Aptos"/>
                <w:b w:val="0"/>
                <w:sz w:val="18"/>
              </w:rPr>
              <w:t>2. Canonical model</w:t>
            </w:r>
          </w:p>
        </w:tc>
        <w:tc>
          <w:tcPr>
            <w:tcW w:type="dxa" w:w="4608"/>
            <w:vAlign w:val="center"/>
          </w:tcPr>
          <w:p>
            <w:r/>
            <w:r>
              <w:rPr>
                <w:rFonts w:ascii="Aptos" w:hAnsi="Aptos"/>
                <w:b w:val="0"/>
                <w:sz w:val="18"/>
              </w:rPr>
              <w:t>Typed event and entity schema.</w:t>
            </w:r>
          </w:p>
        </w:tc>
        <w:tc>
          <w:tcPr>
            <w:tcW w:type="dxa" w:w="3240"/>
            <w:vAlign w:val="center"/>
          </w:tcPr>
          <w:p>
            <w:r/>
            <w:r>
              <w:rPr>
                <w:rFonts w:ascii="Aptos" w:hAnsi="Aptos"/>
                <w:b w:val="0"/>
                <w:sz w:val="18"/>
              </w:rPr>
              <w:t>Order, payment, refund, settlement, inventory, credit, adjustment</w:t>
            </w:r>
          </w:p>
        </w:tc>
      </w:tr>
      <w:tr>
        <w:tc>
          <w:tcPr>
            <w:tcW w:type="dxa" w:w="1944"/>
            <w:vAlign w:val="center"/>
          </w:tcPr>
          <w:p>
            <w:r/>
            <w:r>
              <w:rPr>
                <w:rFonts w:ascii="Aptos" w:hAnsi="Aptos"/>
                <w:b w:val="0"/>
                <w:sz w:val="18"/>
              </w:rPr>
              <w:t>3. Reconciliation core</w:t>
            </w:r>
          </w:p>
        </w:tc>
        <w:tc>
          <w:tcPr>
            <w:tcW w:type="dxa" w:w="4608"/>
            <w:vAlign w:val="center"/>
          </w:tcPr>
          <w:p>
            <w:r/>
            <w:r>
              <w:rPr>
                <w:rFonts w:ascii="Aptos" w:hAnsi="Aptos"/>
                <w:b w:val="0"/>
                <w:sz w:val="18"/>
              </w:rPr>
              <w:t>Rule-based matching and known fee/settlement logic.</w:t>
            </w:r>
          </w:p>
        </w:tc>
        <w:tc>
          <w:tcPr>
            <w:tcW w:type="dxa" w:w="3240"/>
            <w:vAlign w:val="center"/>
          </w:tcPr>
          <w:p>
            <w:r/>
            <w:r>
              <w:rPr>
                <w:rFonts w:ascii="Aptos" w:hAnsi="Aptos"/>
                <w:b w:val="0"/>
                <w:sz w:val="18"/>
              </w:rPr>
              <w:t>Match candidates + residuals</w:t>
            </w:r>
          </w:p>
        </w:tc>
      </w:tr>
      <w:tr>
        <w:tc>
          <w:tcPr>
            <w:tcW w:type="dxa" w:w="1944"/>
            <w:vAlign w:val="center"/>
          </w:tcPr>
          <w:p>
            <w:r/>
            <w:r>
              <w:rPr>
                <w:rFonts w:ascii="Aptos" w:hAnsi="Aptos"/>
                <w:b w:val="0"/>
                <w:sz w:val="18"/>
              </w:rPr>
              <w:t>4. Value-flow graph</w:t>
            </w:r>
          </w:p>
        </w:tc>
        <w:tc>
          <w:tcPr>
            <w:tcW w:type="dxa" w:w="4608"/>
            <w:vAlign w:val="center"/>
          </w:tcPr>
          <w:p>
            <w:r/>
            <w:r>
              <w:rPr>
                <w:rFonts w:ascii="Aptos" w:hAnsi="Aptos"/>
                <w:b w:val="0"/>
                <w:sz w:val="18"/>
              </w:rPr>
              <w:t>Links events through entities, time and value.</w:t>
            </w:r>
          </w:p>
        </w:tc>
        <w:tc>
          <w:tcPr>
            <w:tcW w:type="dxa" w:w="3240"/>
            <w:vAlign w:val="center"/>
          </w:tcPr>
          <w:p>
            <w:r/>
            <w:r>
              <w:rPr>
                <w:rFonts w:ascii="Aptos" w:hAnsi="Aptos"/>
                <w:b w:val="0"/>
                <w:sz w:val="18"/>
              </w:rPr>
              <w:t>Graph of economic history</w:t>
            </w:r>
          </w:p>
        </w:tc>
      </w:tr>
      <w:tr>
        <w:tc>
          <w:tcPr>
            <w:tcW w:type="dxa" w:w="1944"/>
            <w:vAlign w:val="center"/>
          </w:tcPr>
          <w:p>
            <w:r/>
            <w:r>
              <w:rPr>
                <w:rFonts w:ascii="Aptos" w:hAnsi="Aptos"/>
                <w:b w:val="0"/>
                <w:sz w:val="18"/>
              </w:rPr>
              <w:t>5. Constraint engine</w:t>
            </w:r>
          </w:p>
        </w:tc>
        <w:tc>
          <w:tcPr>
            <w:tcW w:type="dxa" w:w="4608"/>
            <w:vAlign w:val="center"/>
          </w:tcPr>
          <w:p>
            <w:r/>
            <w:r>
              <w:rPr>
                <w:rFonts w:ascii="Aptos" w:hAnsi="Aptos"/>
                <w:b w:val="0"/>
                <w:sz w:val="18"/>
              </w:rPr>
              <w:t>Checks conservation/timing/source consistency.</w:t>
            </w:r>
          </w:p>
        </w:tc>
        <w:tc>
          <w:tcPr>
            <w:tcW w:type="dxa" w:w="3240"/>
            <w:vAlign w:val="center"/>
          </w:tcPr>
          <w:p>
            <w:r/>
            <w:r>
              <w:rPr>
                <w:rFonts w:ascii="Aptos" w:hAnsi="Aptos"/>
                <w:b w:val="0"/>
                <w:sz w:val="18"/>
              </w:rPr>
              <w:t>Violation set</w:t>
            </w:r>
          </w:p>
        </w:tc>
      </w:tr>
      <w:tr>
        <w:tc>
          <w:tcPr>
            <w:tcW w:type="dxa" w:w="1944"/>
            <w:vAlign w:val="center"/>
          </w:tcPr>
          <w:p>
            <w:r/>
            <w:r>
              <w:rPr>
                <w:rFonts w:ascii="Aptos" w:hAnsi="Aptos"/>
                <w:b w:val="0"/>
                <w:sz w:val="18"/>
              </w:rPr>
              <w:t>6. Hypothesis engine</w:t>
            </w:r>
          </w:p>
        </w:tc>
        <w:tc>
          <w:tcPr>
            <w:tcW w:type="dxa" w:w="4608"/>
            <w:vAlign w:val="center"/>
          </w:tcPr>
          <w:p>
            <w:r/>
            <w:r>
              <w:rPr>
                <w:rFonts w:ascii="Aptos" w:hAnsi="Aptos"/>
                <w:b w:val="0"/>
                <w:sz w:val="18"/>
              </w:rPr>
              <w:t>Generates candidate hidden events.</w:t>
            </w:r>
          </w:p>
        </w:tc>
        <w:tc>
          <w:tcPr>
            <w:tcW w:type="dxa" w:w="3240"/>
            <w:vAlign w:val="center"/>
          </w:tcPr>
          <w:p>
            <w:r/>
            <w:r>
              <w:rPr>
                <w:rFonts w:ascii="Aptos" w:hAnsi="Aptos"/>
                <w:b w:val="0"/>
                <w:sz w:val="18"/>
              </w:rPr>
              <w:t>Alternative explanations</w:t>
            </w:r>
          </w:p>
        </w:tc>
      </w:tr>
      <w:tr>
        <w:tc>
          <w:tcPr>
            <w:tcW w:type="dxa" w:w="1944"/>
            <w:vAlign w:val="center"/>
          </w:tcPr>
          <w:p>
            <w:r/>
            <w:r>
              <w:rPr>
                <w:rFonts w:ascii="Aptos" w:hAnsi="Aptos"/>
                <w:b w:val="0"/>
                <w:sz w:val="18"/>
              </w:rPr>
              <w:t>7. AI semantic layer</w:t>
            </w:r>
          </w:p>
        </w:tc>
        <w:tc>
          <w:tcPr>
            <w:tcW w:type="dxa" w:w="4608"/>
            <w:vAlign w:val="center"/>
          </w:tcPr>
          <w:p>
            <w:r/>
            <w:r>
              <w:rPr>
                <w:rFonts w:ascii="Aptos" w:hAnsi="Aptos"/>
                <w:b w:val="0"/>
                <w:sz w:val="18"/>
              </w:rPr>
              <w:t>LLM parses free text and labels ambiguous evidence.</w:t>
            </w:r>
          </w:p>
        </w:tc>
        <w:tc>
          <w:tcPr>
            <w:tcW w:type="dxa" w:w="3240"/>
            <w:vAlign w:val="center"/>
          </w:tcPr>
          <w:p>
            <w:r/>
            <w:r>
              <w:rPr>
                <w:rFonts w:ascii="Aptos" w:hAnsi="Aptos"/>
                <w:b w:val="0"/>
                <w:sz w:val="18"/>
              </w:rPr>
              <w:t>Normalized reasons / explanations</w:t>
            </w:r>
          </w:p>
        </w:tc>
      </w:tr>
      <w:tr>
        <w:tc>
          <w:tcPr>
            <w:tcW w:type="dxa" w:w="1944"/>
            <w:vAlign w:val="center"/>
          </w:tcPr>
          <w:p>
            <w:r/>
            <w:r>
              <w:rPr>
                <w:rFonts w:ascii="Aptos" w:hAnsi="Aptos"/>
                <w:b w:val="0"/>
                <w:sz w:val="18"/>
              </w:rPr>
              <w:t>8. Explanation scorer</w:t>
            </w:r>
          </w:p>
        </w:tc>
        <w:tc>
          <w:tcPr>
            <w:tcW w:type="dxa" w:w="4608"/>
            <w:vAlign w:val="center"/>
          </w:tcPr>
          <w:p>
            <w:r/>
            <w:r>
              <w:rPr>
                <w:rFonts w:ascii="Aptos" w:hAnsi="Aptos"/>
                <w:b w:val="0"/>
                <w:sz w:val="18"/>
              </w:rPr>
              <w:t>Ranks hypotheses.</w:t>
            </w:r>
          </w:p>
        </w:tc>
        <w:tc>
          <w:tcPr>
            <w:tcW w:type="dxa" w:w="3240"/>
            <w:vAlign w:val="center"/>
          </w:tcPr>
          <w:p>
            <w:r/>
            <w:r>
              <w:rPr>
                <w:rFonts w:ascii="Aptos" w:hAnsi="Aptos"/>
                <w:b w:val="0"/>
                <w:sz w:val="18"/>
              </w:rPr>
              <w:t>Confidence + evidence coverage</w:t>
            </w:r>
          </w:p>
        </w:tc>
      </w:tr>
      <w:tr>
        <w:tc>
          <w:tcPr>
            <w:tcW w:type="dxa" w:w="1944"/>
            <w:vAlign w:val="center"/>
          </w:tcPr>
          <w:p>
            <w:r/>
            <w:r>
              <w:rPr>
                <w:rFonts w:ascii="Aptos" w:hAnsi="Aptos"/>
                <w:b w:val="0"/>
                <w:sz w:val="18"/>
              </w:rPr>
              <w:t>9. Decision gateway</w:t>
            </w:r>
          </w:p>
        </w:tc>
        <w:tc>
          <w:tcPr>
            <w:tcW w:type="dxa" w:w="4608"/>
            <w:vAlign w:val="center"/>
          </w:tcPr>
          <w:p>
            <w:r/>
            <w:r>
              <w:rPr>
                <w:rFonts w:ascii="Aptos" w:hAnsi="Aptos"/>
                <w:b w:val="0"/>
                <w:sz w:val="18"/>
              </w:rPr>
              <w:t>Policy thresholds and materiality controls.</w:t>
            </w:r>
          </w:p>
        </w:tc>
        <w:tc>
          <w:tcPr>
            <w:tcW w:type="dxa" w:w="3240"/>
            <w:vAlign w:val="center"/>
          </w:tcPr>
          <w:p>
            <w:r/>
            <w:r>
              <w:rPr>
                <w:rFonts w:ascii="Aptos" w:hAnsi="Aptos"/>
                <w:b w:val="0"/>
                <w:sz w:val="18"/>
              </w:rPr>
              <w:t>Resolve / review / unresolved</w:t>
            </w:r>
          </w:p>
        </w:tc>
      </w:tr>
      <w:tr>
        <w:tc>
          <w:tcPr>
            <w:tcW w:type="dxa" w:w="1944"/>
            <w:vAlign w:val="center"/>
          </w:tcPr>
          <w:p>
            <w:r/>
            <w:r>
              <w:rPr>
                <w:rFonts w:ascii="Aptos" w:hAnsi="Aptos"/>
                <w:b w:val="0"/>
                <w:sz w:val="18"/>
              </w:rPr>
              <w:t>10. Insights layer</w:t>
            </w:r>
          </w:p>
        </w:tc>
        <w:tc>
          <w:tcPr>
            <w:tcW w:type="dxa" w:w="4608"/>
            <w:vAlign w:val="center"/>
          </w:tcPr>
          <w:p>
            <w:r/>
            <w:r>
              <w:rPr>
                <w:rFonts w:ascii="Aptos" w:hAnsi="Aptos"/>
                <w:b w:val="0"/>
                <w:sz w:val="18"/>
              </w:rPr>
              <w:t>Leakage, patterns, root causes, prioritization.</w:t>
            </w:r>
          </w:p>
        </w:tc>
        <w:tc>
          <w:tcPr>
            <w:tcW w:type="dxa" w:w="3240"/>
            <w:vAlign w:val="center"/>
          </w:tcPr>
          <w:p>
            <w:r/>
            <w:r>
              <w:rPr>
                <w:rFonts w:ascii="Aptos" w:hAnsi="Aptos"/>
                <w:b w:val="0"/>
                <w:sz w:val="18"/>
              </w:rPr>
              <w:t>Actionable finance intelligence</w:t>
            </w:r>
          </w:p>
        </w:tc>
      </w:tr>
      <w:tr>
        <w:tc>
          <w:tcPr>
            <w:tcW w:type="dxa" w:w="1944"/>
            <w:vAlign w:val="center"/>
          </w:tcPr>
          <w:p>
            <w:r/>
            <w:r>
              <w:rPr>
                <w:rFonts w:ascii="Aptos" w:hAnsi="Aptos"/>
                <w:b w:val="0"/>
                <w:sz w:val="18"/>
              </w:rPr>
              <w:t>11. Audit layer</w:t>
            </w:r>
          </w:p>
        </w:tc>
        <w:tc>
          <w:tcPr>
            <w:tcW w:type="dxa" w:w="4608"/>
            <w:vAlign w:val="center"/>
          </w:tcPr>
          <w:p>
            <w:r/>
            <w:r>
              <w:rPr>
                <w:rFonts w:ascii="Aptos" w:hAnsi="Aptos"/>
                <w:b w:val="0"/>
                <w:sz w:val="18"/>
              </w:rPr>
              <w:t>Decision trace.</w:t>
            </w:r>
          </w:p>
        </w:tc>
        <w:tc>
          <w:tcPr>
            <w:tcW w:type="dxa" w:w="3240"/>
            <w:vAlign w:val="center"/>
          </w:tcPr>
          <w:p>
            <w:r/>
            <w:r>
              <w:rPr>
                <w:rFonts w:ascii="Aptos" w:hAnsi="Aptos"/>
                <w:b w:val="0"/>
                <w:sz w:val="18"/>
              </w:rPr>
              <w:t>Reproducible evidence trail</w:t>
            </w:r>
          </w:p>
        </w:tc>
      </w:tr>
    </w:tbl>
    <w:p/>
    <w:p>
      <w:pPr>
        <w:jc w:val="center"/>
      </w:pPr>
      <w:r>
        <w:drawing>
          <wp:inline xmlns:a="http://schemas.openxmlformats.org/drawingml/2006/main" xmlns:pic="http://schemas.openxmlformats.org/drawingml/2006/picture">
            <wp:extent cx="4114800" cy="7417124"/>
            <wp:docPr id="3" name="Picture 3"/>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114800" cy="7417124"/>
                    </a:xfrm>
                    <a:prstGeom prst="rect"/>
                  </pic:spPr>
                </pic:pic>
              </a:graphicData>
            </a:graphic>
          </wp:inline>
        </w:drawing>
      </w:r>
    </w:p>
    <w:p>
      <w:pPr>
        <w:jc w:val="center"/>
      </w:pPr>
      <w:r>
        <w:rPr>
          <w:i/>
          <w:color w:val="475569"/>
          <w:sz w:val="18"/>
        </w:rPr>
        <w:t>Locked decision flow from data ingestion to resolution, human review, or explicit uncertainty.</w:t>
      </w:r>
    </w:p>
    <w:p/>
    <w:p>
      <w:pPr>
        <w:pStyle w:val="Heading1"/>
      </w:pPr>
      <w:r>
        <w:t>9. Data Model</w:t>
      </w:r>
    </w:p>
    <w:p>
      <w:pPr>
        <w:pStyle w:val="Heading2"/>
      </w:pPr>
      <w:r>
        <w:t>9.1 Canonical Event Schema</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0F172A"/>
          </w:tcPr>
          <w:p>
            <w:r>
              <w:rPr>
                <w:color w:val="FFFFFF"/>
              </w:rPr>
            </w:r>
            <w:r>
              <w:rPr>
                <w:rFonts w:ascii="Aptos" w:hAnsi="Aptos"/>
                <w:b/>
                <w:color w:val="FFFFFF"/>
                <w:sz w:val="18"/>
              </w:rPr>
              <w:t>Field</w:t>
            </w:r>
          </w:p>
        </w:tc>
        <w:tc>
          <w:tcPr>
            <w:tcW w:type="dxa" w:w="1728"/>
            <w:vAlign w:val="center"/>
            <w:shd w:fill="0F172A"/>
          </w:tcPr>
          <w:p>
            <w:r>
              <w:rPr>
                <w:color w:val="FFFFFF"/>
              </w:rPr>
            </w:r>
            <w:r>
              <w:rPr>
                <w:rFonts w:ascii="Aptos" w:hAnsi="Aptos"/>
                <w:b/>
                <w:color w:val="FFFFFF"/>
                <w:sz w:val="18"/>
              </w:rPr>
              <w:t>Type</w:t>
            </w:r>
          </w:p>
        </w:tc>
        <w:tc>
          <w:tcPr>
            <w:tcW w:type="dxa" w:w="6264"/>
            <w:vAlign w:val="center"/>
            <w:shd w:fill="0F172A"/>
          </w:tcPr>
          <w:p>
            <w:r>
              <w:rPr>
                <w:color w:val="FFFFFF"/>
              </w:rPr>
            </w:r>
            <w:r>
              <w:rPr>
                <w:rFonts w:ascii="Aptos" w:hAnsi="Aptos"/>
                <w:b/>
                <w:color w:val="FFFFFF"/>
                <w:sz w:val="18"/>
              </w:rPr>
              <w:t>Purpose</w:t>
            </w:r>
          </w:p>
        </w:tc>
      </w:tr>
      <w:tr>
        <w:tc>
          <w:tcPr>
            <w:tcW w:type="dxa" w:w="1800"/>
            <w:vAlign w:val="center"/>
          </w:tcPr>
          <w:p>
            <w:r/>
            <w:r>
              <w:rPr>
                <w:rFonts w:ascii="Aptos" w:hAnsi="Aptos"/>
                <w:b w:val="0"/>
                <w:sz w:val="18"/>
              </w:rPr>
              <w:t>event_id</w:t>
            </w:r>
          </w:p>
        </w:tc>
        <w:tc>
          <w:tcPr>
            <w:tcW w:type="dxa" w:w="1728"/>
            <w:vAlign w:val="center"/>
          </w:tcPr>
          <w:p>
            <w:r/>
            <w:r>
              <w:rPr>
                <w:rFonts w:ascii="Aptos" w:hAnsi="Aptos"/>
                <w:b w:val="0"/>
                <w:sz w:val="18"/>
              </w:rPr>
              <w:t>string</w:t>
            </w:r>
          </w:p>
        </w:tc>
        <w:tc>
          <w:tcPr>
            <w:tcW w:type="dxa" w:w="6264"/>
            <w:vAlign w:val="center"/>
          </w:tcPr>
          <w:p>
            <w:r/>
            <w:r>
              <w:rPr>
                <w:rFonts w:ascii="Aptos" w:hAnsi="Aptos"/>
                <w:b w:val="0"/>
                <w:sz w:val="18"/>
              </w:rPr>
              <w:t>Unique source event ID</w:t>
            </w:r>
          </w:p>
        </w:tc>
      </w:tr>
      <w:tr>
        <w:tc>
          <w:tcPr>
            <w:tcW w:type="dxa" w:w="1800"/>
            <w:vAlign w:val="center"/>
          </w:tcPr>
          <w:p>
            <w:r/>
            <w:r>
              <w:rPr>
                <w:rFonts w:ascii="Aptos" w:hAnsi="Aptos"/>
                <w:b w:val="0"/>
                <w:sz w:val="18"/>
              </w:rPr>
              <w:t>source</w:t>
            </w:r>
          </w:p>
        </w:tc>
        <w:tc>
          <w:tcPr>
            <w:tcW w:type="dxa" w:w="1728"/>
            <w:vAlign w:val="center"/>
          </w:tcPr>
          <w:p>
            <w:r/>
            <w:r>
              <w:rPr>
                <w:rFonts w:ascii="Aptos" w:hAnsi="Aptos"/>
                <w:b w:val="0"/>
                <w:sz w:val="18"/>
              </w:rPr>
              <w:t>enum</w:t>
            </w:r>
          </w:p>
        </w:tc>
        <w:tc>
          <w:tcPr>
            <w:tcW w:type="dxa" w:w="6264"/>
            <w:vAlign w:val="center"/>
          </w:tcPr>
          <w:p>
            <w:r/>
            <w:r>
              <w:rPr>
                <w:rFonts w:ascii="Aptos" w:hAnsi="Aptos"/>
                <w:b w:val="0"/>
                <w:sz w:val="18"/>
              </w:rPr>
              <w:t>payment/order/bank/inventory/refund/credit/etc.</w:t>
            </w:r>
          </w:p>
        </w:tc>
      </w:tr>
      <w:tr>
        <w:tc>
          <w:tcPr>
            <w:tcW w:type="dxa" w:w="1800"/>
            <w:vAlign w:val="center"/>
          </w:tcPr>
          <w:p>
            <w:r/>
            <w:r>
              <w:rPr>
                <w:rFonts w:ascii="Aptos" w:hAnsi="Aptos"/>
                <w:b w:val="0"/>
                <w:sz w:val="18"/>
              </w:rPr>
              <w:t>event_type</w:t>
            </w:r>
          </w:p>
        </w:tc>
        <w:tc>
          <w:tcPr>
            <w:tcW w:type="dxa" w:w="1728"/>
            <w:vAlign w:val="center"/>
          </w:tcPr>
          <w:p>
            <w:r/>
            <w:r>
              <w:rPr>
                <w:rFonts w:ascii="Aptos" w:hAnsi="Aptos"/>
                <w:b w:val="0"/>
                <w:sz w:val="18"/>
              </w:rPr>
              <w:t>enum</w:t>
            </w:r>
          </w:p>
        </w:tc>
        <w:tc>
          <w:tcPr>
            <w:tcW w:type="dxa" w:w="6264"/>
            <w:vAlign w:val="center"/>
          </w:tcPr>
          <w:p>
            <w:r/>
            <w:r>
              <w:rPr>
                <w:rFonts w:ascii="Aptos" w:hAnsi="Aptos"/>
                <w:b w:val="0"/>
                <w:sz w:val="18"/>
              </w:rPr>
              <w:t>capture/refund/settlement/payment/inventory_out/credit_create/etc.</w:t>
            </w:r>
          </w:p>
        </w:tc>
      </w:tr>
      <w:tr>
        <w:tc>
          <w:tcPr>
            <w:tcW w:type="dxa" w:w="1800"/>
            <w:vAlign w:val="center"/>
          </w:tcPr>
          <w:p>
            <w:r/>
            <w:r>
              <w:rPr>
                <w:rFonts w:ascii="Aptos" w:hAnsi="Aptos"/>
                <w:b w:val="0"/>
                <w:sz w:val="18"/>
              </w:rPr>
              <w:t>entity_ids</w:t>
            </w:r>
          </w:p>
        </w:tc>
        <w:tc>
          <w:tcPr>
            <w:tcW w:type="dxa" w:w="1728"/>
            <w:vAlign w:val="center"/>
          </w:tcPr>
          <w:p>
            <w:r/>
            <w:r>
              <w:rPr>
                <w:rFonts w:ascii="Aptos" w:hAnsi="Aptos"/>
                <w:b w:val="0"/>
                <w:sz w:val="18"/>
              </w:rPr>
              <w:t>list</w:t>
            </w:r>
          </w:p>
        </w:tc>
        <w:tc>
          <w:tcPr>
            <w:tcW w:type="dxa" w:w="6264"/>
            <w:vAlign w:val="center"/>
          </w:tcPr>
          <w:p>
            <w:r/>
            <w:r>
              <w:rPr>
                <w:rFonts w:ascii="Aptos" w:hAnsi="Aptos"/>
                <w:b w:val="0"/>
                <w:sz w:val="18"/>
              </w:rPr>
              <w:t>merchant/customer/operator/product/driver/order links</w:t>
            </w:r>
          </w:p>
        </w:tc>
      </w:tr>
      <w:tr>
        <w:tc>
          <w:tcPr>
            <w:tcW w:type="dxa" w:w="1800"/>
            <w:vAlign w:val="center"/>
          </w:tcPr>
          <w:p>
            <w:r/>
            <w:r>
              <w:rPr>
                <w:rFonts w:ascii="Aptos" w:hAnsi="Aptos"/>
                <w:b w:val="0"/>
                <w:sz w:val="18"/>
              </w:rPr>
              <w:t>timestamp</w:t>
            </w:r>
          </w:p>
        </w:tc>
        <w:tc>
          <w:tcPr>
            <w:tcW w:type="dxa" w:w="1728"/>
            <w:vAlign w:val="center"/>
          </w:tcPr>
          <w:p>
            <w:r/>
            <w:r>
              <w:rPr>
                <w:rFonts w:ascii="Aptos" w:hAnsi="Aptos"/>
                <w:b w:val="0"/>
                <w:sz w:val="18"/>
              </w:rPr>
              <w:t>datetime</w:t>
            </w:r>
          </w:p>
        </w:tc>
        <w:tc>
          <w:tcPr>
            <w:tcW w:type="dxa" w:w="6264"/>
            <w:vAlign w:val="center"/>
          </w:tcPr>
          <w:p>
            <w:r/>
            <w:r>
              <w:rPr>
                <w:rFonts w:ascii="Aptos" w:hAnsi="Aptos"/>
                <w:b w:val="0"/>
                <w:sz w:val="18"/>
              </w:rPr>
              <w:t>Event time</w:t>
            </w:r>
          </w:p>
        </w:tc>
      </w:tr>
      <w:tr>
        <w:tc>
          <w:tcPr>
            <w:tcW w:type="dxa" w:w="1800"/>
            <w:vAlign w:val="center"/>
          </w:tcPr>
          <w:p>
            <w:r/>
            <w:r>
              <w:rPr>
                <w:rFonts w:ascii="Aptos" w:hAnsi="Aptos"/>
                <w:b w:val="0"/>
                <w:sz w:val="18"/>
              </w:rPr>
              <w:t>amount</w:t>
            </w:r>
          </w:p>
        </w:tc>
        <w:tc>
          <w:tcPr>
            <w:tcW w:type="dxa" w:w="1728"/>
            <w:vAlign w:val="center"/>
          </w:tcPr>
          <w:p>
            <w:r/>
            <w:r>
              <w:rPr>
                <w:rFonts w:ascii="Aptos" w:hAnsi="Aptos"/>
                <w:b w:val="0"/>
                <w:sz w:val="18"/>
              </w:rPr>
              <w:t>decimal</w:t>
            </w:r>
          </w:p>
        </w:tc>
        <w:tc>
          <w:tcPr>
            <w:tcW w:type="dxa" w:w="6264"/>
            <w:vAlign w:val="center"/>
          </w:tcPr>
          <w:p>
            <w:r/>
            <w:r>
              <w:rPr>
                <w:rFonts w:ascii="Aptos" w:hAnsi="Aptos"/>
                <w:b w:val="0"/>
                <w:sz w:val="18"/>
              </w:rPr>
              <w:t>Monetary amount, when applicable</w:t>
            </w:r>
          </w:p>
        </w:tc>
      </w:tr>
      <w:tr>
        <w:tc>
          <w:tcPr>
            <w:tcW w:type="dxa" w:w="1800"/>
            <w:vAlign w:val="center"/>
          </w:tcPr>
          <w:p>
            <w:r/>
            <w:r>
              <w:rPr>
                <w:rFonts w:ascii="Aptos" w:hAnsi="Aptos"/>
                <w:b w:val="0"/>
                <w:sz w:val="18"/>
              </w:rPr>
              <w:t>currency</w:t>
            </w:r>
          </w:p>
        </w:tc>
        <w:tc>
          <w:tcPr>
            <w:tcW w:type="dxa" w:w="1728"/>
            <w:vAlign w:val="center"/>
          </w:tcPr>
          <w:p>
            <w:r/>
            <w:r>
              <w:rPr>
                <w:rFonts w:ascii="Aptos" w:hAnsi="Aptos"/>
                <w:b w:val="0"/>
                <w:sz w:val="18"/>
              </w:rPr>
              <w:t>string</w:t>
            </w:r>
          </w:p>
        </w:tc>
        <w:tc>
          <w:tcPr>
            <w:tcW w:type="dxa" w:w="6264"/>
            <w:vAlign w:val="center"/>
          </w:tcPr>
          <w:p>
            <w:r/>
            <w:r>
              <w:rPr>
                <w:rFonts w:ascii="Aptos" w:hAnsi="Aptos"/>
                <w:b w:val="0"/>
                <w:sz w:val="18"/>
              </w:rPr>
              <w:t>INR for MVP</w:t>
            </w:r>
          </w:p>
        </w:tc>
      </w:tr>
      <w:tr>
        <w:tc>
          <w:tcPr>
            <w:tcW w:type="dxa" w:w="1800"/>
            <w:vAlign w:val="center"/>
          </w:tcPr>
          <w:p>
            <w:r/>
            <w:r>
              <w:rPr>
                <w:rFonts w:ascii="Aptos" w:hAnsi="Aptos"/>
                <w:b w:val="0"/>
                <w:sz w:val="18"/>
              </w:rPr>
              <w:t>direction</w:t>
            </w:r>
          </w:p>
        </w:tc>
        <w:tc>
          <w:tcPr>
            <w:tcW w:type="dxa" w:w="1728"/>
            <w:vAlign w:val="center"/>
          </w:tcPr>
          <w:p>
            <w:r/>
            <w:r>
              <w:rPr>
                <w:rFonts w:ascii="Aptos" w:hAnsi="Aptos"/>
                <w:b w:val="0"/>
                <w:sz w:val="18"/>
              </w:rPr>
              <w:t>enum</w:t>
            </w:r>
          </w:p>
        </w:tc>
        <w:tc>
          <w:tcPr>
            <w:tcW w:type="dxa" w:w="6264"/>
            <w:vAlign w:val="center"/>
          </w:tcPr>
          <w:p>
            <w:r/>
            <w:r>
              <w:rPr>
                <w:rFonts w:ascii="Aptos" w:hAnsi="Aptos"/>
                <w:b w:val="0"/>
                <w:sz w:val="18"/>
              </w:rPr>
              <w:t>in/out/neutral</w:t>
            </w:r>
          </w:p>
        </w:tc>
      </w:tr>
      <w:tr>
        <w:tc>
          <w:tcPr>
            <w:tcW w:type="dxa" w:w="1800"/>
            <w:vAlign w:val="center"/>
          </w:tcPr>
          <w:p>
            <w:r/>
            <w:r>
              <w:rPr>
                <w:rFonts w:ascii="Aptos" w:hAnsi="Aptos"/>
                <w:b w:val="0"/>
                <w:sz w:val="18"/>
              </w:rPr>
              <w:t>reference_text</w:t>
            </w:r>
          </w:p>
        </w:tc>
        <w:tc>
          <w:tcPr>
            <w:tcW w:type="dxa" w:w="1728"/>
            <w:vAlign w:val="center"/>
          </w:tcPr>
          <w:p>
            <w:r/>
            <w:r>
              <w:rPr>
                <w:rFonts w:ascii="Aptos" w:hAnsi="Aptos"/>
                <w:b w:val="0"/>
                <w:sz w:val="18"/>
              </w:rPr>
              <w:t>string</w:t>
            </w:r>
          </w:p>
        </w:tc>
        <w:tc>
          <w:tcPr>
            <w:tcW w:type="dxa" w:w="6264"/>
            <w:vAlign w:val="center"/>
          </w:tcPr>
          <w:p>
            <w:r/>
            <w:r>
              <w:rPr>
                <w:rFonts w:ascii="Aptos" w:hAnsi="Aptos"/>
                <w:b w:val="0"/>
                <w:sz w:val="18"/>
              </w:rPr>
              <w:t>Messy human-readable description</w:t>
            </w:r>
          </w:p>
        </w:tc>
      </w:tr>
      <w:tr>
        <w:tc>
          <w:tcPr>
            <w:tcW w:type="dxa" w:w="1800"/>
            <w:vAlign w:val="center"/>
          </w:tcPr>
          <w:p>
            <w:r/>
            <w:r>
              <w:rPr>
                <w:rFonts w:ascii="Aptos" w:hAnsi="Aptos"/>
                <w:b w:val="0"/>
                <w:sz w:val="18"/>
              </w:rPr>
              <w:t>related_event_ids</w:t>
            </w:r>
          </w:p>
        </w:tc>
        <w:tc>
          <w:tcPr>
            <w:tcW w:type="dxa" w:w="1728"/>
            <w:vAlign w:val="center"/>
          </w:tcPr>
          <w:p>
            <w:r/>
            <w:r>
              <w:rPr>
                <w:rFonts w:ascii="Aptos" w:hAnsi="Aptos"/>
                <w:b w:val="0"/>
                <w:sz w:val="18"/>
              </w:rPr>
              <w:t>list</w:t>
            </w:r>
          </w:p>
        </w:tc>
        <w:tc>
          <w:tcPr>
            <w:tcW w:type="dxa" w:w="6264"/>
            <w:vAlign w:val="center"/>
          </w:tcPr>
          <w:p>
            <w:r/>
            <w:r>
              <w:rPr>
                <w:rFonts w:ascii="Aptos" w:hAnsi="Aptos"/>
                <w:b w:val="0"/>
                <w:sz w:val="18"/>
              </w:rPr>
              <w:t>Known references</w:t>
            </w:r>
          </w:p>
        </w:tc>
      </w:tr>
      <w:tr>
        <w:tc>
          <w:tcPr>
            <w:tcW w:type="dxa" w:w="1800"/>
            <w:vAlign w:val="center"/>
          </w:tcPr>
          <w:p>
            <w:r/>
            <w:r>
              <w:rPr>
                <w:rFonts w:ascii="Aptos" w:hAnsi="Aptos"/>
                <w:b w:val="0"/>
                <w:sz w:val="18"/>
              </w:rPr>
              <w:t>provenance</w:t>
            </w:r>
          </w:p>
        </w:tc>
        <w:tc>
          <w:tcPr>
            <w:tcW w:type="dxa" w:w="1728"/>
            <w:vAlign w:val="center"/>
          </w:tcPr>
          <w:p>
            <w:r/>
            <w:r>
              <w:rPr>
                <w:rFonts w:ascii="Aptos" w:hAnsi="Aptos"/>
                <w:b w:val="0"/>
                <w:sz w:val="18"/>
              </w:rPr>
              <w:t>object</w:t>
            </w:r>
          </w:p>
        </w:tc>
        <w:tc>
          <w:tcPr>
            <w:tcW w:type="dxa" w:w="6264"/>
            <w:vAlign w:val="center"/>
          </w:tcPr>
          <w:p>
            <w:r/>
            <w:r>
              <w:rPr>
                <w:rFonts w:ascii="Aptos" w:hAnsi="Aptos"/>
                <w:b w:val="0"/>
                <w:sz w:val="18"/>
              </w:rPr>
              <w:t>Source file + row + ingestion version</w:t>
            </w:r>
          </w:p>
        </w:tc>
      </w:tr>
      <w:tr>
        <w:tc>
          <w:tcPr>
            <w:tcW w:type="dxa" w:w="1800"/>
            <w:vAlign w:val="center"/>
          </w:tcPr>
          <w:p>
            <w:r/>
            <w:r>
              <w:rPr>
                <w:rFonts w:ascii="Aptos" w:hAnsi="Aptos"/>
                <w:b w:val="0"/>
                <w:sz w:val="18"/>
              </w:rPr>
              <w:t>ground_truth_label</w:t>
            </w:r>
          </w:p>
        </w:tc>
        <w:tc>
          <w:tcPr>
            <w:tcW w:type="dxa" w:w="1728"/>
            <w:vAlign w:val="center"/>
          </w:tcPr>
          <w:p>
            <w:r/>
            <w:r>
              <w:rPr>
                <w:rFonts w:ascii="Aptos" w:hAnsi="Aptos"/>
                <w:b w:val="0"/>
                <w:sz w:val="18"/>
              </w:rPr>
              <w:t>optional</w:t>
            </w:r>
          </w:p>
        </w:tc>
        <w:tc>
          <w:tcPr>
            <w:tcW w:type="dxa" w:w="6264"/>
            <w:vAlign w:val="center"/>
          </w:tcPr>
          <w:p>
            <w:r/>
            <w:r>
              <w:rPr>
                <w:rFonts w:ascii="Aptos" w:hAnsi="Aptos"/>
                <w:b w:val="0"/>
                <w:sz w:val="18"/>
              </w:rPr>
              <w:t>Only in evaluation data, never exposed to model</w:t>
            </w:r>
          </w:p>
        </w:tc>
      </w:tr>
    </w:tbl>
    <w:p/>
    <w:p>
      <w:pPr>
        <w:pStyle w:val="Heading2"/>
      </w:pPr>
      <w:r>
        <w:t>9.2 Entity graph</w:t>
      </w:r>
    </w:p>
    <w:p>
      <w:pPr>
        <w:pStyle w:val="ListBullet"/>
        <w:spacing w:after="40"/>
      </w:pPr>
      <w:r>
        <w:t>Merchant ↔ Customer ↔ Order ↔ Payment ↔ Settlement ↔ Bank account</w:t>
      </w:r>
    </w:p>
    <w:p>
      <w:pPr>
        <w:pStyle w:val="ListBullet"/>
        <w:spacing w:after="40"/>
      </w:pPr>
      <w:r>
        <w:t>Merchant ↔ Product ↔ Inventory movement ↔ Sale / replacement</w:t>
      </w:r>
    </w:p>
    <w:p>
      <w:pPr>
        <w:pStyle w:val="ListBullet"/>
        <w:spacing w:after="40"/>
      </w:pPr>
      <w:r>
        <w:t>Customer ↔ Credit balance ↔ Future order</w:t>
      </w:r>
    </w:p>
    <w:p>
      <w:pPr>
        <w:pStyle w:val="ListBullet"/>
        <w:spacing w:after="40"/>
      </w:pPr>
      <w:r>
        <w:t>Operator / cashier / driver ↔ repeated event patterns</w:t>
      </w:r>
    </w:p>
    <w:p>
      <w:pPr>
        <w:pStyle w:val="ListBullet"/>
        <w:spacing w:after="40"/>
      </w:pPr>
      <w:r>
        <w:t>Batch / settlement cycle ↔ many downstream transactions</w:t>
      </w:r>
    </w:p>
    <w:p>
      <w:pPr>
        <w:pStyle w:val="Heading1"/>
      </w:pPr>
      <w:r>
        <w:t>10. Core Algorithmic Design</w:t>
      </w:r>
    </w:p>
    <w:p>
      <w:pPr>
        <w:pStyle w:val="Heading2"/>
      </w:pPr>
      <w:r>
        <w:t>10.1 Stage A — deterministic first pass</w:t>
      </w:r>
    </w:p>
    <w:p>
      <w:r>
        <w:t>Run exact identifiers, amount equality/tolerance, known fee schedules, time-window checks and explicit source references first. The point is to prove we know where AI is unnecessary.</w:t>
      </w:r>
    </w:p>
    <w:p>
      <w:pPr>
        <w:pStyle w:val="ListNumber"/>
        <w:spacing w:after="40"/>
      </w:pPr>
      <w:r>
        <w:t>Generate candidate matches using exact IDs, then amount + entity, then time-window + amount, then semantic similarity only where required.</w:t>
      </w:r>
    </w:p>
    <w:p>
      <w:pPr>
        <w:pStyle w:val="ListNumber"/>
        <w:spacing w:after="40"/>
      </w:pPr>
      <w:r>
        <w:t>Compute residual value for every matched cluster: expected value minus explained value.</w:t>
      </w:r>
    </w:p>
    <w:p>
      <w:pPr>
        <w:pStyle w:val="ListNumber"/>
        <w:spacing w:after="40"/>
      </w:pPr>
      <w:r>
        <w:t>Mark residuals as clean, explainable by known rules, or anomalous.</w:t>
      </w:r>
    </w:p>
    <w:p>
      <w:pPr>
        <w:pStyle w:val="Heading2"/>
      </w:pPr>
      <w:r>
        <w:t>10.2 Stage B — construct the Value-Flow Graph</w:t>
      </w:r>
    </w:p>
    <w:p>
      <w:r>
        <w:t>Each event becomes a node. Directed edges encode relations such as “caused by,” “settles,” “refunds,” “consumes inventory,” “creates credit,” or “belongs to batch.” The graph lets the system reason across several records at once rather than pairwise.</w:t>
      </w:r>
    </w:p>
    <w:p>
      <w:pPr>
        <w:pStyle w:val="Heading2"/>
      </w:pPr>
      <w:r>
        <w:t>10.3 Stage C — generate hidden-event hypotheses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0F172A"/>
          </w:tcPr>
          <w:p>
            <w:r>
              <w:rPr>
                <w:color w:val="FFFFFF"/>
              </w:rPr>
            </w:r>
            <w:r>
              <w:rPr>
                <w:rFonts w:ascii="Aptos" w:hAnsi="Aptos"/>
                <w:b/>
                <w:color w:val="FFFFFF"/>
                <w:sz w:val="18"/>
              </w:rPr>
              <w:t>Hypothesis class</w:t>
            </w:r>
          </w:p>
        </w:tc>
        <w:tc>
          <w:tcPr>
            <w:tcW w:type="dxa" w:w="3528"/>
            <w:vAlign w:val="center"/>
            <w:shd w:fill="0F172A"/>
          </w:tcPr>
          <w:p>
            <w:r>
              <w:rPr>
                <w:color w:val="FFFFFF"/>
              </w:rPr>
            </w:r>
            <w:r>
              <w:rPr>
                <w:rFonts w:ascii="Aptos" w:hAnsi="Aptos"/>
                <w:b/>
                <w:color w:val="FFFFFF"/>
                <w:sz w:val="18"/>
              </w:rPr>
              <w:t>Example</w:t>
            </w:r>
          </w:p>
        </w:tc>
        <w:tc>
          <w:tcPr>
            <w:tcW w:type="dxa" w:w="4320"/>
            <w:vAlign w:val="center"/>
            <w:shd w:fill="0F172A"/>
          </w:tcPr>
          <w:p>
            <w:r>
              <w:rPr>
                <w:color w:val="FFFFFF"/>
              </w:rPr>
            </w:r>
            <w:r>
              <w:rPr>
                <w:rFonts w:ascii="Aptos" w:hAnsi="Aptos"/>
                <w:b/>
                <w:color w:val="FFFFFF"/>
                <w:sz w:val="18"/>
              </w:rPr>
              <w:t>Why it matters</w:t>
            </w:r>
          </w:p>
        </w:tc>
      </w:tr>
      <w:tr>
        <w:tc>
          <w:tcPr>
            <w:tcW w:type="dxa" w:w="2088"/>
            <w:vAlign w:val="center"/>
          </w:tcPr>
          <w:p>
            <w:r/>
            <w:r>
              <w:rPr>
                <w:rFonts w:ascii="Aptos" w:hAnsi="Aptos"/>
                <w:b w:val="0"/>
                <w:sz w:val="18"/>
              </w:rPr>
              <w:t>Non-cash settlement</w:t>
            </w:r>
          </w:p>
        </w:tc>
        <w:tc>
          <w:tcPr>
            <w:tcW w:type="dxa" w:w="3528"/>
            <w:vAlign w:val="center"/>
          </w:tcPr>
          <w:p>
            <w:r/>
            <w:r>
              <w:rPr>
                <w:rFonts w:ascii="Aptos" w:hAnsi="Aptos"/>
                <w:b w:val="0"/>
                <w:sz w:val="18"/>
              </w:rPr>
              <w:t>₹2 chocolate used as change</w:t>
            </w:r>
          </w:p>
        </w:tc>
        <w:tc>
          <w:tcPr>
            <w:tcW w:type="dxa" w:w="4320"/>
            <w:vAlign w:val="center"/>
          </w:tcPr>
          <w:p>
            <w:r/>
            <w:r>
              <w:rPr>
                <w:rFonts w:ascii="Aptos" w:hAnsi="Aptos"/>
                <w:b w:val="0"/>
                <w:sz w:val="18"/>
              </w:rPr>
              <w:t>Closes small value gap without cash record</w:t>
            </w:r>
          </w:p>
        </w:tc>
      </w:tr>
      <w:tr>
        <w:tc>
          <w:tcPr>
            <w:tcW w:type="dxa" w:w="2088"/>
            <w:vAlign w:val="center"/>
          </w:tcPr>
          <w:p>
            <w:r/>
            <w:r>
              <w:rPr>
                <w:rFonts w:ascii="Aptos" w:hAnsi="Aptos"/>
                <w:b w:val="0"/>
                <w:sz w:val="18"/>
              </w:rPr>
              <w:t>Credit carryover</w:t>
            </w:r>
          </w:p>
        </w:tc>
        <w:tc>
          <w:tcPr>
            <w:tcW w:type="dxa" w:w="3528"/>
            <w:vAlign w:val="center"/>
          </w:tcPr>
          <w:p>
            <w:r/>
            <w:r>
              <w:rPr>
                <w:rFonts w:ascii="Aptos" w:hAnsi="Aptos"/>
                <w:b w:val="0"/>
                <w:sz w:val="18"/>
              </w:rPr>
              <w:t>₹20 from prior overpayment applied today</w:t>
            </w:r>
          </w:p>
        </w:tc>
        <w:tc>
          <w:tcPr>
            <w:tcW w:type="dxa" w:w="4320"/>
            <w:vAlign w:val="center"/>
          </w:tcPr>
          <w:p>
            <w:r/>
            <w:r>
              <w:rPr>
                <w:rFonts w:ascii="Aptos" w:hAnsi="Aptos"/>
                <w:b w:val="0"/>
                <w:sz w:val="18"/>
              </w:rPr>
              <w:t>Explains cross-time mismatch</w:t>
            </w:r>
          </w:p>
        </w:tc>
      </w:tr>
      <w:tr>
        <w:tc>
          <w:tcPr>
            <w:tcW w:type="dxa" w:w="2088"/>
            <w:vAlign w:val="center"/>
          </w:tcPr>
          <w:p>
            <w:r/>
            <w:r>
              <w:rPr>
                <w:rFonts w:ascii="Aptos" w:hAnsi="Aptos"/>
                <w:b w:val="0"/>
                <w:sz w:val="18"/>
              </w:rPr>
              <w:t>Replacement settlement</w:t>
            </w:r>
          </w:p>
        </w:tc>
        <w:tc>
          <w:tcPr>
            <w:tcW w:type="dxa" w:w="3528"/>
            <w:vAlign w:val="center"/>
          </w:tcPr>
          <w:p>
            <w:r/>
            <w:r>
              <w:rPr>
                <w:rFonts w:ascii="Aptos" w:hAnsi="Aptos"/>
                <w:b w:val="0"/>
                <w:sz w:val="18"/>
              </w:rPr>
              <w:t>Refund obligation settled with replacement item</w:t>
            </w:r>
          </w:p>
        </w:tc>
        <w:tc>
          <w:tcPr>
            <w:tcW w:type="dxa" w:w="4320"/>
            <w:vAlign w:val="center"/>
          </w:tcPr>
          <w:p>
            <w:r/>
            <w:r>
              <w:rPr>
                <w:rFonts w:ascii="Aptos" w:hAnsi="Aptos"/>
                <w:b w:val="0"/>
                <w:sz w:val="18"/>
              </w:rPr>
              <w:t>Links inventory and refund</w:t>
            </w:r>
          </w:p>
        </w:tc>
      </w:tr>
      <w:tr>
        <w:tc>
          <w:tcPr>
            <w:tcW w:type="dxa" w:w="2088"/>
            <w:vAlign w:val="center"/>
          </w:tcPr>
          <w:p>
            <w:r/>
            <w:r>
              <w:rPr>
                <w:rFonts w:ascii="Aptos" w:hAnsi="Aptos"/>
                <w:b w:val="0"/>
                <w:sz w:val="18"/>
              </w:rPr>
              <w:t>Partial refund</w:t>
            </w:r>
          </w:p>
        </w:tc>
        <w:tc>
          <w:tcPr>
            <w:tcW w:type="dxa" w:w="3528"/>
            <w:vAlign w:val="center"/>
          </w:tcPr>
          <w:p>
            <w:r/>
            <w:r>
              <w:rPr>
                <w:rFonts w:ascii="Aptos" w:hAnsi="Aptos"/>
                <w:b w:val="0"/>
                <w:sz w:val="18"/>
              </w:rPr>
              <w:t>₹1,500 refunded before settlement</w:t>
            </w:r>
          </w:p>
        </w:tc>
        <w:tc>
          <w:tcPr>
            <w:tcW w:type="dxa" w:w="4320"/>
            <w:vAlign w:val="center"/>
          </w:tcPr>
          <w:p>
            <w:r/>
            <w:r>
              <w:rPr>
                <w:rFonts w:ascii="Aptos" w:hAnsi="Aptos"/>
                <w:b w:val="0"/>
                <w:sz w:val="18"/>
              </w:rPr>
              <w:t>Explains settlement lower than capture</w:t>
            </w:r>
          </w:p>
        </w:tc>
      </w:tr>
      <w:tr>
        <w:tc>
          <w:tcPr>
            <w:tcW w:type="dxa" w:w="2088"/>
            <w:vAlign w:val="center"/>
          </w:tcPr>
          <w:p>
            <w:r/>
            <w:r>
              <w:rPr>
                <w:rFonts w:ascii="Aptos" w:hAnsi="Aptos"/>
                <w:b w:val="0"/>
                <w:sz w:val="18"/>
              </w:rPr>
              <w:t>Adjustment/fee</w:t>
            </w:r>
          </w:p>
        </w:tc>
        <w:tc>
          <w:tcPr>
            <w:tcW w:type="dxa" w:w="3528"/>
            <w:vAlign w:val="center"/>
          </w:tcPr>
          <w:p>
            <w:r/>
            <w:r>
              <w:rPr>
                <w:rFonts w:ascii="Aptos" w:hAnsi="Aptos"/>
                <w:b w:val="0"/>
                <w:sz w:val="18"/>
              </w:rPr>
              <w:t>Settlement reduced by known or unknown charge</w:t>
            </w:r>
          </w:p>
        </w:tc>
        <w:tc>
          <w:tcPr>
            <w:tcW w:type="dxa" w:w="4320"/>
            <w:vAlign w:val="center"/>
          </w:tcPr>
          <w:p>
            <w:r/>
            <w:r>
              <w:rPr>
                <w:rFonts w:ascii="Aptos" w:hAnsi="Aptos"/>
                <w:b w:val="0"/>
                <w:sz w:val="18"/>
              </w:rPr>
              <w:t>Explains batch-level delta</w:t>
            </w:r>
          </w:p>
        </w:tc>
      </w:tr>
      <w:tr>
        <w:tc>
          <w:tcPr>
            <w:tcW w:type="dxa" w:w="2088"/>
            <w:vAlign w:val="center"/>
          </w:tcPr>
          <w:p>
            <w:r/>
            <w:r>
              <w:rPr>
                <w:rFonts w:ascii="Aptos" w:hAnsi="Aptos"/>
                <w:b w:val="0"/>
                <w:sz w:val="18"/>
              </w:rPr>
              <w:t>Duplicate/late event</w:t>
            </w:r>
          </w:p>
        </w:tc>
        <w:tc>
          <w:tcPr>
            <w:tcW w:type="dxa" w:w="3528"/>
            <w:vAlign w:val="center"/>
          </w:tcPr>
          <w:p>
            <w:r/>
            <w:r>
              <w:rPr>
                <w:rFonts w:ascii="Aptos" w:hAnsi="Aptos"/>
                <w:b w:val="0"/>
                <w:sz w:val="18"/>
              </w:rPr>
              <w:t>Same event logged twice or after cutoff</w:t>
            </w:r>
          </w:p>
        </w:tc>
        <w:tc>
          <w:tcPr>
            <w:tcW w:type="dxa" w:w="4320"/>
            <w:vAlign w:val="center"/>
          </w:tcPr>
          <w:p>
            <w:r/>
            <w:r>
              <w:rPr>
                <w:rFonts w:ascii="Aptos" w:hAnsi="Aptos"/>
                <w:b w:val="0"/>
                <w:sz w:val="18"/>
              </w:rPr>
              <w:t>Explains apparent imbalance</w:t>
            </w:r>
          </w:p>
        </w:tc>
      </w:tr>
      <w:tr>
        <w:tc>
          <w:tcPr>
            <w:tcW w:type="dxa" w:w="2088"/>
            <w:vAlign w:val="center"/>
          </w:tcPr>
          <w:p>
            <w:r/>
            <w:r>
              <w:rPr>
                <w:rFonts w:ascii="Aptos" w:hAnsi="Aptos"/>
                <w:b w:val="0"/>
                <w:sz w:val="18"/>
              </w:rPr>
              <w:t>Missing event</w:t>
            </w:r>
          </w:p>
        </w:tc>
        <w:tc>
          <w:tcPr>
            <w:tcW w:type="dxa" w:w="3528"/>
            <w:vAlign w:val="center"/>
          </w:tcPr>
          <w:p>
            <w:r/>
            <w:r>
              <w:rPr>
                <w:rFonts w:ascii="Aptos" w:hAnsi="Aptos"/>
                <w:b w:val="0"/>
                <w:sz w:val="18"/>
              </w:rPr>
              <w:t>Unobserved transfer/adjustment</w:t>
            </w:r>
          </w:p>
        </w:tc>
        <w:tc>
          <w:tcPr>
            <w:tcW w:type="dxa" w:w="4320"/>
            <w:vAlign w:val="center"/>
          </w:tcPr>
          <w:p>
            <w:r/>
            <w:r>
              <w:rPr>
                <w:rFonts w:ascii="Aptos" w:hAnsi="Aptos"/>
                <w:b w:val="0"/>
                <w:sz w:val="18"/>
              </w:rPr>
              <w:t>Only proposed when no simpler explanation works</w:t>
            </w:r>
          </w:p>
        </w:tc>
      </w:tr>
    </w:tbl>
    <w:p/>
    <w:p>
      <w:pPr>
        <w:pStyle w:val="Heading2"/>
      </w:pPr>
      <w:r>
        <w:t>10.4 Stage D — global explanation score</w:t>
      </w:r>
    </w:p>
    <w:p>
      <w:r>
        <w:t>For each candidate explanation E, compute a transparent score. The exact weights will be calibrated on the synthetic benchmark. A practical form is:</w:t>
      </w:r>
    </w:p>
    <w:tbl>
      <w:tblPr>
        <w:tblStyle w:val="TableGrid"/>
        <w:tblW w:type="auto" w:w="0"/>
        <w:jc w:val="center"/>
        <w:tblLook w:firstColumn="1" w:firstRow="1" w:lastColumn="0" w:lastRow="0" w:noHBand="0" w:noVBand="1" w:val="04A0"/>
      </w:tblPr>
      <w:tblGrid>
        <w:gridCol w:w="10166"/>
      </w:tblGrid>
      <w:tr>
        <w:tc>
          <w:tcPr>
            <w:tcW w:type="dxa" w:w="10166"/>
            <w:shd w:fill="F1F5F9"/>
          </w:tcPr>
          <w:p>
            <w:r/>
            <w:r>
              <w:rPr>
                <w:b/>
                <w:color w:val="0F172A"/>
                <w:sz w:val="22"/>
              </w:rPr>
              <w:t>SCORE(E)</w:t>
              <w:br/>
            </w:r>
            <w:r>
              <w:rPr>
                <w:rFonts w:ascii="Aptos" w:hAnsi="Aptos"/>
                <w:sz w:val="20"/>
              </w:rPr>
              <w:t>0.35 × constraint satisfaction + 0.25 × evidence coverage + 0.15 × historical pattern fit + 0.15 × temporal consistency + 0.10 × source reliability − assumption penalty − materiality risk penalty</w:t>
            </w:r>
          </w:p>
        </w:tc>
      </w:tr>
    </w:tbl>
    <w:p/>
    <w:p>
      <w:r>
        <w:t>This is a prototype scoring formulation, not a claim of statistical optimality. We should tune it empirically on held-out data and show the result honestly.</w:t>
      </w:r>
    </w:p>
    <w:p>
      <w:pPr>
        <w:pStyle w:val="Heading2"/>
      </w:pPr>
      <w:r>
        <w:t>10.5 Stage E — decision gate</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0F172A"/>
          </w:tcPr>
          <w:p>
            <w:r>
              <w:rPr>
                <w:color w:val="FFFFFF"/>
              </w:rPr>
            </w:r>
            <w:r>
              <w:rPr>
                <w:rFonts w:ascii="Aptos" w:hAnsi="Aptos"/>
                <w:b/>
                <w:color w:val="FFFFFF"/>
                <w:sz w:val="18"/>
              </w:rPr>
              <w:t>Decision</w:t>
            </w:r>
          </w:p>
        </w:tc>
        <w:tc>
          <w:tcPr>
            <w:tcW w:type="dxa" w:w="4320"/>
            <w:vAlign w:val="center"/>
            <w:shd w:fill="0F172A"/>
          </w:tcPr>
          <w:p>
            <w:r>
              <w:rPr>
                <w:color w:val="FFFFFF"/>
              </w:rPr>
            </w:r>
            <w:r>
              <w:rPr>
                <w:rFonts w:ascii="Aptos" w:hAnsi="Aptos"/>
                <w:b/>
                <w:color w:val="FFFFFF"/>
                <w:sz w:val="18"/>
              </w:rPr>
              <w:t>Rule of thumb for MVP</w:t>
            </w:r>
          </w:p>
        </w:tc>
        <w:tc>
          <w:tcPr>
            <w:tcW w:type="dxa" w:w="3744"/>
            <w:vAlign w:val="center"/>
            <w:shd w:fill="0F172A"/>
          </w:tcPr>
          <w:p>
            <w:r>
              <w:rPr>
                <w:color w:val="FFFFFF"/>
              </w:rPr>
            </w:r>
            <w:r>
              <w:rPr>
                <w:rFonts w:ascii="Aptos" w:hAnsi="Aptos"/>
                <w:b/>
                <w:color w:val="FFFFFF"/>
                <w:sz w:val="18"/>
              </w:rPr>
              <w:t>System behavior</w:t>
            </w:r>
          </w:p>
        </w:tc>
      </w:tr>
      <w:tr>
        <w:tc>
          <w:tcPr>
            <w:tcW w:type="dxa" w:w="1872"/>
            <w:vAlign w:val="center"/>
          </w:tcPr>
          <w:p>
            <w:r/>
            <w:r>
              <w:rPr>
                <w:rFonts w:ascii="Aptos" w:hAnsi="Aptos"/>
                <w:b w:val="0"/>
                <w:sz w:val="18"/>
              </w:rPr>
              <w:t>Auto-resolve</w:t>
            </w:r>
          </w:p>
        </w:tc>
        <w:tc>
          <w:tcPr>
            <w:tcW w:type="dxa" w:w="4320"/>
            <w:vAlign w:val="center"/>
          </w:tcPr>
          <w:p>
            <w:r/>
            <w:r>
              <w:rPr>
                <w:rFonts w:ascii="Aptos" w:hAnsi="Aptos"/>
                <w:b w:val="0"/>
                <w:sz w:val="18"/>
              </w:rPr>
              <w:t>High confidence + no material contradiction + safe event type</w:t>
            </w:r>
          </w:p>
        </w:tc>
        <w:tc>
          <w:tcPr>
            <w:tcW w:type="dxa" w:w="3744"/>
            <w:vAlign w:val="center"/>
          </w:tcPr>
          <w:p>
            <w:r/>
            <w:r>
              <w:rPr>
                <w:rFonts w:ascii="Aptos" w:hAnsi="Aptos"/>
                <w:b w:val="0"/>
                <w:sz w:val="18"/>
              </w:rPr>
              <w:t>Write shadow event + mark resolved</w:t>
            </w:r>
          </w:p>
        </w:tc>
      </w:tr>
      <w:tr>
        <w:tc>
          <w:tcPr>
            <w:tcW w:type="dxa" w:w="1872"/>
            <w:vAlign w:val="center"/>
          </w:tcPr>
          <w:p>
            <w:r/>
            <w:r>
              <w:rPr>
                <w:rFonts w:ascii="Aptos" w:hAnsi="Aptos"/>
                <w:b w:val="0"/>
                <w:sz w:val="18"/>
              </w:rPr>
              <w:t>Review</w:t>
            </w:r>
          </w:p>
        </w:tc>
        <w:tc>
          <w:tcPr>
            <w:tcW w:type="dxa" w:w="4320"/>
            <w:vAlign w:val="center"/>
          </w:tcPr>
          <w:p>
            <w:r/>
            <w:r>
              <w:rPr>
                <w:rFonts w:ascii="Aptos" w:hAnsi="Aptos"/>
                <w:b w:val="0"/>
                <w:sz w:val="18"/>
              </w:rPr>
              <w:t>Moderate confidence or financially material ambiguity</w:t>
            </w:r>
          </w:p>
        </w:tc>
        <w:tc>
          <w:tcPr>
            <w:tcW w:type="dxa" w:w="3744"/>
            <w:vAlign w:val="center"/>
          </w:tcPr>
          <w:p>
            <w:r/>
            <w:r>
              <w:rPr>
                <w:rFonts w:ascii="Aptos" w:hAnsi="Aptos"/>
                <w:b w:val="0"/>
                <w:sz w:val="18"/>
              </w:rPr>
              <w:t>Create case with ranked hypotheses and evidence</w:t>
            </w:r>
          </w:p>
        </w:tc>
      </w:tr>
      <w:tr>
        <w:tc>
          <w:tcPr>
            <w:tcW w:type="dxa" w:w="1872"/>
            <w:vAlign w:val="center"/>
          </w:tcPr>
          <w:p>
            <w:r/>
            <w:r>
              <w:rPr>
                <w:rFonts w:ascii="Aptos" w:hAnsi="Aptos"/>
                <w:b w:val="0"/>
                <w:sz w:val="18"/>
              </w:rPr>
              <w:t>Unresolved</w:t>
            </w:r>
          </w:p>
        </w:tc>
        <w:tc>
          <w:tcPr>
            <w:tcW w:type="dxa" w:w="4320"/>
            <w:vAlign w:val="center"/>
          </w:tcPr>
          <w:p>
            <w:r/>
            <w:r>
              <w:rPr>
                <w:rFonts w:ascii="Aptos" w:hAnsi="Aptos"/>
                <w:b w:val="0"/>
                <w:sz w:val="18"/>
              </w:rPr>
              <w:t>Low confidence or contradictory evidence</w:t>
            </w:r>
          </w:p>
        </w:tc>
        <w:tc>
          <w:tcPr>
            <w:tcW w:type="dxa" w:w="3744"/>
            <w:vAlign w:val="center"/>
          </w:tcPr>
          <w:p>
            <w:r/>
            <w:r>
              <w:rPr>
                <w:rFonts w:ascii="Aptos" w:hAnsi="Aptos"/>
                <w:b w:val="0"/>
                <w:sz w:val="18"/>
              </w:rPr>
              <w:t>Do not invent event; preserve residual</w:t>
            </w:r>
          </w:p>
        </w:tc>
      </w:tr>
    </w:tbl>
    <w:p/>
    <w:p>
      <w:pPr>
        <w:pStyle w:val="Heading1"/>
      </w:pPr>
      <w:r>
        <w:t>11. Where AI Is Used — and Where It Is Not</w:t>
      </w:r>
    </w:p>
    <w:tbl>
      <w:tblPr>
        <w:tblStyle w:val="TableGrid"/>
        <w:tblW w:type="auto" w:w="0"/>
        <w:jc w:val="center"/>
        <w:tblLook w:firstColumn="1" w:firstRow="1" w:lastColumn="0" w:lastRow="0" w:noHBand="0" w:noVBand="1" w:val="04A0"/>
      </w:tblPr>
      <w:tblGrid>
        <w:gridCol w:w="5083"/>
        <w:gridCol w:w="5083"/>
      </w:tblGrid>
      <w:tr>
        <w:tc>
          <w:tcPr>
            <w:tcW w:type="dxa" w:w="4752"/>
            <w:vAlign w:val="center"/>
            <w:shd w:fill="0F172A"/>
          </w:tcPr>
          <w:p>
            <w:r>
              <w:rPr>
                <w:color w:val="FFFFFF"/>
              </w:rPr>
            </w:r>
            <w:r>
              <w:rPr>
                <w:rFonts w:ascii="Aptos" w:hAnsi="Aptos"/>
                <w:b/>
                <w:color w:val="FFFFFF"/>
                <w:sz w:val="18"/>
              </w:rPr>
              <w:t>Use AI for</w:t>
            </w:r>
          </w:p>
        </w:tc>
        <w:tc>
          <w:tcPr>
            <w:tcW w:type="dxa" w:w="4752"/>
            <w:vAlign w:val="center"/>
            <w:shd w:fill="0F172A"/>
          </w:tcPr>
          <w:p>
            <w:r>
              <w:rPr>
                <w:color w:val="FFFFFF"/>
              </w:rPr>
            </w:r>
            <w:r>
              <w:rPr>
                <w:rFonts w:ascii="Aptos" w:hAnsi="Aptos"/>
                <w:b/>
                <w:color w:val="FFFFFF"/>
                <w:sz w:val="18"/>
              </w:rPr>
              <w:t>Do NOT use AI for</w:t>
            </w:r>
          </w:p>
        </w:tc>
      </w:tr>
      <w:tr>
        <w:tc>
          <w:tcPr>
            <w:tcW w:type="dxa" w:w="4752"/>
            <w:vAlign w:val="center"/>
          </w:tcPr>
          <w:p>
            <w:r/>
            <w:r>
              <w:rPr>
                <w:rFonts w:ascii="Aptos" w:hAnsi="Aptos"/>
                <w:b w:val="0"/>
                <w:sz w:val="18"/>
              </w:rPr>
              <w:t>Parsing messy reference text and descriptions</w:t>
            </w:r>
          </w:p>
        </w:tc>
        <w:tc>
          <w:tcPr>
            <w:tcW w:type="dxa" w:w="4752"/>
            <w:vAlign w:val="center"/>
          </w:tcPr>
          <w:p>
            <w:r/>
            <w:r>
              <w:rPr>
                <w:rFonts w:ascii="Aptos" w:hAnsi="Aptos"/>
                <w:b w:val="0"/>
                <w:sz w:val="18"/>
              </w:rPr>
              <w:t>Basic arithmetic</w:t>
            </w:r>
          </w:p>
        </w:tc>
      </w:tr>
      <w:tr>
        <w:tc>
          <w:tcPr>
            <w:tcW w:type="dxa" w:w="4752"/>
            <w:vAlign w:val="center"/>
          </w:tcPr>
          <w:p>
            <w:r/>
            <w:r>
              <w:rPr>
                <w:rFonts w:ascii="Aptos" w:hAnsi="Aptos"/>
                <w:b w:val="0"/>
                <w:sz w:val="18"/>
              </w:rPr>
              <w:t>Mapping semantically similar event descriptions to canonical types</w:t>
            </w:r>
          </w:p>
        </w:tc>
        <w:tc>
          <w:tcPr>
            <w:tcW w:type="dxa" w:w="4752"/>
            <w:vAlign w:val="center"/>
          </w:tcPr>
          <w:p>
            <w:r/>
            <w:r>
              <w:rPr>
                <w:rFonts w:ascii="Aptos" w:hAnsi="Aptos"/>
                <w:b w:val="0"/>
                <w:sz w:val="18"/>
              </w:rPr>
              <w:t>Exact IDs and deterministic joins</w:t>
            </w:r>
          </w:p>
        </w:tc>
      </w:tr>
      <w:tr>
        <w:tc>
          <w:tcPr>
            <w:tcW w:type="dxa" w:w="4752"/>
            <w:vAlign w:val="center"/>
          </w:tcPr>
          <w:p>
            <w:r/>
            <w:r>
              <w:rPr>
                <w:rFonts w:ascii="Aptos" w:hAnsi="Aptos"/>
                <w:b w:val="0"/>
                <w:sz w:val="18"/>
              </w:rPr>
              <w:t>Generating candidate hypotheses from ambiguous narratives</w:t>
            </w:r>
          </w:p>
        </w:tc>
        <w:tc>
          <w:tcPr>
            <w:tcW w:type="dxa" w:w="4752"/>
            <w:vAlign w:val="center"/>
          </w:tcPr>
          <w:p>
            <w:r/>
            <w:r>
              <w:rPr>
                <w:rFonts w:ascii="Aptos" w:hAnsi="Aptos"/>
                <w:b w:val="0"/>
                <w:sz w:val="18"/>
              </w:rPr>
              <w:t>Authoritative ledger arithmetic</w:t>
            </w:r>
          </w:p>
        </w:tc>
      </w:tr>
      <w:tr>
        <w:tc>
          <w:tcPr>
            <w:tcW w:type="dxa" w:w="4752"/>
            <w:vAlign w:val="center"/>
          </w:tcPr>
          <w:p>
            <w:r/>
            <w:r>
              <w:rPr>
                <w:rFonts w:ascii="Aptos" w:hAnsi="Aptos"/>
                <w:b w:val="0"/>
                <w:sz w:val="18"/>
              </w:rPr>
              <w:t>Explaining the chosen explanation in plain language</w:t>
            </w:r>
          </w:p>
        </w:tc>
        <w:tc>
          <w:tcPr>
            <w:tcW w:type="dxa" w:w="4752"/>
            <w:vAlign w:val="center"/>
          </w:tcPr>
          <w:p>
            <w:r/>
            <w:r>
              <w:rPr>
                <w:rFonts w:ascii="Aptos" w:hAnsi="Aptos"/>
                <w:b w:val="0"/>
                <w:sz w:val="18"/>
              </w:rPr>
              <w:t>Crossing policy thresholds</w:t>
            </w:r>
          </w:p>
        </w:tc>
      </w:tr>
      <w:tr>
        <w:tc>
          <w:tcPr>
            <w:tcW w:type="dxa" w:w="4752"/>
            <w:vAlign w:val="center"/>
          </w:tcPr>
          <w:p>
            <w:r/>
            <w:r>
              <w:rPr>
                <w:rFonts w:ascii="Aptos" w:hAnsi="Aptos"/>
                <w:b w:val="0"/>
                <w:sz w:val="18"/>
              </w:rPr>
              <w:t>Summarizing root-cause clusters</w:t>
            </w:r>
          </w:p>
        </w:tc>
        <w:tc>
          <w:tcPr>
            <w:tcW w:type="dxa" w:w="4752"/>
            <w:vAlign w:val="center"/>
          </w:tcPr>
          <w:p>
            <w:r/>
            <w:r>
              <w:rPr>
                <w:rFonts w:ascii="Aptos" w:hAnsi="Aptos"/>
                <w:b w:val="0"/>
                <w:sz w:val="18"/>
              </w:rPr>
              <w:t>Executing real money movement</w:t>
            </w:r>
          </w:p>
        </w:tc>
      </w:tr>
    </w:tbl>
    <w:p/>
    <w:tbl>
      <w:tblPr>
        <w:tblStyle w:val="TableGrid"/>
        <w:tblW w:type="auto" w:w="0"/>
        <w:jc w:val="center"/>
        <w:tblLook w:firstColumn="1" w:firstRow="1" w:lastColumn="0" w:lastRow="0" w:noHBand="0" w:noVBand="1" w:val="04A0"/>
      </w:tblPr>
      <w:tblGrid>
        <w:gridCol w:w="10166"/>
      </w:tblGrid>
      <w:tr>
        <w:tc>
          <w:tcPr>
            <w:tcW w:type="dxa" w:w="10166"/>
            <w:shd w:fill="ECFDF5"/>
          </w:tcPr>
          <w:p>
            <w:r/>
            <w:r>
              <w:rPr>
                <w:b/>
                <w:color w:val="0F172A"/>
                <w:sz w:val="22"/>
              </w:rPr>
              <w:t>AI JUDGMENT SIGNAL</w:t>
              <w:br/>
            </w:r>
            <w:r>
              <w:rPr>
                <w:rFonts w:ascii="Aptos" w:hAnsi="Aptos"/>
                <w:sz w:val="20"/>
              </w:rPr>
              <w:t>The presentation should explicitly show a case where the deterministic engine solved the problem and the LLM was never called. Then show a genuinely ambiguous case where AI is useful. This directly demonstrates “the right tool in the right place.”</w:t>
            </w:r>
          </w:p>
        </w:tc>
      </w:tr>
    </w:tbl>
    <w:p/>
    <w:p>
      <w:pPr>
        <w:pStyle w:val="Heading1"/>
      </w:pPr>
      <w:r>
        <w:t>12. Evaluation Strategy</w:t>
      </w:r>
    </w:p>
    <w:p>
      <w:r>
        <w:t>The benchmark must be designed before the model is tuned. We will generate a synthetic “merchant universe” with known ground truth and controlled corruption. Each hidden event will be inserted intentionally so we know what actually happened.</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0F172A"/>
          </w:tcPr>
          <w:p>
            <w:r>
              <w:rPr>
                <w:color w:val="FFFFFF"/>
              </w:rPr>
            </w:r>
            <w:r>
              <w:rPr>
                <w:rFonts w:ascii="Aptos" w:hAnsi="Aptos"/>
                <w:b/>
                <w:color w:val="FFFFFF"/>
                <w:sz w:val="18"/>
              </w:rPr>
              <w:t>Dataset slice</w:t>
            </w:r>
          </w:p>
        </w:tc>
        <w:tc>
          <w:tcPr>
            <w:tcW w:type="dxa" w:w="4608"/>
            <w:vAlign w:val="center"/>
            <w:shd w:fill="0F172A"/>
          </w:tcPr>
          <w:p>
            <w:r>
              <w:rPr>
                <w:color w:val="FFFFFF"/>
              </w:rPr>
            </w:r>
            <w:r>
              <w:rPr>
                <w:rFonts w:ascii="Aptos" w:hAnsi="Aptos"/>
                <w:b/>
                <w:color w:val="FFFFFF"/>
                <w:sz w:val="18"/>
              </w:rPr>
              <w:t>Purpose</w:t>
            </w:r>
          </w:p>
        </w:tc>
        <w:tc>
          <w:tcPr>
            <w:tcW w:type="dxa" w:w="3096"/>
            <w:vAlign w:val="center"/>
            <w:shd w:fill="0F172A"/>
          </w:tcPr>
          <w:p>
            <w:r>
              <w:rPr>
                <w:color w:val="FFFFFF"/>
              </w:rPr>
            </w:r>
            <w:r>
              <w:rPr>
                <w:rFonts w:ascii="Aptos" w:hAnsi="Aptos"/>
                <w:b/>
                <w:color w:val="FFFFFF"/>
                <w:sz w:val="18"/>
              </w:rPr>
              <w:t>Target</w:t>
            </w:r>
          </w:p>
        </w:tc>
      </w:tr>
      <w:tr>
        <w:tc>
          <w:tcPr>
            <w:tcW w:type="dxa" w:w="2088"/>
            <w:vAlign w:val="center"/>
          </w:tcPr>
          <w:p>
            <w:r/>
            <w:r>
              <w:rPr>
                <w:rFonts w:ascii="Aptos" w:hAnsi="Aptos"/>
                <w:b w:val="0"/>
                <w:sz w:val="18"/>
              </w:rPr>
              <w:t>Clean cases</w:t>
            </w:r>
          </w:p>
        </w:tc>
        <w:tc>
          <w:tcPr>
            <w:tcW w:type="dxa" w:w="4608"/>
            <w:vAlign w:val="center"/>
          </w:tcPr>
          <w:p>
            <w:r/>
            <w:r>
              <w:rPr>
                <w:rFonts w:ascii="Aptos" w:hAnsi="Aptos"/>
                <w:b w:val="0"/>
                <w:sz w:val="18"/>
              </w:rPr>
              <w:t>Measure unnecessary complexity / false intervention</w:t>
            </w:r>
          </w:p>
        </w:tc>
        <w:tc>
          <w:tcPr>
            <w:tcW w:type="dxa" w:w="3096"/>
            <w:vAlign w:val="center"/>
          </w:tcPr>
          <w:p>
            <w:r/>
            <w:r>
              <w:rPr>
                <w:rFonts w:ascii="Aptos" w:hAnsi="Aptos"/>
                <w:b w:val="0"/>
                <w:sz w:val="18"/>
              </w:rPr>
              <w:t>High exact-match rate</w:t>
            </w:r>
          </w:p>
        </w:tc>
      </w:tr>
      <w:tr>
        <w:tc>
          <w:tcPr>
            <w:tcW w:type="dxa" w:w="2088"/>
            <w:vAlign w:val="center"/>
          </w:tcPr>
          <w:p>
            <w:r/>
            <w:r>
              <w:rPr>
                <w:rFonts w:ascii="Aptos" w:hAnsi="Aptos"/>
                <w:b w:val="0"/>
                <w:sz w:val="18"/>
              </w:rPr>
              <w:t>Ambiguous cases</w:t>
            </w:r>
          </w:p>
        </w:tc>
        <w:tc>
          <w:tcPr>
            <w:tcW w:type="dxa" w:w="4608"/>
            <w:vAlign w:val="center"/>
          </w:tcPr>
          <w:p>
            <w:r/>
            <w:r>
              <w:rPr>
                <w:rFonts w:ascii="Aptos" w:hAnsi="Aptos"/>
                <w:b w:val="0"/>
                <w:sz w:val="18"/>
              </w:rPr>
              <w:t>Test hypothesis ranking</w:t>
            </w:r>
          </w:p>
        </w:tc>
        <w:tc>
          <w:tcPr>
            <w:tcW w:type="dxa" w:w="3096"/>
            <w:vAlign w:val="center"/>
          </w:tcPr>
          <w:p>
            <w:r/>
            <w:r>
              <w:rPr>
                <w:rFonts w:ascii="Aptos" w:hAnsi="Aptos"/>
                <w:b w:val="0"/>
                <w:sz w:val="18"/>
              </w:rPr>
              <w:t>Measured precision / recall</w:t>
            </w:r>
          </w:p>
        </w:tc>
      </w:tr>
      <w:tr>
        <w:tc>
          <w:tcPr>
            <w:tcW w:type="dxa" w:w="2088"/>
            <w:vAlign w:val="center"/>
          </w:tcPr>
          <w:p>
            <w:r/>
            <w:r>
              <w:rPr>
                <w:rFonts w:ascii="Aptos" w:hAnsi="Aptos"/>
                <w:b w:val="0"/>
                <w:sz w:val="18"/>
              </w:rPr>
              <w:t>Edge-case cases</w:t>
            </w:r>
          </w:p>
        </w:tc>
        <w:tc>
          <w:tcPr>
            <w:tcW w:type="dxa" w:w="4608"/>
            <w:vAlign w:val="center"/>
          </w:tcPr>
          <w:p>
            <w:r/>
            <w:r>
              <w:rPr>
                <w:rFonts w:ascii="Aptos" w:hAnsi="Aptos"/>
                <w:b w:val="0"/>
                <w:sz w:val="18"/>
              </w:rPr>
              <w:t>Test latent event recovery</w:t>
            </w:r>
          </w:p>
        </w:tc>
        <w:tc>
          <w:tcPr>
            <w:tcW w:type="dxa" w:w="3096"/>
            <w:vAlign w:val="center"/>
          </w:tcPr>
          <w:p>
            <w:r/>
            <w:r>
              <w:rPr>
                <w:rFonts w:ascii="Aptos" w:hAnsi="Aptos"/>
                <w:b w:val="0"/>
                <w:sz w:val="18"/>
              </w:rPr>
              <w:t>Known labels for non-cash, credits, refunds, adjustments</w:t>
            </w:r>
          </w:p>
        </w:tc>
      </w:tr>
      <w:tr>
        <w:tc>
          <w:tcPr>
            <w:tcW w:type="dxa" w:w="2088"/>
            <w:vAlign w:val="center"/>
          </w:tcPr>
          <w:p>
            <w:r/>
            <w:r>
              <w:rPr>
                <w:rFonts w:ascii="Aptos" w:hAnsi="Aptos"/>
                <w:b w:val="0"/>
                <w:sz w:val="18"/>
              </w:rPr>
              <w:t>Adversarial cases</w:t>
            </w:r>
          </w:p>
        </w:tc>
        <w:tc>
          <w:tcPr>
            <w:tcW w:type="dxa" w:w="4608"/>
            <w:vAlign w:val="center"/>
          </w:tcPr>
          <w:p>
            <w:r/>
            <w:r>
              <w:rPr>
                <w:rFonts w:ascii="Aptos" w:hAnsi="Aptos"/>
                <w:b w:val="0"/>
                <w:sz w:val="18"/>
              </w:rPr>
              <w:t>Prevent hallucination</w:t>
            </w:r>
          </w:p>
        </w:tc>
        <w:tc>
          <w:tcPr>
            <w:tcW w:type="dxa" w:w="3096"/>
            <w:vAlign w:val="center"/>
          </w:tcPr>
          <w:p>
            <w:r/>
            <w:r>
              <w:rPr>
                <w:rFonts w:ascii="Aptos" w:hAnsi="Aptos"/>
                <w:b w:val="0"/>
                <w:sz w:val="18"/>
              </w:rPr>
              <w:t>System should abstain when evidence conflicts</w:t>
            </w:r>
          </w:p>
        </w:tc>
      </w:tr>
      <w:tr>
        <w:tc>
          <w:tcPr>
            <w:tcW w:type="dxa" w:w="2088"/>
            <w:vAlign w:val="center"/>
          </w:tcPr>
          <w:p>
            <w:r/>
            <w:r>
              <w:rPr>
                <w:rFonts w:ascii="Aptos" w:hAnsi="Aptos"/>
                <w:b w:val="0"/>
                <w:sz w:val="18"/>
              </w:rPr>
              <w:t>Held-out merchant patterns</w:t>
            </w:r>
          </w:p>
        </w:tc>
        <w:tc>
          <w:tcPr>
            <w:tcW w:type="dxa" w:w="4608"/>
            <w:vAlign w:val="center"/>
          </w:tcPr>
          <w:p>
            <w:r/>
            <w:r>
              <w:rPr>
                <w:rFonts w:ascii="Aptos" w:hAnsi="Aptos"/>
                <w:b w:val="0"/>
                <w:sz w:val="18"/>
              </w:rPr>
              <w:t>Test generalization</w:t>
            </w:r>
          </w:p>
        </w:tc>
        <w:tc>
          <w:tcPr>
            <w:tcW w:type="dxa" w:w="3096"/>
            <w:vAlign w:val="center"/>
          </w:tcPr>
          <w:p>
            <w:r/>
            <w:r>
              <w:rPr>
                <w:rFonts w:ascii="Aptos" w:hAnsi="Aptos"/>
                <w:b w:val="0"/>
                <w:sz w:val="18"/>
              </w:rPr>
              <w:t>No leakage from generation templates</w:t>
            </w:r>
          </w:p>
        </w:tc>
      </w:tr>
      <w:tr>
        <w:tc>
          <w:tcPr>
            <w:tcW w:type="dxa" w:w="2088"/>
            <w:vAlign w:val="center"/>
          </w:tcPr>
          <w:p>
            <w:r/>
            <w:r>
              <w:rPr>
                <w:rFonts w:ascii="Aptos" w:hAnsi="Aptos"/>
                <w:b w:val="0"/>
                <w:sz w:val="18"/>
              </w:rPr>
              <w:t>Large batch</w:t>
            </w:r>
          </w:p>
        </w:tc>
        <w:tc>
          <w:tcPr>
            <w:tcW w:type="dxa" w:w="4608"/>
            <w:vAlign w:val="center"/>
          </w:tcPr>
          <w:p>
            <w:r/>
            <w:r>
              <w:rPr>
                <w:rFonts w:ascii="Aptos" w:hAnsi="Aptos"/>
                <w:b w:val="0"/>
                <w:sz w:val="18"/>
              </w:rPr>
              <w:t>Test throughput</w:t>
            </w:r>
          </w:p>
        </w:tc>
        <w:tc>
          <w:tcPr>
            <w:tcW w:type="dxa" w:w="3096"/>
            <w:vAlign w:val="center"/>
          </w:tcPr>
          <w:p>
            <w:r/>
            <w:r>
              <w:rPr>
                <w:rFonts w:ascii="Aptos" w:hAnsi="Aptos"/>
                <w:b w:val="0"/>
                <w:sz w:val="18"/>
              </w:rPr>
              <w:t>10k+ events in one run</w:t>
            </w:r>
          </w:p>
        </w:tc>
      </w:tr>
    </w:tbl>
    <w:p/>
    <w:p>
      <w:pPr>
        <w:pStyle w:val="Heading2"/>
      </w:pPr>
      <w:r>
        <w:t>12.1 Required metrics</w:t>
      </w:r>
    </w:p>
    <w:p>
      <w:pPr>
        <w:pStyle w:val="ListBullet"/>
        <w:spacing w:after="40"/>
      </w:pPr>
      <w:r>
        <w:t>Record throughput: events/second and total batch completion time.</w:t>
      </w:r>
    </w:p>
    <w:p>
      <w:pPr>
        <w:pStyle w:val="ListBullet"/>
        <w:spacing w:after="40"/>
      </w:pPr>
      <w:r>
        <w:t>Match/Resolution precision: fraction of auto-resolved cases that are correct.</w:t>
      </w:r>
    </w:p>
    <w:p>
      <w:pPr>
        <w:pStyle w:val="ListBullet"/>
        <w:spacing w:after="40"/>
      </w:pPr>
      <w:r>
        <w:t>Resolution recall: fraction of truly resolvable cases correctly resolved.</w:t>
      </w:r>
    </w:p>
    <w:p>
      <w:pPr>
        <w:pStyle w:val="ListBullet"/>
        <w:spacing w:after="40"/>
      </w:pPr>
      <w:r>
        <w:t>Coverage: proportion of batch for which the system can make a safe disposition (resolved/review/unresolved).</w:t>
      </w:r>
    </w:p>
    <w:p>
      <w:pPr>
        <w:pStyle w:val="ListBullet"/>
        <w:spacing w:after="40"/>
      </w:pPr>
      <w:r>
        <w:t>False-resolution cost: financial value incorrectly auto-resolved.</w:t>
      </w:r>
    </w:p>
    <w:p>
      <w:pPr>
        <w:pStyle w:val="ListBullet"/>
        <w:spacing w:after="40"/>
      </w:pPr>
      <w:r>
        <w:t>Exception quality: percentage of unresolved cases that are legitimately ambiguous or unsupported.</w:t>
      </w:r>
    </w:p>
    <w:p>
      <w:pPr>
        <w:pStyle w:val="ListBullet"/>
        <w:spacing w:after="40"/>
      </w:pPr>
      <w:r>
        <w:t>Human effort proxy: estimated review volume / minutes saved.</w:t>
      </w:r>
    </w:p>
    <w:p>
      <w:pPr>
        <w:pStyle w:val="Heading1"/>
      </w:pPr>
      <w:r>
        <w:t>13. Edge-Case Battery</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0F172A"/>
          </w:tcPr>
          <w:p>
            <w:r>
              <w:rPr>
                <w:color w:val="FFFFFF"/>
              </w:rPr>
            </w:r>
            <w:r>
              <w:rPr>
                <w:rFonts w:ascii="Aptos" w:hAnsi="Aptos"/>
                <w:b/>
                <w:color w:val="FFFFFF"/>
                <w:sz w:val="18"/>
              </w:rPr>
              <w:t>Scenario</w:t>
            </w:r>
          </w:p>
        </w:tc>
        <w:tc>
          <w:tcPr>
            <w:tcW w:type="dxa" w:w="4680"/>
            <w:vAlign w:val="center"/>
            <w:shd w:fill="0F172A"/>
          </w:tcPr>
          <w:p>
            <w:r>
              <w:rPr>
                <w:color w:val="FFFFFF"/>
              </w:rPr>
            </w:r>
            <w:r>
              <w:rPr>
                <w:rFonts w:ascii="Aptos" w:hAnsi="Aptos"/>
                <w:b/>
                <w:color w:val="FFFFFF"/>
                <w:sz w:val="18"/>
              </w:rPr>
              <w:t>Synthetic setup</w:t>
            </w:r>
          </w:p>
        </w:tc>
        <w:tc>
          <w:tcPr>
            <w:tcW w:type="dxa" w:w="3168"/>
            <w:vAlign w:val="center"/>
            <w:shd w:fill="0F172A"/>
          </w:tcPr>
          <w:p>
            <w:r>
              <w:rPr>
                <w:color w:val="FFFFFF"/>
              </w:rPr>
            </w:r>
            <w:r>
              <w:rPr>
                <w:rFonts w:ascii="Aptos" w:hAnsi="Aptos"/>
                <w:b/>
                <w:color w:val="FFFFFF"/>
                <w:sz w:val="18"/>
              </w:rPr>
              <w:t>Expected system behavior</w:t>
            </w:r>
          </w:p>
        </w:tc>
      </w:tr>
      <w:tr>
        <w:tc>
          <w:tcPr>
            <w:tcW w:type="dxa" w:w="1944"/>
            <w:vAlign w:val="center"/>
          </w:tcPr>
          <w:p>
            <w:r/>
            <w:r>
              <w:rPr>
                <w:rFonts w:ascii="Aptos" w:hAnsi="Aptos"/>
                <w:b w:val="0"/>
                <w:sz w:val="18"/>
              </w:rPr>
              <w:t>Kirana change</w:t>
            </w:r>
          </w:p>
        </w:tc>
        <w:tc>
          <w:tcPr>
            <w:tcW w:type="dxa" w:w="4680"/>
            <w:vAlign w:val="center"/>
          </w:tcPr>
          <w:p>
            <w:r/>
            <w:r>
              <w:rPr>
                <w:rFonts w:ascii="Aptos" w:hAnsi="Aptos"/>
                <w:b w:val="0"/>
                <w:sz w:val="18"/>
              </w:rPr>
              <w:t>₹100 paid for ₹98; ₹2 inventory item given</w:t>
            </w:r>
          </w:p>
        </w:tc>
        <w:tc>
          <w:tcPr>
            <w:tcW w:type="dxa" w:w="3168"/>
            <w:vAlign w:val="center"/>
          </w:tcPr>
          <w:p>
            <w:r/>
            <w:r>
              <w:rPr>
                <w:rFonts w:ascii="Aptos" w:hAnsi="Aptos"/>
                <w:b w:val="0"/>
                <w:sz w:val="18"/>
              </w:rPr>
              <w:t>Non-cash settlement</w:t>
            </w:r>
          </w:p>
        </w:tc>
      </w:tr>
      <w:tr>
        <w:tc>
          <w:tcPr>
            <w:tcW w:type="dxa" w:w="1944"/>
            <w:vAlign w:val="center"/>
          </w:tcPr>
          <w:p>
            <w:r/>
            <w:r>
              <w:rPr>
                <w:rFonts w:ascii="Aptos" w:hAnsi="Aptos"/>
                <w:b w:val="0"/>
                <w:sz w:val="18"/>
              </w:rPr>
              <w:t>Store credit</w:t>
            </w:r>
          </w:p>
        </w:tc>
        <w:tc>
          <w:tcPr>
            <w:tcW w:type="dxa" w:w="4680"/>
            <w:vAlign w:val="center"/>
          </w:tcPr>
          <w:p>
            <w:r/>
            <w:r>
              <w:rPr>
                <w:rFonts w:ascii="Aptos" w:hAnsi="Aptos"/>
                <w:b w:val="0"/>
                <w:sz w:val="18"/>
              </w:rPr>
              <w:t>₹100 paid for ₹98; ₹2 carried to future purchase</w:t>
            </w:r>
          </w:p>
        </w:tc>
        <w:tc>
          <w:tcPr>
            <w:tcW w:type="dxa" w:w="3168"/>
            <w:vAlign w:val="center"/>
          </w:tcPr>
          <w:p>
            <w:r/>
            <w:r>
              <w:rPr>
                <w:rFonts w:ascii="Aptos" w:hAnsi="Aptos"/>
                <w:b w:val="0"/>
                <w:sz w:val="18"/>
              </w:rPr>
              <w:t>Temporal obligation</w:t>
            </w:r>
          </w:p>
        </w:tc>
      </w:tr>
      <w:tr>
        <w:tc>
          <w:tcPr>
            <w:tcW w:type="dxa" w:w="1944"/>
            <w:vAlign w:val="center"/>
          </w:tcPr>
          <w:p>
            <w:r/>
            <w:r>
              <w:rPr>
                <w:rFonts w:ascii="Aptos" w:hAnsi="Aptos"/>
                <w:b w:val="0"/>
                <w:sz w:val="18"/>
              </w:rPr>
              <w:t>Replacement instead of refund</w:t>
            </w:r>
          </w:p>
        </w:tc>
        <w:tc>
          <w:tcPr>
            <w:tcW w:type="dxa" w:w="4680"/>
            <w:vAlign w:val="center"/>
          </w:tcPr>
          <w:p>
            <w:r/>
            <w:r>
              <w:rPr>
                <w:rFonts w:ascii="Aptos" w:hAnsi="Aptos"/>
                <w:b w:val="0"/>
                <w:sz w:val="18"/>
              </w:rPr>
              <w:t>Refund due ₹500; replacement item worth ₹500 issued</w:t>
            </w:r>
          </w:p>
        </w:tc>
        <w:tc>
          <w:tcPr>
            <w:tcW w:type="dxa" w:w="3168"/>
            <w:vAlign w:val="center"/>
          </w:tcPr>
          <w:p>
            <w:r/>
            <w:r>
              <w:rPr>
                <w:rFonts w:ascii="Aptos" w:hAnsi="Aptos"/>
                <w:b w:val="0"/>
                <w:sz w:val="18"/>
              </w:rPr>
              <w:t>Value-equivalent settlement</w:t>
            </w:r>
          </w:p>
        </w:tc>
      </w:tr>
      <w:tr>
        <w:tc>
          <w:tcPr>
            <w:tcW w:type="dxa" w:w="1944"/>
            <w:vAlign w:val="center"/>
          </w:tcPr>
          <w:p>
            <w:r/>
            <w:r>
              <w:rPr>
                <w:rFonts w:ascii="Aptos" w:hAnsi="Aptos"/>
                <w:b w:val="0"/>
                <w:sz w:val="18"/>
              </w:rPr>
              <w:t>Micro-under-collection</w:t>
            </w:r>
          </w:p>
        </w:tc>
        <w:tc>
          <w:tcPr>
            <w:tcW w:type="dxa" w:w="4680"/>
            <w:vAlign w:val="center"/>
          </w:tcPr>
          <w:p>
            <w:r/>
            <w:r>
              <w:rPr>
                <w:rFonts w:ascii="Aptos" w:hAnsi="Aptos"/>
                <w:b w:val="0"/>
                <w:sz w:val="18"/>
              </w:rPr>
              <w:t>Many ₹1–₹5 gaps by same operator</w:t>
            </w:r>
          </w:p>
        </w:tc>
        <w:tc>
          <w:tcPr>
            <w:tcW w:type="dxa" w:w="3168"/>
            <w:vAlign w:val="center"/>
          </w:tcPr>
          <w:p>
            <w:r/>
            <w:r>
              <w:rPr>
                <w:rFonts w:ascii="Aptos" w:hAnsi="Aptos"/>
                <w:b w:val="0"/>
                <w:sz w:val="18"/>
              </w:rPr>
              <w:t>Behavioral fingerprint</w:t>
            </w:r>
          </w:p>
        </w:tc>
      </w:tr>
      <w:tr>
        <w:tc>
          <w:tcPr>
            <w:tcW w:type="dxa" w:w="1944"/>
            <w:vAlign w:val="center"/>
          </w:tcPr>
          <w:p>
            <w:r/>
            <w:r>
              <w:rPr>
                <w:rFonts w:ascii="Aptos" w:hAnsi="Aptos"/>
                <w:b w:val="0"/>
                <w:sz w:val="18"/>
              </w:rPr>
              <w:t>Batch adjustment</w:t>
            </w:r>
          </w:p>
        </w:tc>
        <w:tc>
          <w:tcPr>
            <w:tcW w:type="dxa" w:w="4680"/>
            <w:vAlign w:val="center"/>
          </w:tcPr>
          <w:p>
            <w:r/>
            <w:r>
              <w:rPr>
                <w:rFonts w:ascii="Aptos" w:hAnsi="Aptos"/>
                <w:b w:val="0"/>
                <w:sz w:val="18"/>
              </w:rPr>
              <w:t>Many transactions differ after one settlement event</w:t>
            </w:r>
          </w:p>
        </w:tc>
        <w:tc>
          <w:tcPr>
            <w:tcW w:type="dxa" w:w="3168"/>
            <w:vAlign w:val="center"/>
          </w:tcPr>
          <w:p>
            <w:r/>
            <w:r>
              <w:rPr>
                <w:rFonts w:ascii="Aptos" w:hAnsi="Aptos"/>
                <w:b w:val="0"/>
                <w:sz w:val="18"/>
              </w:rPr>
              <w:t>Shared root cause</w:t>
            </w:r>
          </w:p>
        </w:tc>
      </w:tr>
      <w:tr>
        <w:tc>
          <w:tcPr>
            <w:tcW w:type="dxa" w:w="1944"/>
            <w:vAlign w:val="center"/>
          </w:tcPr>
          <w:p>
            <w:r/>
            <w:r>
              <w:rPr>
                <w:rFonts w:ascii="Aptos" w:hAnsi="Aptos"/>
                <w:b w:val="0"/>
                <w:sz w:val="18"/>
              </w:rPr>
              <w:t>Partial refund</w:t>
            </w:r>
          </w:p>
        </w:tc>
        <w:tc>
          <w:tcPr>
            <w:tcW w:type="dxa" w:w="4680"/>
            <w:vAlign w:val="center"/>
          </w:tcPr>
          <w:p>
            <w:r/>
            <w:r>
              <w:rPr>
                <w:rFonts w:ascii="Aptos" w:hAnsi="Aptos"/>
                <w:b w:val="0"/>
                <w:sz w:val="18"/>
              </w:rPr>
              <w:t>₹10,000 capture; ₹1,500 refund; ₹8,500 settlement</w:t>
            </w:r>
          </w:p>
        </w:tc>
        <w:tc>
          <w:tcPr>
            <w:tcW w:type="dxa" w:w="3168"/>
            <w:vAlign w:val="center"/>
          </w:tcPr>
          <w:p>
            <w:r/>
            <w:r>
              <w:rPr>
                <w:rFonts w:ascii="Aptos" w:hAnsi="Aptos"/>
                <w:b w:val="0"/>
                <w:sz w:val="18"/>
              </w:rPr>
              <w:t>Hidden intermediate event</w:t>
            </w:r>
          </w:p>
        </w:tc>
      </w:tr>
      <w:tr>
        <w:tc>
          <w:tcPr>
            <w:tcW w:type="dxa" w:w="1944"/>
            <w:vAlign w:val="center"/>
          </w:tcPr>
          <w:p>
            <w:r/>
            <w:r>
              <w:rPr>
                <w:rFonts w:ascii="Aptos" w:hAnsi="Aptos"/>
                <w:b w:val="0"/>
                <w:sz w:val="18"/>
              </w:rPr>
              <w:t>Duplicate source</w:t>
            </w:r>
          </w:p>
        </w:tc>
        <w:tc>
          <w:tcPr>
            <w:tcW w:type="dxa" w:w="4680"/>
            <w:vAlign w:val="center"/>
          </w:tcPr>
          <w:p>
            <w:r/>
            <w:r>
              <w:rPr>
                <w:rFonts w:ascii="Aptos" w:hAnsi="Aptos"/>
                <w:b w:val="0"/>
                <w:sz w:val="18"/>
              </w:rPr>
              <w:t>Same payment appears twice</w:t>
            </w:r>
          </w:p>
        </w:tc>
        <w:tc>
          <w:tcPr>
            <w:tcW w:type="dxa" w:w="3168"/>
            <w:vAlign w:val="center"/>
          </w:tcPr>
          <w:p>
            <w:r/>
            <w:r>
              <w:rPr>
                <w:rFonts w:ascii="Aptos" w:hAnsi="Aptos"/>
                <w:b w:val="0"/>
                <w:sz w:val="18"/>
              </w:rPr>
              <w:t>Duplicate detection</w:t>
            </w:r>
          </w:p>
        </w:tc>
      </w:tr>
      <w:tr>
        <w:tc>
          <w:tcPr>
            <w:tcW w:type="dxa" w:w="1944"/>
            <w:vAlign w:val="center"/>
          </w:tcPr>
          <w:p>
            <w:r/>
            <w:r>
              <w:rPr>
                <w:rFonts w:ascii="Aptos" w:hAnsi="Aptos"/>
                <w:b w:val="0"/>
                <w:sz w:val="18"/>
              </w:rPr>
              <w:t>Late settlement</w:t>
            </w:r>
          </w:p>
        </w:tc>
        <w:tc>
          <w:tcPr>
            <w:tcW w:type="dxa" w:w="4680"/>
            <w:vAlign w:val="center"/>
          </w:tcPr>
          <w:p>
            <w:r/>
            <w:r>
              <w:rPr>
                <w:rFonts w:ascii="Aptos" w:hAnsi="Aptos"/>
                <w:b w:val="0"/>
                <w:sz w:val="18"/>
              </w:rPr>
              <w:t>Settlement falls outside usual window but is valid</w:t>
            </w:r>
          </w:p>
        </w:tc>
        <w:tc>
          <w:tcPr>
            <w:tcW w:type="dxa" w:w="3168"/>
            <w:vAlign w:val="center"/>
          </w:tcPr>
          <w:p>
            <w:r/>
            <w:r>
              <w:rPr>
                <w:rFonts w:ascii="Aptos" w:hAnsi="Aptos"/>
                <w:b w:val="0"/>
                <w:sz w:val="18"/>
              </w:rPr>
              <w:t>Temporal robustness</w:t>
            </w:r>
          </w:p>
        </w:tc>
      </w:tr>
      <w:tr>
        <w:tc>
          <w:tcPr>
            <w:tcW w:type="dxa" w:w="1944"/>
            <w:vAlign w:val="center"/>
          </w:tcPr>
          <w:p>
            <w:r/>
            <w:r>
              <w:rPr>
                <w:rFonts w:ascii="Aptos" w:hAnsi="Aptos"/>
                <w:b w:val="0"/>
                <w:sz w:val="18"/>
              </w:rPr>
              <w:t>Conflicting evidence</w:t>
            </w:r>
          </w:p>
        </w:tc>
        <w:tc>
          <w:tcPr>
            <w:tcW w:type="dxa" w:w="4680"/>
            <w:vAlign w:val="center"/>
          </w:tcPr>
          <w:p>
            <w:r/>
            <w:r>
              <w:rPr>
                <w:rFonts w:ascii="Aptos" w:hAnsi="Aptos"/>
                <w:b w:val="0"/>
                <w:sz w:val="18"/>
              </w:rPr>
              <w:t>Two plausible explanations with similar score</w:t>
            </w:r>
          </w:p>
        </w:tc>
        <w:tc>
          <w:tcPr>
            <w:tcW w:type="dxa" w:w="3168"/>
            <w:vAlign w:val="center"/>
          </w:tcPr>
          <w:p>
            <w:r/>
            <w:r>
              <w:rPr>
                <w:rFonts w:ascii="Aptos" w:hAnsi="Aptos"/>
                <w:b w:val="0"/>
                <w:sz w:val="18"/>
              </w:rPr>
              <w:t>Abstention / review</w:t>
            </w:r>
          </w:p>
        </w:tc>
      </w:tr>
      <w:tr>
        <w:tc>
          <w:tcPr>
            <w:tcW w:type="dxa" w:w="1944"/>
            <w:vAlign w:val="center"/>
          </w:tcPr>
          <w:p>
            <w:r/>
            <w:r>
              <w:rPr>
                <w:rFonts w:ascii="Aptos" w:hAnsi="Aptos"/>
                <w:b w:val="0"/>
                <w:sz w:val="18"/>
              </w:rPr>
              <w:t>Unknown pattern</w:t>
            </w:r>
          </w:p>
        </w:tc>
        <w:tc>
          <w:tcPr>
            <w:tcW w:type="dxa" w:w="4680"/>
            <w:vAlign w:val="center"/>
          </w:tcPr>
          <w:p>
            <w:r/>
            <w:r>
              <w:rPr>
                <w:rFonts w:ascii="Aptos" w:hAnsi="Aptos"/>
                <w:b w:val="0"/>
                <w:sz w:val="18"/>
              </w:rPr>
              <w:t>No candidate satisfies enough constraints</w:t>
            </w:r>
          </w:p>
        </w:tc>
        <w:tc>
          <w:tcPr>
            <w:tcW w:type="dxa" w:w="3168"/>
            <w:vAlign w:val="center"/>
          </w:tcPr>
          <w:p>
            <w:r/>
            <w:r>
              <w:rPr>
                <w:rFonts w:ascii="Aptos" w:hAnsi="Aptos"/>
                <w:b w:val="0"/>
                <w:sz w:val="18"/>
              </w:rPr>
              <w:t>Honest unresolved exception</w:t>
            </w:r>
          </w:p>
        </w:tc>
      </w:tr>
    </w:tbl>
    <w:p/>
    <w:p>
      <w:pPr>
        <w:pStyle w:val="Heading1"/>
      </w:pPr>
      <w:r>
        <w:t>14. 56-Hour Build Roadmap</w:t>
      </w:r>
    </w:p>
    <w:p>
      <w:r>
        <w:t>The plan is optimized for a working submission, not productionization. Every phase has an exit condition. If time slips, advanced visualizations are cut before core correctness.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0F172A"/>
          </w:tcPr>
          <w:p>
            <w:r>
              <w:rPr>
                <w:color w:val="FFFFFF"/>
              </w:rPr>
            </w:r>
            <w:r>
              <w:rPr>
                <w:rFonts w:ascii="Aptos" w:hAnsi="Aptos"/>
                <w:b/>
                <w:color w:val="FFFFFF"/>
                <w:sz w:val="18"/>
              </w:rPr>
              <w:t>Time</w:t>
            </w:r>
          </w:p>
        </w:tc>
        <w:tc>
          <w:tcPr>
            <w:tcW w:type="dxa" w:w="1944"/>
            <w:vAlign w:val="center"/>
            <w:shd w:fill="0F172A"/>
          </w:tcPr>
          <w:p>
            <w:r>
              <w:rPr>
                <w:color w:val="FFFFFF"/>
              </w:rPr>
            </w:r>
            <w:r>
              <w:rPr>
                <w:rFonts w:ascii="Aptos" w:hAnsi="Aptos"/>
                <w:b/>
                <w:color w:val="FFFFFF"/>
                <w:sz w:val="18"/>
              </w:rPr>
              <w:t>Phase</w:t>
            </w:r>
          </w:p>
        </w:tc>
        <w:tc>
          <w:tcPr>
            <w:tcW w:type="dxa" w:w="4320"/>
            <w:vAlign w:val="center"/>
            <w:shd w:fill="0F172A"/>
          </w:tcPr>
          <w:p>
            <w:r>
              <w:rPr>
                <w:color w:val="FFFFFF"/>
              </w:rPr>
            </w:r>
            <w:r>
              <w:rPr>
                <w:rFonts w:ascii="Aptos" w:hAnsi="Aptos"/>
                <w:b/>
                <w:color w:val="FFFFFF"/>
                <w:sz w:val="18"/>
              </w:rPr>
              <w:t>Work</w:t>
            </w:r>
          </w:p>
        </w:tc>
        <w:tc>
          <w:tcPr>
            <w:tcW w:type="dxa" w:w="2088"/>
            <w:vAlign w:val="center"/>
            <w:shd w:fill="0F172A"/>
          </w:tcPr>
          <w:p>
            <w:r>
              <w:rPr>
                <w:color w:val="FFFFFF"/>
              </w:rPr>
            </w:r>
            <w:r>
              <w:rPr>
                <w:rFonts w:ascii="Aptos" w:hAnsi="Aptos"/>
                <w:b/>
                <w:color w:val="FFFFFF"/>
                <w:sz w:val="18"/>
              </w:rPr>
              <w:t>Exit condition</w:t>
            </w:r>
          </w:p>
        </w:tc>
      </w:tr>
      <w:tr>
        <w:tc>
          <w:tcPr>
            <w:tcW w:type="dxa" w:w="1152"/>
            <w:vAlign w:val="center"/>
          </w:tcPr>
          <w:p>
            <w:r/>
            <w:r>
              <w:rPr>
                <w:rFonts w:ascii="Aptos" w:hAnsi="Aptos"/>
                <w:b w:val="0"/>
                <w:sz w:val="18"/>
              </w:rPr>
              <w:t>0–4h</w:t>
            </w:r>
          </w:p>
        </w:tc>
        <w:tc>
          <w:tcPr>
            <w:tcW w:type="dxa" w:w="1944"/>
            <w:vAlign w:val="center"/>
          </w:tcPr>
          <w:p>
            <w:r/>
            <w:r>
              <w:rPr>
                <w:rFonts w:ascii="Aptos" w:hAnsi="Aptos"/>
                <w:b w:val="0"/>
                <w:sz w:val="18"/>
              </w:rPr>
              <w:t>Lock benchmark + architecture</w:t>
            </w:r>
          </w:p>
        </w:tc>
        <w:tc>
          <w:tcPr>
            <w:tcW w:type="dxa" w:w="4320"/>
            <w:vAlign w:val="center"/>
          </w:tcPr>
          <w:p>
            <w:r/>
            <w:r>
              <w:rPr>
                <w:rFonts w:ascii="Aptos" w:hAnsi="Aptos"/>
                <w:b w:val="0"/>
                <w:sz w:val="18"/>
              </w:rPr>
              <w:t>Write event schema; define 8–10 edge-case generators; define metrics; freeze MVP scope.</w:t>
            </w:r>
          </w:p>
        </w:tc>
        <w:tc>
          <w:tcPr>
            <w:tcW w:type="dxa" w:w="2088"/>
            <w:vAlign w:val="center"/>
          </w:tcPr>
          <w:p>
            <w:r/>
            <w:r>
              <w:rPr>
                <w:rFonts w:ascii="Aptos" w:hAnsi="Aptos"/>
                <w:b w:val="0"/>
                <w:sz w:val="18"/>
              </w:rPr>
              <w:t>A test generator can create labeled cases.</w:t>
            </w:r>
          </w:p>
        </w:tc>
      </w:tr>
      <w:tr>
        <w:tc>
          <w:tcPr>
            <w:tcW w:type="dxa" w:w="1152"/>
            <w:vAlign w:val="center"/>
          </w:tcPr>
          <w:p>
            <w:r/>
            <w:r>
              <w:rPr>
                <w:rFonts w:ascii="Aptos" w:hAnsi="Aptos"/>
                <w:b w:val="0"/>
                <w:sz w:val="18"/>
              </w:rPr>
              <w:t>4–9h</w:t>
            </w:r>
          </w:p>
        </w:tc>
        <w:tc>
          <w:tcPr>
            <w:tcW w:type="dxa" w:w="1944"/>
            <w:vAlign w:val="center"/>
          </w:tcPr>
          <w:p>
            <w:r/>
            <w:r>
              <w:rPr>
                <w:rFonts w:ascii="Aptos" w:hAnsi="Aptos"/>
                <w:b w:val="0"/>
                <w:sz w:val="18"/>
              </w:rPr>
              <w:t>Synthetic data engine</w:t>
            </w:r>
          </w:p>
        </w:tc>
        <w:tc>
          <w:tcPr>
            <w:tcW w:type="dxa" w:w="4320"/>
            <w:vAlign w:val="center"/>
          </w:tcPr>
          <w:p>
            <w:r/>
            <w:r>
              <w:rPr>
                <w:rFonts w:ascii="Aptos" w:hAnsi="Aptos"/>
                <w:b w:val="0"/>
                <w:sz w:val="18"/>
              </w:rPr>
              <w:t>Generate clean + corrupted multi-source events, including temporal and inventory relations.</w:t>
            </w:r>
          </w:p>
        </w:tc>
        <w:tc>
          <w:tcPr>
            <w:tcW w:type="dxa" w:w="2088"/>
            <w:vAlign w:val="center"/>
          </w:tcPr>
          <w:p>
            <w:r/>
            <w:r>
              <w:rPr>
                <w:rFonts w:ascii="Aptos" w:hAnsi="Aptos"/>
                <w:b w:val="0"/>
                <w:sz w:val="18"/>
              </w:rPr>
              <w:t>At least 2k labeled events + known ground truth.</w:t>
            </w:r>
          </w:p>
        </w:tc>
      </w:tr>
      <w:tr>
        <w:tc>
          <w:tcPr>
            <w:tcW w:type="dxa" w:w="1152"/>
            <w:vAlign w:val="center"/>
          </w:tcPr>
          <w:p>
            <w:r/>
            <w:r>
              <w:rPr>
                <w:rFonts w:ascii="Aptos" w:hAnsi="Aptos"/>
                <w:b w:val="0"/>
                <w:sz w:val="18"/>
              </w:rPr>
              <w:t>9–15h</w:t>
            </w:r>
          </w:p>
        </w:tc>
        <w:tc>
          <w:tcPr>
            <w:tcW w:type="dxa" w:w="1944"/>
            <w:vAlign w:val="center"/>
          </w:tcPr>
          <w:p>
            <w:r/>
            <w:r>
              <w:rPr>
                <w:rFonts w:ascii="Aptos" w:hAnsi="Aptos"/>
                <w:b w:val="0"/>
                <w:sz w:val="18"/>
              </w:rPr>
              <w:t>Deterministic reconciliation core</w:t>
            </w:r>
          </w:p>
        </w:tc>
        <w:tc>
          <w:tcPr>
            <w:tcW w:type="dxa" w:w="4320"/>
            <w:vAlign w:val="center"/>
          </w:tcPr>
          <w:p>
            <w:r/>
            <w:r>
              <w:rPr>
                <w:rFonts w:ascii="Aptos" w:hAnsi="Aptos"/>
                <w:b w:val="0"/>
                <w:sz w:val="18"/>
              </w:rPr>
              <w:t>Exact IDs, amount/tolerance, time windows, fee/refund rules.</w:t>
            </w:r>
          </w:p>
        </w:tc>
        <w:tc>
          <w:tcPr>
            <w:tcW w:type="dxa" w:w="2088"/>
            <w:vAlign w:val="center"/>
          </w:tcPr>
          <w:p>
            <w:r/>
            <w:r>
              <w:rPr>
                <w:rFonts w:ascii="Aptos" w:hAnsi="Aptos"/>
                <w:b w:val="0"/>
                <w:sz w:val="18"/>
              </w:rPr>
              <w:t>Clean cases reconcile correctly.</w:t>
            </w:r>
          </w:p>
        </w:tc>
      </w:tr>
      <w:tr>
        <w:tc>
          <w:tcPr>
            <w:tcW w:type="dxa" w:w="1152"/>
            <w:vAlign w:val="center"/>
          </w:tcPr>
          <w:p>
            <w:r/>
            <w:r>
              <w:rPr>
                <w:rFonts w:ascii="Aptos" w:hAnsi="Aptos"/>
                <w:b w:val="0"/>
                <w:sz w:val="18"/>
              </w:rPr>
              <w:t>15–21h</w:t>
            </w:r>
          </w:p>
        </w:tc>
        <w:tc>
          <w:tcPr>
            <w:tcW w:type="dxa" w:w="1944"/>
            <w:vAlign w:val="center"/>
          </w:tcPr>
          <w:p>
            <w:r/>
            <w:r>
              <w:rPr>
                <w:rFonts w:ascii="Aptos" w:hAnsi="Aptos"/>
                <w:b w:val="0"/>
                <w:sz w:val="18"/>
              </w:rPr>
              <w:t>Value-flow graph</w:t>
            </w:r>
          </w:p>
        </w:tc>
        <w:tc>
          <w:tcPr>
            <w:tcW w:type="dxa" w:w="4320"/>
            <w:vAlign w:val="center"/>
          </w:tcPr>
          <w:p>
            <w:r/>
            <w:r>
              <w:rPr>
                <w:rFonts w:ascii="Aptos" w:hAnsi="Aptos"/>
                <w:b w:val="0"/>
                <w:sz w:val="18"/>
              </w:rPr>
              <w:t>Graph model + entity links + residual calculations.</w:t>
            </w:r>
          </w:p>
        </w:tc>
        <w:tc>
          <w:tcPr>
            <w:tcW w:type="dxa" w:w="2088"/>
            <w:vAlign w:val="center"/>
          </w:tcPr>
          <w:p>
            <w:r/>
            <w:r>
              <w:rPr>
                <w:rFonts w:ascii="Aptos" w:hAnsi="Aptos"/>
                <w:b w:val="0"/>
                <w:sz w:val="18"/>
              </w:rPr>
              <w:t>Each anomaly has a connected evidence subgraph.</w:t>
            </w:r>
          </w:p>
        </w:tc>
      </w:tr>
      <w:tr>
        <w:tc>
          <w:tcPr>
            <w:tcW w:type="dxa" w:w="1152"/>
            <w:vAlign w:val="center"/>
          </w:tcPr>
          <w:p>
            <w:r/>
            <w:r>
              <w:rPr>
                <w:rFonts w:ascii="Aptos" w:hAnsi="Aptos"/>
                <w:b w:val="0"/>
                <w:sz w:val="18"/>
              </w:rPr>
              <w:t>21–28h</w:t>
            </w:r>
          </w:p>
        </w:tc>
        <w:tc>
          <w:tcPr>
            <w:tcW w:type="dxa" w:w="1944"/>
            <w:vAlign w:val="center"/>
          </w:tcPr>
          <w:p>
            <w:r/>
            <w:r>
              <w:rPr>
                <w:rFonts w:ascii="Aptos" w:hAnsi="Aptos"/>
                <w:b w:val="0"/>
                <w:sz w:val="18"/>
              </w:rPr>
              <w:t>Hidden-event hypotheses</w:t>
            </w:r>
          </w:p>
        </w:tc>
        <w:tc>
          <w:tcPr>
            <w:tcW w:type="dxa" w:w="4320"/>
            <w:vAlign w:val="center"/>
          </w:tcPr>
          <w:p>
            <w:r/>
            <w:r>
              <w:rPr>
                <w:rFonts w:ascii="Aptos" w:hAnsi="Aptos"/>
                <w:b w:val="0"/>
                <w:sz w:val="18"/>
              </w:rPr>
              <w:t>Candidate generation for 5–7 event types.</w:t>
            </w:r>
          </w:p>
        </w:tc>
        <w:tc>
          <w:tcPr>
            <w:tcW w:type="dxa" w:w="2088"/>
            <w:vAlign w:val="center"/>
          </w:tcPr>
          <w:p>
            <w:r/>
            <w:r>
              <w:rPr>
                <w:rFonts w:ascii="Aptos" w:hAnsi="Aptos"/>
                <w:b w:val="0"/>
                <w:sz w:val="18"/>
              </w:rPr>
              <w:t>At least 5 edge classes represented as hypotheses.</w:t>
            </w:r>
          </w:p>
        </w:tc>
      </w:tr>
      <w:tr>
        <w:tc>
          <w:tcPr>
            <w:tcW w:type="dxa" w:w="1152"/>
            <w:vAlign w:val="center"/>
          </w:tcPr>
          <w:p>
            <w:r/>
            <w:r>
              <w:rPr>
                <w:rFonts w:ascii="Aptos" w:hAnsi="Aptos"/>
                <w:b w:val="0"/>
                <w:sz w:val="18"/>
              </w:rPr>
              <w:t>28–34h</w:t>
            </w:r>
          </w:p>
        </w:tc>
        <w:tc>
          <w:tcPr>
            <w:tcW w:type="dxa" w:w="1944"/>
            <w:vAlign w:val="center"/>
          </w:tcPr>
          <w:p>
            <w:r/>
            <w:r>
              <w:rPr>
                <w:rFonts w:ascii="Aptos" w:hAnsi="Aptos"/>
                <w:b w:val="0"/>
                <w:sz w:val="18"/>
              </w:rPr>
              <w:t>Scoring + confidence</w:t>
            </w:r>
          </w:p>
        </w:tc>
        <w:tc>
          <w:tcPr>
            <w:tcW w:type="dxa" w:w="4320"/>
            <w:vAlign w:val="center"/>
          </w:tcPr>
          <w:p>
            <w:r/>
            <w:r>
              <w:rPr>
                <w:rFonts w:ascii="Aptos" w:hAnsi="Aptos"/>
                <w:b w:val="0"/>
                <w:sz w:val="18"/>
              </w:rPr>
              <w:t>Global evidence score; abstention rules; materiality threshold.</w:t>
            </w:r>
          </w:p>
        </w:tc>
        <w:tc>
          <w:tcPr>
            <w:tcW w:type="dxa" w:w="2088"/>
            <w:vAlign w:val="center"/>
          </w:tcPr>
          <w:p>
            <w:r/>
            <w:r>
              <w:rPr>
                <w:rFonts w:ascii="Aptos" w:hAnsi="Aptos"/>
                <w:b w:val="0"/>
                <w:sz w:val="18"/>
              </w:rPr>
              <w:t>Held-out benchmark produces reproducible scores.</w:t>
            </w:r>
          </w:p>
        </w:tc>
      </w:tr>
      <w:tr>
        <w:tc>
          <w:tcPr>
            <w:tcW w:type="dxa" w:w="1152"/>
            <w:vAlign w:val="center"/>
          </w:tcPr>
          <w:p>
            <w:r/>
            <w:r>
              <w:rPr>
                <w:rFonts w:ascii="Aptos" w:hAnsi="Aptos"/>
                <w:b w:val="0"/>
                <w:sz w:val="18"/>
              </w:rPr>
              <w:t>34–39h</w:t>
            </w:r>
          </w:p>
        </w:tc>
        <w:tc>
          <w:tcPr>
            <w:tcW w:type="dxa" w:w="1944"/>
            <w:vAlign w:val="center"/>
          </w:tcPr>
          <w:p>
            <w:r/>
            <w:r>
              <w:rPr>
                <w:rFonts w:ascii="Aptos" w:hAnsi="Aptos"/>
                <w:b w:val="0"/>
                <w:sz w:val="18"/>
              </w:rPr>
              <w:t>AI semantic layer</w:t>
            </w:r>
          </w:p>
        </w:tc>
        <w:tc>
          <w:tcPr>
            <w:tcW w:type="dxa" w:w="4320"/>
            <w:vAlign w:val="center"/>
          </w:tcPr>
          <w:p>
            <w:r/>
            <w:r>
              <w:rPr>
                <w:rFonts w:ascii="Aptos" w:hAnsi="Aptos"/>
                <w:b w:val="0"/>
                <w:sz w:val="18"/>
              </w:rPr>
              <w:t>LLM for messy text normalization + explanation only.</w:t>
            </w:r>
          </w:p>
        </w:tc>
        <w:tc>
          <w:tcPr>
            <w:tcW w:type="dxa" w:w="2088"/>
            <w:vAlign w:val="center"/>
          </w:tcPr>
          <w:p>
            <w:r/>
            <w:r>
              <w:rPr>
                <w:rFonts w:ascii="Aptos" w:hAnsi="Aptos"/>
                <w:b w:val="0"/>
                <w:sz w:val="18"/>
              </w:rPr>
              <w:t>LLM adds measurable lift on ambiguous cases.</w:t>
            </w:r>
          </w:p>
        </w:tc>
      </w:tr>
      <w:tr>
        <w:tc>
          <w:tcPr>
            <w:tcW w:type="dxa" w:w="1152"/>
            <w:vAlign w:val="center"/>
          </w:tcPr>
          <w:p>
            <w:r/>
            <w:r>
              <w:rPr>
                <w:rFonts w:ascii="Aptos" w:hAnsi="Aptos"/>
                <w:b w:val="0"/>
                <w:sz w:val="18"/>
              </w:rPr>
              <w:t>39–44h</w:t>
            </w:r>
          </w:p>
        </w:tc>
        <w:tc>
          <w:tcPr>
            <w:tcW w:type="dxa" w:w="1944"/>
            <w:vAlign w:val="center"/>
          </w:tcPr>
          <w:p>
            <w:r/>
            <w:r>
              <w:rPr>
                <w:rFonts w:ascii="Aptos" w:hAnsi="Aptos"/>
                <w:b w:val="0"/>
                <w:sz w:val="18"/>
              </w:rPr>
              <w:t>Shadow Ledger + audit trail</w:t>
            </w:r>
          </w:p>
        </w:tc>
        <w:tc>
          <w:tcPr>
            <w:tcW w:type="dxa" w:w="4320"/>
            <w:vAlign w:val="center"/>
          </w:tcPr>
          <w:p>
            <w:r/>
            <w:r>
              <w:rPr>
                <w:rFonts w:ascii="Aptos" w:hAnsi="Aptos"/>
                <w:b w:val="0"/>
                <w:sz w:val="18"/>
              </w:rPr>
              <w:t>UI for official vs inferred value, evidence, confidence, disposition.</w:t>
            </w:r>
          </w:p>
        </w:tc>
        <w:tc>
          <w:tcPr>
            <w:tcW w:type="dxa" w:w="2088"/>
            <w:vAlign w:val="center"/>
          </w:tcPr>
          <w:p>
            <w:r/>
            <w:r>
              <w:rPr>
                <w:rFonts w:ascii="Aptos" w:hAnsi="Aptos"/>
                <w:b w:val="0"/>
                <w:sz w:val="18"/>
              </w:rPr>
              <w:t>Judge can inspect one anomaly end-to-end.</w:t>
            </w:r>
          </w:p>
        </w:tc>
      </w:tr>
      <w:tr>
        <w:tc>
          <w:tcPr>
            <w:tcW w:type="dxa" w:w="1152"/>
            <w:vAlign w:val="center"/>
          </w:tcPr>
          <w:p>
            <w:r/>
            <w:r>
              <w:rPr>
                <w:rFonts w:ascii="Aptos" w:hAnsi="Aptos"/>
                <w:b w:val="0"/>
                <w:sz w:val="18"/>
              </w:rPr>
              <w:t>44–48h</w:t>
            </w:r>
          </w:p>
        </w:tc>
        <w:tc>
          <w:tcPr>
            <w:tcW w:type="dxa" w:w="1944"/>
            <w:vAlign w:val="center"/>
          </w:tcPr>
          <w:p>
            <w:r/>
            <w:r>
              <w:rPr>
                <w:rFonts w:ascii="Aptos" w:hAnsi="Aptos"/>
                <w:b w:val="0"/>
                <w:sz w:val="18"/>
              </w:rPr>
              <w:t>Leakage + root-cause layer</w:t>
            </w:r>
          </w:p>
        </w:tc>
        <w:tc>
          <w:tcPr>
            <w:tcW w:type="dxa" w:w="4320"/>
            <w:vAlign w:val="center"/>
          </w:tcPr>
          <w:p>
            <w:r/>
            <w:r>
              <w:rPr>
                <w:rFonts w:ascii="Aptos" w:hAnsi="Aptos"/>
                <w:b w:val="0"/>
                <w:sz w:val="18"/>
              </w:rPr>
              <w:t>Aggregate micro-gaps and recurring patterns.</w:t>
            </w:r>
          </w:p>
        </w:tc>
        <w:tc>
          <w:tcPr>
            <w:tcW w:type="dxa" w:w="2088"/>
            <w:vAlign w:val="center"/>
          </w:tcPr>
          <w:p>
            <w:r/>
            <w:r>
              <w:rPr>
                <w:rFonts w:ascii="Aptos" w:hAnsi="Aptos"/>
                <w:b w:val="0"/>
                <w:sz w:val="18"/>
              </w:rPr>
              <w:t>System surfaces at least 3 seeded patterns.</w:t>
            </w:r>
          </w:p>
        </w:tc>
      </w:tr>
      <w:tr>
        <w:tc>
          <w:tcPr>
            <w:tcW w:type="dxa" w:w="1152"/>
            <w:vAlign w:val="center"/>
          </w:tcPr>
          <w:p>
            <w:r/>
            <w:r>
              <w:rPr>
                <w:rFonts w:ascii="Aptos" w:hAnsi="Aptos"/>
                <w:b w:val="0"/>
                <w:sz w:val="18"/>
              </w:rPr>
              <w:t>48–52h</w:t>
            </w:r>
          </w:p>
        </w:tc>
        <w:tc>
          <w:tcPr>
            <w:tcW w:type="dxa" w:w="1944"/>
            <w:vAlign w:val="center"/>
          </w:tcPr>
          <w:p>
            <w:r/>
            <w:r>
              <w:rPr>
                <w:rFonts w:ascii="Aptos" w:hAnsi="Aptos"/>
                <w:b w:val="0"/>
                <w:sz w:val="18"/>
              </w:rPr>
              <w:t>Evaluation + stress test</w:t>
            </w:r>
          </w:p>
        </w:tc>
        <w:tc>
          <w:tcPr>
            <w:tcW w:type="dxa" w:w="4320"/>
            <w:vAlign w:val="center"/>
          </w:tcPr>
          <w:p>
            <w:r/>
            <w:r>
              <w:rPr>
                <w:rFonts w:ascii="Aptos" w:hAnsi="Aptos"/>
                <w:b w:val="0"/>
                <w:sz w:val="18"/>
              </w:rPr>
              <w:t>10k+ batch; held-out metrics; adversarial cases.</w:t>
            </w:r>
          </w:p>
        </w:tc>
        <w:tc>
          <w:tcPr>
            <w:tcW w:type="dxa" w:w="2088"/>
            <w:vAlign w:val="center"/>
          </w:tcPr>
          <w:p>
            <w:r/>
            <w:r>
              <w:rPr>
                <w:rFonts w:ascii="Aptos" w:hAnsi="Aptos"/>
                <w:b w:val="0"/>
                <w:sz w:val="18"/>
              </w:rPr>
              <w:t>Metrics frozen and reproducible.</w:t>
            </w:r>
          </w:p>
        </w:tc>
      </w:tr>
      <w:tr>
        <w:tc>
          <w:tcPr>
            <w:tcW w:type="dxa" w:w="1152"/>
            <w:vAlign w:val="center"/>
          </w:tcPr>
          <w:p>
            <w:r/>
            <w:r>
              <w:rPr>
                <w:rFonts w:ascii="Aptos" w:hAnsi="Aptos"/>
                <w:b w:val="0"/>
                <w:sz w:val="18"/>
              </w:rPr>
              <w:t>52–56h</w:t>
            </w:r>
          </w:p>
        </w:tc>
        <w:tc>
          <w:tcPr>
            <w:tcW w:type="dxa" w:w="1944"/>
            <w:vAlign w:val="center"/>
          </w:tcPr>
          <w:p>
            <w:r/>
            <w:r>
              <w:rPr>
                <w:rFonts w:ascii="Aptos" w:hAnsi="Aptos"/>
                <w:b w:val="0"/>
                <w:sz w:val="18"/>
              </w:rPr>
              <w:t>Demo + GitHub + pitch</w:t>
            </w:r>
          </w:p>
        </w:tc>
        <w:tc>
          <w:tcPr>
            <w:tcW w:type="dxa" w:w="4320"/>
            <w:vAlign w:val="center"/>
          </w:tcPr>
          <w:p>
            <w:r/>
            <w:r>
              <w:rPr>
                <w:rFonts w:ascii="Aptos" w:hAnsi="Aptos"/>
                <w:b w:val="0"/>
                <w:sz w:val="18"/>
              </w:rPr>
              <w:t>README, architecture, screenshots, 5-min video, failure story.</w:t>
            </w:r>
          </w:p>
        </w:tc>
        <w:tc>
          <w:tcPr>
            <w:tcW w:type="dxa" w:w="2088"/>
            <w:vAlign w:val="center"/>
          </w:tcPr>
          <w:p>
            <w:r/>
            <w:r>
              <w:rPr>
                <w:rFonts w:ascii="Aptos" w:hAnsi="Aptos"/>
                <w:b w:val="0"/>
                <w:sz w:val="18"/>
              </w:rPr>
              <w:t>Submission package is complete and repeatable.</w:t>
            </w:r>
          </w:p>
        </w:tc>
      </w:tr>
    </w:tbl>
    <w:p/>
    <w:p>
      <w:pPr>
        <w:pStyle w:val="Heading1"/>
      </w:pPr>
      <w:r>
        <w:t>15. Submission Deliverables</w:t>
      </w:r>
    </w:p>
    <w:p>
      <w:pPr>
        <w:pStyle w:val="ListBullet"/>
        <w:spacing w:after="40"/>
      </w:pPr>
      <w:r>
        <w:t>Public GitHub repository with one-command local run.</w:t>
      </w:r>
    </w:p>
    <w:p>
      <w:pPr>
        <w:pStyle w:val="ListBullet"/>
        <w:spacing w:after="40"/>
      </w:pPr>
      <w:r>
        <w:t>README containing problem, architecture, data schema, evaluation methodology and known limitations.</w:t>
      </w:r>
    </w:p>
    <w:p>
      <w:pPr>
        <w:pStyle w:val="ListBullet"/>
        <w:spacing w:after="40"/>
      </w:pPr>
      <w:r>
        <w:t>5-minute pitch video with one hero anomaly, one batch result, one failure case, and the architecture.</w:t>
      </w:r>
    </w:p>
    <w:p>
      <w:pPr>
        <w:pStyle w:val="ListBullet"/>
        <w:spacing w:after="40"/>
      </w:pPr>
      <w:r>
        <w:t>Architecture diagram and decision-flow diagram.</w:t>
      </w:r>
    </w:p>
    <w:p>
      <w:pPr>
        <w:pStyle w:val="ListBullet"/>
        <w:spacing w:after="40"/>
      </w:pPr>
      <w:r>
        <w:t>Synthetic dataset generator plus held-out test split.</w:t>
      </w:r>
    </w:p>
    <w:p>
      <w:pPr>
        <w:pStyle w:val="ListBullet"/>
        <w:spacing w:after="40"/>
      </w:pPr>
      <w:r>
        <w:t>Evaluation report with precision, recall, throughput, false-resolution cost and exceptions.</w:t>
      </w:r>
    </w:p>
    <w:p>
      <w:pPr>
        <w:pStyle w:val="ListBullet"/>
        <w:spacing w:after="40"/>
      </w:pPr>
      <w:r>
        <w:t>Audit-log examples that show why a resolution was or was not made.</w:t>
      </w:r>
    </w:p>
    <w:p>
      <w:pPr>
        <w:pStyle w:val="ListBullet"/>
        <w:spacing w:after="40"/>
      </w:pPr>
      <w:r>
        <w:t>Short “What broke and how we fixed it” section.</w:t>
      </w:r>
    </w:p>
    <w:p>
      <w:pPr>
        <w:pStyle w:val="Heading1"/>
      </w:pPr>
      <w:r>
        <w:t>16. Product / Demo Interface</w:t>
      </w:r>
    </w:p>
    <w:p>
      <w:r>
        <w:t>The UI should be optimized for judge comprehension. Avoid a generic chat window as the primary interface. The main screen is a Finance Control Room.</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F172A"/>
          </w:tcPr>
          <w:p>
            <w:r>
              <w:rPr>
                <w:color w:val="FFFFFF"/>
              </w:rPr>
            </w:r>
            <w:r>
              <w:rPr>
                <w:rFonts w:ascii="Aptos" w:hAnsi="Aptos"/>
                <w:b/>
                <w:color w:val="FFFFFF"/>
                <w:sz w:val="18"/>
              </w:rPr>
              <w:t>Panel</w:t>
            </w:r>
          </w:p>
        </w:tc>
        <w:tc>
          <w:tcPr>
            <w:tcW w:type="dxa" w:w="6624"/>
            <w:vAlign w:val="center"/>
            <w:shd w:fill="0F172A"/>
          </w:tcPr>
          <w:p>
            <w:r>
              <w:rPr>
                <w:color w:val="FFFFFF"/>
              </w:rPr>
            </w:r>
            <w:r>
              <w:rPr>
                <w:rFonts w:ascii="Aptos" w:hAnsi="Aptos"/>
                <w:b/>
                <w:color w:val="FFFFFF"/>
                <w:sz w:val="18"/>
              </w:rPr>
              <w:t>Purpose</w:t>
            </w:r>
          </w:p>
        </w:tc>
      </w:tr>
      <w:tr>
        <w:tc>
          <w:tcPr>
            <w:tcW w:type="dxa" w:w="2880"/>
            <w:vAlign w:val="center"/>
          </w:tcPr>
          <w:p>
            <w:r/>
            <w:r>
              <w:rPr>
                <w:rFonts w:ascii="Aptos" w:hAnsi="Aptos"/>
                <w:b w:val="0"/>
                <w:sz w:val="18"/>
              </w:rPr>
              <w:t>Batch health</w:t>
            </w:r>
          </w:p>
        </w:tc>
        <w:tc>
          <w:tcPr>
            <w:tcW w:type="dxa" w:w="6624"/>
            <w:vAlign w:val="center"/>
          </w:tcPr>
          <w:p>
            <w:r/>
            <w:r>
              <w:rPr>
                <w:rFonts w:ascii="Aptos" w:hAnsi="Aptos"/>
                <w:b w:val="0"/>
                <w:sz w:val="18"/>
              </w:rPr>
              <w:t>Total records, processed, resolved, review, unresolved, throughput</w:t>
            </w:r>
          </w:p>
        </w:tc>
      </w:tr>
      <w:tr>
        <w:tc>
          <w:tcPr>
            <w:tcW w:type="dxa" w:w="2880"/>
            <w:vAlign w:val="center"/>
          </w:tcPr>
          <w:p>
            <w:r/>
            <w:r>
              <w:rPr>
                <w:rFonts w:ascii="Aptos" w:hAnsi="Aptos"/>
                <w:b w:val="0"/>
                <w:sz w:val="18"/>
              </w:rPr>
              <w:t>Value gap map</w:t>
            </w:r>
          </w:p>
        </w:tc>
        <w:tc>
          <w:tcPr>
            <w:tcW w:type="dxa" w:w="6624"/>
            <w:vAlign w:val="center"/>
          </w:tcPr>
          <w:p>
            <w:r/>
            <w:r>
              <w:rPr>
                <w:rFonts w:ascii="Aptos" w:hAnsi="Aptos"/>
                <w:b w:val="0"/>
                <w:sz w:val="18"/>
              </w:rPr>
              <w:t>Official value vs explained value vs unexplained value</w:t>
            </w:r>
          </w:p>
        </w:tc>
      </w:tr>
      <w:tr>
        <w:tc>
          <w:tcPr>
            <w:tcW w:type="dxa" w:w="2880"/>
            <w:vAlign w:val="center"/>
          </w:tcPr>
          <w:p>
            <w:r/>
            <w:r>
              <w:rPr>
                <w:rFonts w:ascii="Aptos" w:hAnsi="Aptos"/>
                <w:b w:val="0"/>
                <w:sz w:val="18"/>
              </w:rPr>
              <w:t>Shadow Ledger</w:t>
            </w:r>
          </w:p>
        </w:tc>
        <w:tc>
          <w:tcPr>
            <w:tcW w:type="dxa" w:w="6624"/>
            <w:vAlign w:val="center"/>
          </w:tcPr>
          <w:p>
            <w:r/>
            <w:r>
              <w:rPr>
                <w:rFonts w:ascii="Aptos" w:hAnsi="Aptos"/>
                <w:b w:val="0"/>
                <w:sz w:val="18"/>
              </w:rPr>
              <w:t>Inferred events with confidence and status</w:t>
            </w:r>
          </w:p>
        </w:tc>
      </w:tr>
      <w:tr>
        <w:tc>
          <w:tcPr>
            <w:tcW w:type="dxa" w:w="2880"/>
            <w:vAlign w:val="center"/>
          </w:tcPr>
          <w:p>
            <w:r/>
            <w:r>
              <w:rPr>
                <w:rFonts w:ascii="Aptos" w:hAnsi="Aptos"/>
                <w:b w:val="0"/>
                <w:sz w:val="18"/>
              </w:rPr>
              <w:t>Exception queue</w:t>
            </w:r>
          </w:p>
        </w:tc>
        <w:tc>
          <w:tcPr>
            <w:tcW w:type="dxa" w:w="6624"/>
            <w:vAlign w:val="center"/>
          </w:tcPr>
          <w:p>
            <w:r/>
            <w:r>
              <w:rPr>
                <w:rFonts w:ascii="Aptos" w:hAnsi="Aptos"/>
                <w:b w:val="0"/>
                <w:sz w:val="18"/>
              </w:rPr>
              <w:t>Prioritized cases by financial impact</w:t>
            </w:r>
          </w:p>
        </w:tc>
      </w:tr>
      <w:tr>
        <w:tc>
          <w:tcPr>
            <w:tcW w:type="dxa" w:w="2880"/>
            <w:vAlign w:val="center"/>
          </w:tcPr>
          <w:p>
            <w:r/>
            <w:r>
              <w:rPr>
                <w:rFonts w:ascii="Aptos" w:hAnsi="Aptos"/>
                <w:b w:val="0"/>
                <w:sz w:val="18"/>
              </w:rPr>
              <w:t>Case investigator</w:t>
            </w:r>
          </w:p>
        </w:tc>
        <w:tc>
          <w:tcPr>
            <w:tcW w:type="dxa" w:w="6624"/>
            <w:vAlign w:val="center"/>
          </w:tcPr>
          <w:p>
            <w:r/>
            <w:r>
              <w:rPr>
                <w:rFonts w:ascii="Aptos" w:hAnsi="Aptos"/>
                <w:b w:val="0"/>
                <w:sz w:val="18"/>
              </w:rPr>
              <w:t>Evidence graph, candidate hypotheses, decision reason</w:t>
            </w:r>
          </w:p>
        </w:tc>
      </w:tr>
      <w:tr>
        <w:tc>
          <w:tcPr>
            <w:tcW w:type="dxa" w:w="2880"/>
            <w:vAlign w:val="center"/>
          </w:tcPr>
          <w:p>
            <w:r/>
            <w:r>
              <w:rPr>
                <w:rFonts w:ascii="Aptos" w:hAnsi="Aptos"/>
                <w:b w:val="0"/>
                <w:sz w:val="18"/>
              </w:rPr>
              <w:t>Pattern intelligence</w:t>
            </w:r>
          </w:p>
        </w:tc>
        <w:tc>
          <w:tcPr>
            <w:tcW w:type="dxa" w:w="6624"/>
            <w:vAlign w:val="center"/>
          </w:tcPr>
          <w:p>
            <w:r/>
            <w:r>
              <w:rPr>
                <w:rFonts w:ascii="Aptos" w:hAnsi="Aptos"/>
                <w:b w:val="0"/>
                <w:sz w:val="18"/>
              </w:rPr>
              <w:t>Recurring leakage patterns and root causes</w:t>
            </w:r>
          </w:p>
        </w:tc>
      </w:tr>
      <w:tr>
        <w:tc>
          <w:tcPr>
            <w:tcW w:type="dxa" w:w="2880"/>
            <w:vAlign w:val="center"/>
          </w:tcPr>
          <w:p>
            <w:r/>
            <w:r>
              <w:rPr>
                <w:rFonts w:ascii="Aptos" w:hAnsi="Aptos"/>
                <w:b w:val="0"/>
                <w:sz w:val="18"/>
              </w:rPr>
              <w:t>Audit trail</w:t>
            </w:r>
          </w:p>
        </w:tc>
        <w:tc>
          <w:tcPr>
            <w:tcW w:type="dxa" w:w="6624"/>
            <w:vAlign w:val="center"/>
          </w:tcPr>
          <w:p>
            <w:r/>
            <w:r>
              <w:rPr>
                <w:rFonts w:ascii="Aptos" w:hAnsi="Aptos"/>
                <w:b w:val="0"/>
                <w:sz w:val="18"/>
              </w:rPr>
              <w:t>Inputs, rules, model version, evidence, decision</w:t>
            </w:r>
          </w:p>
        </w:tc>
      </w:tr>
    </w:tbl>
    <w:p/>
    <w:p>
      <w:pPr>
        <w:pStyle w:val="Heading2"/>
      </w:pPr>
      <w:r>
        <w:t>16.1 The 90-second hero interaction</w:t>
      </w:r>
    </w:p>
    <w:p>
      <w:pPr>
        <w:pStyle w:val="ListNumber"/>
        <w:spacing w:after="40"/>
      </w:pPr>
      <w:r>
        <w:t>Load a 10,000-event batch.</w:t>
      </w:r>
    </w:p>
    <w:p>
      <w:pPr>
        <w:pStyle w:val="ListNumber"/>
        <w:spacing w:after="40"/>
      </w:pPr>
      <w:r>
        <w:t>Show: “97% clean, 2.4% exceptions, 0.6% unresolved.”</w:t>
      </w:r>
    </w:p>
    <w:p>
      <w:pPr>
        <w:pStyle w:val="ListNumber"/>
        <w:spacing w:after="40"/>
      </w:pPr>
      <w:r>
        <w:t>Click “₹3.7L unexplained value.”</w:t>
      </w:r>
    </w:p>
    <w:p>
      <w:pPr>
        <w:pStyle w:val="ListNumber"/>
        <w:spacing w:after="40"/>
      </w:pPr>
      <w:r>
        <w:t>Open the ₹100→₹98 kirana case.</w:t>
      </w:r>
    </w:p>
    <w:p>
      <w:pPr>
        <w:pStyle w:val="ListNumber"/>
        <w:spacing w:after="40"/>
      </w:pPr>
      <w:r>
        <w:t>Animate the value-flow graph and show the inferred non-cash settlement.</w:t>
      </w:r>
    </w:p>
    <w:p>
      <w:pPr>
        <w:pStyle w:val="ListNumber"/>
        <w:spacing w:after="40"/>
      </w:pPr>
      <w:r>
        <w:t>Open evidence and confidence.</w:t>
      </w:r>
    </w:p>
    <w:p>
      <w:pPr>
        <w:pStyle w:val="ListNumber"/>
        <w:spacing w:after="40"/>
      </w:pPr>
      <w:r>
        <w:t>Jump to “Why does this keep happening?”</w:t>
      </w:r>
    </w:p>
    <w:p>
      <w:pPr>
        <w:pStyle w:val="ListNumber"/>
        <w:spacing w:after="40"/>
      </w:pPr>
      <w:r>
        <w:t>Show 412 micro-events collapsing into 3 recurring patterns.</w:t>
      </w:r>
    </w:p>
    <w:p>
      <w:pPr>
        <w:pStyle w:val="ListNumber"/>
        <w:spacing w:after="40"/>
      </w:pPr>
      <w:r>
        <w:t>Open one deliberately adversarial case where the system says “UNRESOLVED — insufficient evidence.”</w:t>
      </w:r>
    </w:p>
    <w:p>
      <w:pPr>
        <w:pStyle w:val="ListNumber"/>
        <w:spacing w:after="40"/>
      </w:pPr>
      <w:r>
        <w:t>End with measured metrics and estimated human review avoided.</w:t>
      </w:r>
    </w:p>
    <w:p>
      <w:pPr>
        <w:pStyle w:val="Heading1"/>
      </w:pPr>
      <w:r>
        <w:t>17. Failure Handling</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0F172A"/>
          </w:tcPr>
          <w:p>
            <w:r>
              <w:rPr>
                <w:color w:val="FFFFFF"/>
              </w:rPr>
            </w:r>
            <w:r>
              <w:rPr>
                <w:rFonts w:ascii="Aptos" w:hAnsi="Aptos"/>
                <w:b/>
                <w:color w:val="FFFFFF"/>
                <w:sz w:val="18"/>
              </w:rPr>
              <w:t>Failure mode</w:t>
            </w:r>
          </w:p>
        </w:tc>
        <w:tc>
          <w:tcPr>
            <w:tcW w:type="dxa" w:w="4608"/>
            <w:vAlign w:val="center"/>
            <w:shd w:fill="0F172A"/>
          </w:tcPr>
          <w:p>
            <w:r>
              <w:rPr>
                <w:color w:val="FFFFFF"/>
              </w:rPr>
            </w:r>
            <w:r>
              <w:rPr>
                <w:rFonts w:ascii="Aptos" w:hAnsi="Aptos"/>
                <w:b/>
                <w:color w:val="FFFFFF"/>
                <w:sz w:val="18"/>
              </w:rPr>
              <w:t>Expected behavior</w:t>
            </w:r>
          </w:p>
        </w:tc>
        <w:tc>
          <w:tcPr>
            <w:tcW w:type="dxa" w:w="2376"/>
            <w:vAlign w:val="center"/>
            <w:shd w:fill="0F172A"/>
          </w:tcPr>
          <w:p>
            <w:r>
              <w:rPr>
                <w:color w:val="FFFFFF"/>
              </w:rPr>
            </w:r>
            <w:r>
              <w:rPr>
                <w:rFonts w:ascii="Aptos" w:hAnsi="Aptos"/>
                <w:b/>
                <w:color w:val="FFFFFF"/>
                <w:sz w:val="18"/>
              </w:rPr>
              <w:t>Demo evidence</w:t>
            </w:r>
          </w:p>
        </w:tc>
      </w:tr>
      <w:tr>
        <w:tc>
          <w:tcPr>
            <w:tcW w:type="dxa" w:w="2520"/>
            <w:vAlign w:val="center"/>
          </w:tcPr>
          <w:p>
            <w:r/>
            <w:r>
              <w:rPr>
                <w:rFonts w:ascii="Aptos" w:hAnsi="Aptos"/>
                <w:b w:val="0"/>
                <w:sz w:val="18"/>
              </w:rPr>
              <w:t>LLM gives unsupported explanation</w:t>
            </w:r>
          </w:p>
        </w:tc>
        <w:tc>
          <w:tcPr>
            <w:tcW w:type="dxa" w:w="4608"/>
            <w:vAlign w:val="center"/>
          </w:tcPr>
          <w:p>
            <w:r/>
            <w:r>
              <w:rPr>
                <w:rFonts w:ascii="Aptos" w:hAnsi="Aptos"/>
                <w:b w:val="0"/>
                <w:sz w:val="18"/>
              </w:rPr>
              <w:t>Reject unless constraints/evidence validate it</w:t>
            </w:r>
          </w:p>
        </w:tc>
        <w:tc>
          <w:tcPr>
            <w:tcW w:type="dxa" w:w="2376"/>
            <w:vAlign w:val="center"/>
          </w:tcPr>
          <w:p>
            <w:r/>
            <w:r>
              <w:rPr>
                <w:rFonts w:ascii="Aptos" w:hAnsi="Aptos"/>
                <w:b w:val="0"/>
                <w:sz w:val="18"/>
              </w:rPr>
              <w:t>Show rejected hypothesis</w:t>
            </w:r>
          </w:p>
        </w:tc>
      </w:tr>
      <w:tr>
        <w:tc>
          <w:tcPr>
            <w:tcW w:type="dxa" w:w="2520"/>
            <w:vAlign w:val="center"/>
          </w:tcPr>
          <w:p>
            <w:r/>
            <w:r>
              <w:rPr>
                <w:rFonts w:ascii="Aptos" w:hAnsi="Aptos"/>
                <w:b w:val="0"/>
                <w:sz w:val="18"/>
              </w:rPr>
              <w:t>Conflicting source records</w:t>
            </w:r>
          </w:p>
        </w:tc>
        <w:tc>
          <w:tcPr>
            <w:tcW w:type="dxa" w:w="4608"/>
            <w:vAlign w:val="center"/>
          </w:tcPr>
          <w:p>
            <w:r/>
            <w:r>
              <w:rPr>
                <w:rFonts w:ascii="Aptos" w:hAnsi="Aptos"/>
                <w:b w:val="0"/>
                <w:sz w:val="18"/>
              </w:rPr>
              <w:t>Lower confidence; route to review</w:t>
            </w:r>
          </w:p>
        </w:tc>
        <w:tc>
          <w:tcPr>
            <w:tcW w:type="dxa" w:w="2376"/>
            <w:vAlign w:val="center"/>
          </w:tcPr>
          <w:p>
            <w:r/>
            <w:r>
              <w:rPr>
                <w:rFonts w:ascii="Aptos" w:hAnsi="Aptos"/>
                <w:b w:val="0"/>
                <w:sz w:val="18"/>
              </w:rPr>
              <w:t>Case with contradictory evidence</w:t>
            </w:r>
          </w:p>
        </w:tc>
      </w:tr>
      <w:tr>
        <w:tc>
          <w:tcPr>
            <w:tcW w:type="dxa" w:w="2520"/>
            <w:vAlign w:val="center"/>
          </w:tcPr>
          <w:p>
            <w:r/>
            <w:r>
              <w:rPr>
                <w:rFonts w:ascii="Aptos" w:hAnsi="Aptos"/>
                <w:b w:val="0"/>
                <w:sz w:val="18"/>
              </w:rPr>
              <w:t>Missing key field</w:t>
            </w:r>
          </w:p>
        </w:tc>
        <w:tc>
          <w:tcPr>
            <w:tcW w:type="dxa" w:w="4608"/>
            <w:vAlign w:val="center"/>
          </w:tcPr>
          <w:p>
            <w:r/>
            <w:r>
              <w:rPr>
                <w:rFonts w:ascii="Aptos" w:hAnsi="Aptos"/>
                <w:b w:val="0"/>
                <w:sz w:val="18"/>
              </w:rPr>
              <w:t>Use alternative evidence; otherwise unresolved</w:t>
            </w:r>
          </w:p>
        </w:tc>
        <w:tc>
          <w:tcPr>
            <w:tcW w:type="dxa" w:w="2376"/>
            <w:vAlign w:val="center"/>
          </w:tcPr>
          <w:p>
            <w:r/>
            <w:r>
              <w:rPr>
                <w:rFonts w:ascii="Aptos" w:hAnsi="Aptos"/>
                <w:b w:val="0"/>
                <w:sz w:val="18"/>
              </w:rPr>
              <w:t>Explicit missing-data reason</w:t>
            </w:r>
          </w:p>
        </w:tc>
      </w:tr>
      <w:tr>
        <w:tc>
          <w:tcPr>
            <w:tcW w:type="dxa" w:w="2520"/>
            <w:vAlign w:val="center"/>
          </w:tcPr>
          <w:p>
            <w:r/>
            <w:r>
              <w:rPr>
                <w:rFonts w:ascii="Aptos" w:hAnsi="Aptos"/>
                <w:b w:val="0"/>
                <w:sz w:val="18"/>
              </w:rPr>
              <w:t>Large batch slows graph search</w:t>
            </w:r>
          </w:p>
        </w:tc>
        <w:tc>
          <w:tcPr>
            <w:tcW w:type="dxa" w:w="4608"/>
            <w:vAlign w:val="center"/>
          </w:tcPr>
          <w:p>
            <w:r/>
            <w:r>
              <w:rPr>
                <w:rFonts w:ascii="Aptos" w:hAnsi="Aptos"/>
                <w:b w:val="0"/>
                <w:sz w:val="18"/>
              </w:rPr>
              <w:t>Cap candidate generation; fall back to deterministic path</w:t>
            </w:r>
          </w:p>
        </w:tc>
        <w:tc>
          <w:tcPr>
            <w:tcW w:type="dxa" w:w="2376"/>
            <w:vAlign w:val="center"/>
          </w:tcPr>
          <w:p>
            <w:r/>
            <w:r>
              <w:rPr>
                <w:rFonts w:ascii="Aptos" w:hAnsi="Aptos"/>
                <w:b w:val="0"/>
                <w:sz w:val="18"/>
              </w:rPr>
              <w:t>Throughput metric</w:t>
            </w:r>
          </w:p>
        </w:tc>
      </w:tr>
      <w:tr>
        <w:tc>
          <w:tcPr>
            <w:tcW w:type="dxa" w:w="2520"/>
            <w:vAlign w:val="center"/>
          </w:tcPr>
          <w:p>
            <w:r/>
            <w:r>
              <w:rPr>
                <w:rFonts w:ascii="Aptos" w:hAnsi="Aptos"/>
                <w:b w:val="0"/>
                <w:sz w:val="18"/>
              </w:rPr>
              <w:t>Novel unseen pattern</w:t>
            </w:r>
          </w:p>
        </w:tc>
        <w:tc>
          <w:tcPr>
            <w:tcW w:type="dxa" w:w="4608"/>
            <w:vAlign w:val="center"/>
          </w:tcPr>
          <w:p>
            <w:r/>
            <w:r>
              <w:rPr>
                <w:rFonts w:ascii="Aptos" w:hAnsi="Aptos"/>
                <w:b w:val="0"/>
                <w:sz w:val="18"/>
              </w:rPr>
              <w:t>Do not force a known event type</w:t>
            </w:r>
          </w:p>
        </w:tc>
        <w:tc>
          <w:tcPr>
            <w:tcW w:type="dxa" w:w="2376"/>
            <w:vAlign w:val="center"/>
          </w:tcPr>
          <w:p>
            <w:r/>
            <w:r>
              <w:rPr>
                <w:rFonts w:ascii="Aptos" w:hAnsi="Aptos"/>
                <w:b w:val="0"/>
                <w:sz w:val="18"/>
              </w:rPr>
              <w:t>“Unknown pattern” exception</w:t>
            </w:r>
          </w:p>
        </w:tc>
      </w:tr>
      <w:tr>
        <w:tc>
          <w:tcPr>
            <w:tcW w:type="dxa" w:w="2520"/>
            <w:vAlign w:val="center"/>
          </w:tcPr>
          <w:p>
            <w:r/>
            <w:r>
              <w:rPr>
                <w:rFonts w:ascii="Aptos" w:hAnsi="Aptos"/>
                <w:b w:val="0"/>
                <w:sz w:val="18"/>
              </w:rPr>
              <w:t>High-value ambiguous discrepancy</w:t>
            </w:r>
          </w:p>
        </w:tc>
        <w:tc>
          <w:tcPr>
            <w:tcW w:type="dxa" w:w="4608"/>
            <w:vAlign w:val="center"/>
          </w:tcPr>
          <w:p>
            <w:r/>
            <w:r>
              <w:rPr>
                <w:rFonts w:ascii="Aptos" w:hAnsi="Aptos"/>
                <w:b w:val="0"/>
                <w:sz w:val="18"/>
              </w:rPr>
              <w:t>Human review regardless of model confidence</w:t>
            </w:r>
          </w:p>
        </w:tc>
        <w:tc>
          <w:tcPr>
            <w:tcW w:type="dxa" w:w="2376"/>
            <w:vAlign w:val="center"/>
          </w:tcPr>
          <w:p>
            <w:r/>
            <w:r>
              <w:rPr>
                <w:rFonts w:ascii="Aptos" w:hAnsi="Aptos"/>
                <w:b w:val="0"/>
                <w:sz w:val="18"/>
              </w:rPr>
              <w:t>Materiality gate</w:t>
            </w:r>
          </w:p>
        </w:tc>
      </w:tr>
    </w:tbl>
    <w:p/>
    <w:p>
      <w:pPr>
        <w:pStyle w:val="Heading1"/>
      </w:pPr>
      <w:r>
        <w:t>18. Trust, Safety and Responsible Claims</w:t>
      </w:r>
    </w:p>
    <w:p>
      <w:r>
        <w:t>This is a synthetic-data build. The project must not present inferred off-ledger events as proven wrongdoing. A “shadow event” is a hypothesis supported by evidence, not a factual accusation. The system must disclose confidence, evidence and uncertainty. No offensive or evasion capability is included.</w:t>
      </w:r>
    </w:p>
    <w:p>
      <w:pPr>
        <w:pStyle w:val="ListBullet"/>
        <w:spacing w:after="40"/>
      </w:pPr>
      <w:r>
        <w:t>Use synthetic names, accounts and IDs in the repository.</w:t>
      </w:r>
    </w:p>
    <w:p>
      <w:pPr>
        <w:pStyle w:val="ListBullet"/>
        <w:spacing w:after="40"/>
      </w:pPr>
      <w:r>
        <w:t>Separate ground-truth labels from model-visible data.</w:t>
      </w:r>
    </w:p>
    <w:p>
      <w:pPr>
        <w:pStyle w:val="ListBullet"/>
        <w:spacing w:after="40"/>
      </w:pPr>
      <w:r>
        <w:t>Log every inferred event with provenance and model/rule version.</w:t>
      </w:r>
    </w:p>
    <w:p>
      <w:pPr>
        <w:pStyle w:val="ListBullet"/>
        <w:spacing w:after="40"/>
      </w:pPr>
      <w:r>
        <w:t>Use policy gates for financially material cases.</w:t>
      </w:r>
    </w:p>
    <w:p>
      <w:pPr>
        <w:pStyle w:val="ListBullet"/>
        <w:spacing w:after="40"/>
      </w:pPr>
      <w:r>
        <w:t>Make abstention a first-class outcome.</w:t>
      </w:r>
    </w:p>
    <w:p>
      <w:pPr>
        <w:pStyle w:val="Heading1"/>
      </w:pPr>
      <w:r>
        <w:t>19. Definition of Done</w:t>
      </w:r>
    </w:p>
    <w:tbl>
      <w:tblPr>
        <w:tblStyle w:val="TableGrid"/>
        <w:tblW w:type="auto" w:w="0"/>
        <w:jc w:val="center"/>
        <w:tblLook w:firstColumn="1" w:firstRow="1" w:lastColumn="0" w:lastRow="0" w:noHBand="0" w:noVBand="1" w:val="04A0"/>
      </w:tblPr>
      <w:tblGrid>
        <w:gridCol w:w="5083"/>
        <w:gridCol w:w="5083"/>
      </w:tblGrid>
      <w:tr>
        <w:tc>
          <w:tcPr>
            <w:tcW w:type="dxa" w:w="792"/>
            <w:vAlign w:val="center"/>
            <w:shd w:fill="0F172A"/>
          </w:tcPr>
          <w:p>
            <w:r>
              <w:rPr>
                <w:color w:val="FFFFFF"/>
              </w:rPr>
            </w:r>
            <w:r>
              <w:rPr>
                <w:rFonts w:ascii="Aptos" w:hAnsi="Aptos"/>
                <w:b/>
                <w:color w:val="FFFFFF"/>
                <w:sz w:val="18"/>
              </w:rPr>
              <w:t>ID</w:t>
            </w:r>
          </w:p>
        </w:tc>
        <w:tc>
          <w:tcPr>
            <w:tcW w:type="dxa" w:w="8712"/>
            <w:vAlign w:val="center"/>
            <w:shd w:fill="0F172A"/>
          </w:tcPr>
          <w:p>
            <w:r>
              <w:rPr>
                <w:color w:val="FFFFFF"/>
              </w:rPr>
            </w:r>
            <w:r>
              <w:rPr>
                <w:rFonts w:ascii="Aptos" w:hAnsi="Aptos"/>
                <w:b/>
                <w:color w:val="FFFFFF"/>
                <w:sz w:val="18"/>
              </w:rPr>
              <w:t>Done when…</w:t>
            </w:r>
          </w:p>
        </w:tc>
      </w:tr>
      <w:tr>
        <w:tc>
          <w:tcPr>
            <w:tcW w:type="dxa" w:w="792"/>
            <w:vAlign w:val="center"/>
          </w:tcPr>
          <w:p>
            <w:r/>
            <w:r>
              <w:rPr>
                <w:rFonts w:ascii="Aptos" w:hAnsi="Aptos"/>
                <w:b w:val="0"/>
                <w:sz w:val="18"/>
              </w:rPr>
              <w:t>C1</w:t>
            </w:r>
          </w:p>
        </w:tc>
        <w:tc>
          <w:tcPr>
            <w:tcW w:type="dxa" w:w="8712"/>
            <w:vAlign w:val="center"/>
          </w:tcPr>
          <w:p>
            <w:r/>
            <w:r>
              <w:rPr>
                <w:rFonts w:ascii="Aptos" w:hAnsi="Aptos"/>
                <w:b w:val="0"/>
                <w:sz w:val="18"/>
              </w:rPr>
              <w:t>A 10,000+ event synthetic batch can be generated reproducibly.</w:t>
            </w:r>
          </w:p>
        </w:tc>
      </w:tr>
      <w:tr>
        <w:tc>
          <w:tcPr>
            <w:tcW w:type="dxa" w:w="792"/>
            <w:vAlign w:val="center"/>
          </w:tcPr>
          <w:p>
            <w:r/>
            <w:r>
              <w:rPr>
                <w:rFonts w:ascii="Aptos" w:hAnsi="Aptos"/>
                <w:b w:val="0"/>
                <w:sz w:val="18"/>
              </w:rPr>
              <w:t>C2</w:t>
            </w:r>
          </w:p>
        </w:tc>
        <w:tc>
          <w:tcPr>
            <w:tcW w:type="dxa" w:w="8712"/>
            <w:vAlign w:val="center"/>
          </w:tcPr>
          <w:p>
            <w:r/>
            <w:r>
              <w:rPr>
                <w:rFonts w:ascii="Aptos" w:hAnsi="Aptos"/>
                <w:b w:val="0"/>
                <w:sz w:val="18"/>
              </w:rPr>
              <w:t>At least 8 distinct edge-case families are represented with ground truth.</w:t>
            </w:r>
          </w:p>
        </w:tc>
      </w:tr>
      <w:tr>
        <w:tc>
          <w:tcPr>
            <w:tcW w:type="dxa" w:w="792"/>
            <w:vAlign w:val="center"/>
          </w:tcPr>
          <w:p>
            <w:r/>
            <w:r>
              <w:rPr>
                <w:rFonts w:ascii="Aptos" w:hAnsi="Aptos"/>
                <w:b w:val="0"/>
                <w:sz w:val="18"/>
              </w:rPr>
              <w:t>C3</w:t>
            </w:r>
          </w:p>
        </w:tc>
        <w:tc>
          <w:tcPr>
            <w:tcW w:type="dxa" w:w="8712"/>
            <w:vAlign w:val="center"/>
          </w:tcPr>
          <w:p>
            <w:r/>
            <w:r>
              <w:rPr>
                <w:rFonts w:ascii="Aptos" w:hAnsi="Aptos"/>
                <w:b w:val="0"/>
                <w:sz w:val="18"/>
              </w:rPr>
              <w:t>The system reconciles clean/common cases without needing an LLM.</w:t>
            </w:r>
          </w:p>
        </w:tc>
      </w:tr>
      <w:tr>
        <w:tc>
          <w:tcPr>
            <w:tcW w:type="dxa" w:w="792"/>
            <w:vAlign w:val="center"/>
          </w:tcPr>
          <w:p>
            <w:r/>
            <w:r>
              <w:rPr>
                <w:rFonts w:ascii="Aptos" w:hAnsi="Aptos"/>
                <w:b w:val="0"/>
                <w:sz w:val="18"/>
              </w:rPr>
              <w:t>C4</w:t>
            </w:r>
          </w:p>
        </w:tc>
        <w:tc>
          <w:tcPr>
            <w:tcW w:type="dxa" w:w="8712"/>
            <w:vAlign w:val="center"/>
          </w:tcPr>
          <w:p>
            <w:r/>
            <w:r>
              <w:rPr>
                <w:rFonts w:ascii="Aptos" w:hAnsi="Aptos"/>
                <w:b w:val="0"/>
                <w:sz w:val="18"/>
              </w:rPr>
              <w:t>The value-flow graph links evidence across at least four source types.</w:t>
            </w:r>
          </w:p>
        </w:tc>
      </w:tr>
      <w:tr>
        <w:tc>
          <w:tcPr>
            <w:tcW w:type="dxa" w:w="792"/>
            <w:vAlign w:val="center"/>
          </w:tcPr>
          <w:p>
            <w:r/>
            <w:r>
              <w:rPr>
                <w:rFonts w:ascii="Aptos" w:hAnsi="Aptos"/>
                <w:b w:val="0"/>
                <w:sz w:val="18"/>
              </w:rPr>
              <w:t>C5</w:t>
            </w:r>
          </w:p>
        </w:tc>
        <w:tc>
          <w:tcPr>
            <w:tcW w:type="dxa" w:w="8712"/>
            <w:vAlign w:val="center"/>
          </w:tcPr>
          <w:p>
            <w:r/>
            <w:r>
              <w:rPr>
                <w:rFonts w:ascii="Aptos" w:hAnsi="Aptos"/>
                <w:b w:val="0"/>
                <w:sz w:val="18"/>
              </w:rPr>
              <w:t>At least five latent event classes can be proposed and evaluated.</w:t>
            </w:r>
          </w:p>
        </w:tc>
      </w:tr>
      <w:tr>
        <w:tc>
          <w:tcPr>
            <w:tcW w:type="dxa" w:w="792"/>
            <w:vAlign w:val="center"/>
          </w:tcPr>
          <w:p>
            <w:r/>
            <w:r>
              <w:rPr>
                <w:rFonts w:ascii="Aptos" w:hAnsi="Aptos"/>
                <w:b w:val="0"/>
                <w:sz w:val="18"/>
              </w:rPr>
              <w:t>C6</w:t>
            </w:r>
          </w:p>
        </w:tc>
        <w:tc>
          <w:tcPr>
            <w:tcW w:type="dxa" w:w="8712"/>
            <w:vAlign w:val="center"/>
          </w:tcPr>
          <w:p>
            <w:r/>
            <w:r>
              <w:rPr>
                <w:rFonts w:ascii="Aptos" w:hAnsi="Aptos"/>
                <w:b w:val="0"/>
                <w:sz w:val="18"/>
              </w:rPr>
              <w:t>The system can auto-resolve, send to review, and abstain.</w:t>
            </w:r>
          </w:p>
        </w:tc>
      </w:tr>
      <w:tr>
        <w:tc>
          <w:tcPr>
            <w:tcW w:type="dxa" w:w="792"/>
            <w:vAlign w:val="center"/>
          </w:tcPr>
          <w:p>
            <w:r/>
            <w:r>
              <w:rPr>
                <w:rFonts w:ascii="Aptos" w:hAnsi="Aptos"/>
                <w:b w:val="0"/>
                <w:sz w:val="18"/>
              </w:rPr>
              <w:t>C7</w:t>
            </w:r>
          </w:p>
        </w:tc>
        <w:tc>
          <w:tcPr>
            <w:tcW w:type="dxa" w:w="8712"/>
            <w:vAlign w:val="center"/>
          </w:tcPr>
          <w:p>
            <w:r/>
            <w:r>
              <w:rPr>
                <w:rFonts w:ascii="Aptos" w:hAnsi="Aptos"/>
                <w:b w:val="0"/>
                <w:sz w:val="18"/>
              </w:rPr>
              <w:t>Every auto-resolved case has an evidence list and confidence score.</w:t>
            </w:r>
          </w:p>
        </w:tc>
      </w:tr>
      <w:tr>
        <w:tc>
          <w:tcPr>
            <w:tcW w:type="dxa" w:w="792"/>
            <w:vAlign w:val="center"/>
          </w:tcPr>
          <w:p>
            <w:r/>
            <w:r>
              <w:rPr>
                <w:rFonts w:ascii="Aptos" w:hAnsi="Aptos"/>
                <w:b w:val="0"/>
                <w:sz w:val="18"/>
              </w:rPr>
              <w:t>C8</w:t>
            </w:r>
          </w:p>
        </w:tc>
        <w:tc>
          <w:tcPr>
            <w:tcW w:type="dxa" w:w="8712"/>
            <w:vAlign w:val="center"/>
          </w:tcPr>
          <w:p>
            <w:r/>
            <w:r>
              <w:rPr>
                <w:rFonts w:ascii="Aptos" w:hAnsi="Aptos"/>
                <w:b w:val="0"/>
                <w:sz w:val="18"/>
              </w:rPr>
              <w:t>A held-out benchmark reports precision, recall, throughput and false-resolution cost.</w:t>
            </w:r>
          </w:p>
        </w:tc>
      </w:tr>
      <w:tr>
        <w:tc>
          <w:tcPr>
            <w:tcW w:type="dxa" w:w="792"/>
            <w:vAlign w:val="center"/>
          </w:tcPr>
          <w:p>
            <w:r/>
            <w:r>
              <w:rPr>
                <w:rFonts w:ascii="Aptos" w:hAnsi="Aptos"/>
                <w:b w:val="0"/>
                <w:sz w:val="18"/>
              </w:rPr>
              <w:t>C9</w:t>
            </w:r>
          </w:p>
        </w:tc>
        <w:tc>
          <w:tcPr>
            <w:tcW w:type="dxa" w:w="8712"/>
            <w:vAlign w:val="center"/>
          </w:tcPr>
          <w:p>
            <w:r/>
            <w:r>
              <w:rPr>
                <w:rFonts w:ascii="Aptos" w:hAnsi="Aptos"/>
                <w:b w:val="0"/>
                <w:sz w:val="18"/>
              </w:rPr>
              <w:t>The demo contains a real failure that is handled gracefully.</w:t>
            </w:r>
          </w:p>
        </w:tc>
      </w:tr>
      <w:tr>
        <w:tc>
          <w:tcPr>
            <w:tcW w:type="dxa" w:w="792"/>
            <w:vAlign w:val="center"/>
          </w:tcPr>
          <w:p>
            <w:r/>
            <w:r>
              <w:rPr>
                <w:rFonts w:ascii="Aptos" w:hAnsi="Aptos"/>
                <w:b w:val="0"/>
                <w:sz w:val="18"/>
              </w:rPr>
              <w:t>C10</w:t>
            </w:r>
          </w:p>
        </w:tc>
        <w:tc>
          <w:tcPr>
            <w:tcW w:type="dxa" w:w="8712"/>
            <w:vAlign w:val="center"/>
          </w:tcPr>
          <w:p>
            <w:r/>
            <w:r>
              <w:rPr>
                <w:rFonts w:ascii="Aptos" w:hAnsi="Aptos"/>
                <w:b w:val="0"/>
                <w:sz w:val="18"/>
              </w:rPr>
              <w:t>The UI shows official value vs shadow value and unresolved exceptions.</w:t>
            </w:r>
          </w:p>
        </w:tc>
      </w:tr>
      <w:tr>
        <w:tc>
          <w:tcPr>
            <w:tcW w:type="dxa" w:w="792"/>
            <w:vAlign w:val="center"/>
          </w:tcPr>
          <w:p>
            <w:r/>
            <w:r>
              <w:rPr>
                <w:rFonts w:ascii="Aptos" w:hAnsi="Aptos"/>
                <w:b w:val="0"/>
                <w:sz w:val="18"/>
              </w:rPr>
              <w:t>C11</w:t>
            </w:r>
          </w:p>
        </w:tc>
        <w:tc>
          <w:tcPr>
            <w:tcW w:type="dxa" w:w="8712"/>
            <w:vAlign w:val="center"/>
          </w:tcPr>
          <w:p>
            <w:r/>
            <w:r>
              <w:rPr>
                <w:rFonts w:ascii="Aptos" w:hAnsi="Aptos"/>
                <w:b w:val="0"/>
                <w:sz w:val="18"/>
              </w:rPr>
              <w:t>Micro-leakage aggregation identifies recurring patterns from a batch.</w:t>
            </w:r>
          </w:p>
        </w:tc>
      </w:tr>
      <w:tr>
        <w:tc>
          <w:tcPr>
            <w:tcW w:type="dxa" w:w="792"/>
            <w:vAlign w:val="center"/>
          </w:tcPr>
          <w:p>
            <w:r/>
            <w:r>
              <w:rPr>
                <w:rFonts w:ascii="Aptos" w:hAnsi="Aptos"/>
                <w:b w:val="0"/>
                <w:sz w:val="18"/>
              </w:rPr>
              <w:t>C12</w:t>
            </w:r>
          </w:p>
        </w:tc>
        <w:tc>
          <w:tcPr>
            <w:tcW w:type="dxa" w:w="8712"/>
            <w:vAlign w:val="center"/>
          </w:tcPr>
          <w:p>
            <w:r/>
            <w:r>
              <w:rPr>
                <w:rFonts w:ascii="Aptos" w:hAnsi="Aptos"/>
                <w:b w:val="0"/>
                <w:sz w:val="18"/>
              </w:rPr>
              <w:t>The repository runs from a clean environment with documented steps.</w:t>
            </w:r>
          </w:p>
        </w:tc>
      </w:tr>
      <w:tr>
        <w:tc>
          <w:tcPr>
            <w:tcW w:type="dxa" w:w="792"/>
            <w:vAlign w:val="center"/>
          </w:tcPr>
          <w:p>
            <w:r/>
            <w:r>
              <w:rPr>
                <w:rFonts w:ascii="Aptos" w:hAnsi="Aptos"/>
                <w:b w:val="0"/>
                <w:sz w:val="18"/>
              </w:rPr>
              <w:t>C13</w:t>
            </w:r>
          </w:p>
        </w:tc>
        <w:tc>
          <w:tcPr>
            <w:tcW w:type="dxa" w:w="8712"/>
            <w:vAlign w:val="center"/>
          </w:tcPr>
          <w:p>
            <w:r/>
            <w:r>
              <w:rPr>
                <w:rFonts w:ascii="Aptos" w:hAnsi="Aptos"/>
                <w:b w:val="0"/>
                <w:sz w:val="18"/>
              </w:rPr>
              <w:t>A 5-minute video tells the story without requiring the judge to read code.</w:t>
            </w:r>
          </w:p>
        </w:tc>
      </w:tr>
      <w:tr>
        <w:tc>
          <w:tcPr>
            <w:tcW w:type="dxa" w:w="792"/>
            <w:vAlign w:val="center"/>
          </w:tcPr>
          <w:p>
            <w:r/>
            <w:r>
              <w:rPr>
                <w:rFonts w:ascii="Aptos" w:hAnsi="Aptos"/>
                <w:b w:val="0"/>
                <w:sz w:val="18"/>
              </w:rPr>
              <w:t>C14</w:t>
            </w:r>
          </w:p>
        </w:tc>
        <w:tc>
          <w:tcPr>
            <w:tcW w:type="dxa" w:w="8712"/>
            <w:vAlign w:val="center"/>
          </w:tcPr>
          <w:p>
            <w:r/>
            <w:r>
              <w:rPr>
                <w:rFonts w:ascii="Aptos" w:hAnsi="Aptos"/>
                <w:b w:val="0"/>
                <w:sz w:val="18"/>
              </w:rPr>
              <w:t>No claim of patentability or absolute novelty is made without separate prior-art/legal work.</w:t>
            </w:r>
          </w:p>
        </w:tc>
      </w:tr>
    </w:tbl>
    <w:p/>
    <w:p>
      <w:pPr>
        <w:pStyle w:val="Heading1"/>
      </w:pPr>
      <w:r>
        <w:t>20. Stretch Features — Only After MVP Is Green</w:t>
      </w:r>
    </w:p>
    <w:p>
      <w:pPr>
        <w:pStyle w:val="ListBullet"/>
        <w:spacing w:after="40"/>
      </w:pPr>
      <w:r>
        <w:t>Counterfactual “If this hidden event did not occur, what would remain unexplained?” view.</w:t>
      </w:r>
    </w:p>
    <w:p>
      <w:pPr>
        <w:pStyle w:val="ListBullet"/>
        <w:spacing w:after="40"/>
      </w:pPr>
      <w:r>
        <w:t>Event-pattern learning from multiple merchants rather than one merchant.</w:t>
      </w:r>
    </w:p>
    <w:p>
      <w:pPr>
        <w:pStyle w:val="ListBullet"/>
        <w:spacing w:after="40"/>
      </w:pPr>
      <w:r>
        <w:t>Automatic “one upstream cause → N downstream exceptions” clustering.</w:t>
      </w:r>
    </w:p>
    <w:p>
      <w:pPr>
        <w:pStyle w:val="ListBullet"/>
        <w:spacing w:after="40"/>
      </w:pPr>
      <w:r>
        <w:t>Estimated review time saved from historical reviewer behavior.</w:t>
      </w:r>
    </w:p>
    <w:p>
      <w:pPr>
        <w:pStyle w:val="ListBullet"/>
        <w:spacing w:after="40"/>
      </w:pPr>
      <w:r>
        <w:t>Natural-language query over the Shadow Ledger.</w:t>
      </w:r>
    </w:p>
    <w:tbl>
      <w:tblPr>
        <w:tblStyle w:val="TableGrid"/>
        <w:tblW w:type="auto" w:w="0"/>
        <w:jc w:val="center"/>
        <w:tblLook w:firstColumn="1" w:firstRow="1" w:lastColumn="0" w:lastRow="0" w:noHBand="0" w:noVBand="1" w:val="04A0"/>
      </w:tblPr>
      <w:tblGrid>
        <w:gridCol w:w="10166"/>
      </w:tblGrid>
      <w:tr>
        <w:tc>
          <w:tcPr>
            <w:tcW w:type="dxa" w:w="10166"/>
            <w:shd w:fill="FEE2E2"/>
          </w:tcPr>
          <w:p>
            <w:r/>
            <w:r>
              <w:rPr>
                <w:b/>
                <w:color w:val="0F172A"/>
                <w:sz w:val="22"/>
              </w:rPr>
              <w:t>CUT RULE</w:t>
              <w:br/>
            </w:r>
            <w:r>
              <w:rPr>
                <w:rFonts w:ascii="Aptos" w:hAnsi="Aptos"/>
                <w:sz w:val="20"/>
              </w:rPr>
              <w:t>If a stretch feature threatens core accuracy, evaluation, or the hero demo, cut it. The core engine is the product.</w:t>
            </w:r>
          </w:p>
        </w:tc>
      </w:tr>
    </w:tbl>
    <w:p/>
    <w:p>
      <w:pPr>
        <w:pStyle w:val="Heading1"/>
      </w:pPr>
      <w:r>
        <w:t>21. 5-Minute Pitch Narrative</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0F172A"/>
          </w:tcPr>
          <w:p>
            <w:r>
              <w:rPr>
                <w:color w:val="FFFFFF"/>
              </w:rPr>
            </w:r>
            <w:r>
              <w:rPr>
                <w:rFonts w:ascii="Aptos" w:hAnsi="Aptos"/>
                <w:b/>
                <w:color w:val="FFFFFF"/>
                <w:sz w:val="18"/>
              </w:rPr>
              <w:t>Time</w:t>
            </w:r>
          </w:p>
        </w:tc>
        <w:tc>
          <w:tcPr>
            <w:tcW w:type="dxa" w:w="7776"/>
            <w:vAlign w:val="center"/>
            <w:shd w:fill="0F172A"/>
          </w:tcPr>
          <w:p>
            <w:r>
              <w:rPr>
                <w:color w:val="FFFFFF"/>
              </w:rPr>
            </w:r>
            <w:r>
              <w:rPr>
                <w:rFonts w:ascii="Aptos" w:hAnsi="Aptos"/>
                <w:b/>
                <w:color w:val="FFFFFF"/>
                <w:sz w:val="18"/>
              </w:rPr>
              <w:t>Story</w:t>
            </w:r>
          </w:p>
        </w:tc>
      </w:tr>
      <w:tr>
        <w:tc>
          <w:tcPr>
            <w:tcW w:type="dxa" w:w="1728"/>
            <w:vAlign w:val="center"/>
          </w:tcPr>
          <w:p>
            <w:r/>
            <w:r>
              <w:rPr>
                <w:rFonts w:ascii="Aptos" w:hAnsi="Aptos"/>
                <w:b w:val="0"/>
                <w:sz w:val="18"/>
              </w:rPr>
              <w:t>0:00–0:30</w:t>
            </w:r>
          </w:p>
        </w:tc>
        <w:tc>
          <w:tcPr>
            <w:tcW w:type="dxa" w:w="7776"/>
            <w:vAlign w:val="center"/>
          </w:tcPr>
          <w:p>
            <w:r/>
            <w:r>
              <w:rPr>
                <w:rFonts w:ascii="Aptos" w:hAnsi="Aptos"/>
                <w:b w:val="0"/>
                <w:sz w:val="18"/>
              </w:rPr>
              <w:t>“Financial systems record transactions. Real commerce contains value movements the ledger does not represent.”</w:t>
            </w:r>
          </w:p>
        </w:tc>
      </w:tr>
      <w:tr>
        <w:tc>
          <w:tcPr>
            <w:tcW w:type="dxa" w:w="1728"/>
            <w:vAlign w:val="center"/>
          </w:tcPr>
          <w:p>
            <w:r/>
            <w:r>
              <w:rPr>
                <w:rFonts w:ascii="Aptos" w:hAnsi="Aptos"/>
                <w:b w:val="0"/>
                <w:sz w:val="18"/>
              </w:rPr>
              <w:t>0:30–1:10</w:t>
            </w:r>
          </w:p>
        </w:tc>
        <w:tc>
          <w:tcPr>
            <w:tcW w:type="dxa" w:w="7776"/>
            <w:vAlign w:val="center"/>
          </w:tcPr>
          <w:p>
            <w:r/>
            <w:r>
              <w:rPr>
                <w:rFonts w:ascii="Aptos" w:hAnsi="Aptos"/>
                <w:b w:val="0"/>
                <w:sz w:val="18"/>
              </w:rPr>
              <w:t>Show the ₹100→₹98→chocolate example and introduce ShadowLedger.</w:t>
            </w:r>
          </w:p>
        </w:tc>
      </w:tr>
      <w:tr>
        <w:tc>
          <w:tcPr>
            <w:tcW w:type="dxa" w:w="1728"/>
            <w:vAlign w:val="center"/>
          </w:tcPr>
          <w:p>
            <w:r/>
            <w:r>
              <w:rPr>
                <w:rFonts w:ascii="Aptos" w:hAnsi="Aptos"/>
                <w:b w:val="0"/>
                <w:sz w:val="18"/>
              </w:rPr>
              <w:t>1:10–2:50</w:t>
            </w:r>
          </w:p>
        </w:tc>
        <w:tc>
          <w:tcPr>
            <w:tcW w:type="dxa" w:w="7776"/>
            <w:vAlign w:val="center"/>
          </w:tcPr>
          <w:p>
            <w:r/>
            <w:r>
              <w:rPr>
                <w:rFonts w:ascii="Aptos" w:hAnsi="Aptos"/>
                <w:b w:val="0"/>
                <w:sz w:val="18"/>
              </w:rPr>
              <w:t>Run the 10k batch. Show resolution, shadow events, unexplained value and one case investigation.</w:t>
            </w:r>
          </w:p>
        </w:tc>
      </w:tr>
      <w:tr>
        <w:tc>
          <w:tcPr>
            <w:tcW w:type="dxa" w:w="1728"/>
            <w:vAlign w:val="center"/>
          </w:tcPr>
          <w:p>
            <w:r/>
            <w:r>
              <w:rPr>
                <w:rFonts w:ascii="Aptos" w:hAnsi="Aptos"/>
                <w:b w:val="0"/>
                <w:sz w:val="18"/>
              </w:rPr>
              <w:t>2:50–3:40</w:t>
            </w:r>
          </w:p>
        </w:tc>
        <w:tc>
          <w:tcPr>
            <w:tcW w:type="dxa" w:w="7776"/>
            <w:vAlign w:val="center"/>
          </w:tcPr>
          <w:p>
            <w:r/>
            <w:r>
              <w:rPr>
                <w:rFonts w:ascii="Aptos" w:hAnsi="Aptos"/>
                <w:b w:val="0"/>
                <w:sz w:val="18"/>
              </w:rPr>
              <w:t>Show micro-leakage / root-cause aggregation across hundreds of tiny discrepancies.</w:t>
            </w:r>
          </w:p>
        </w:tc>
      </w:tr>
      <w:tr>
        <w:tc>
          <w:tcPr>
            <w:tcW w:type="dxa" w:w="1728"/>
            <w:vAlign w:val="center"/>
          </w:tcPr>
          <w:p>
            <w:r/>
            <w:r>
              <w:rPr>
                <w:rFonts w:ascii="Aptos" w:hAnsi="Aptos"/>
                <w:b w:val="0"/>
                <w:sz w:val="18"/>
              </w:rPr>
              <w:t>3:40–4:20</w:t>
            </w:r>
          </w:p>
        </w:tc>
        <w:tc>
          <w:tcPr>
            <w:tcW w:type="dxa" w:w="7776"/>
            <w:vAlign w:val="center"/>
          </w:tcPr>
          <w:p>
            <w:r/>
            <w:r>
              <w:rPr>
                <w:rFonts w:ascii="Aptos" w:hAnsi="Aptos"/>
                <w:b w:val="0"/>
                <w:sz w:val="18"/>
              </w:rPr>
              <w:t>Show the deliberate failure: conflicting evidence → unresolved / human review.</w:t>
            </w:r>
          </w:p>
        </w:tc>
      </w:tr>
      <w:tr>
        <w:tc>
          <w:tcPr>
            <w:tcW w:type="dxa" w:w="1728"/>
            <w:vAlign w:val="center"/>
          </w:tcPr>
          <w:p>
            <w:r/>
            <w:r>
              <w:rPr>
                <w:rFonts w:ascii="Aptos" w:hAnsi="Aptos"/>
                <w:b w:val="0"/>
                <w:sz w:val="18"/>
              </w:rPr>
              <w:t>4:20–5:00</w:t>
            </w:r>
          </w:p>
        </w:tc>
        <w:tc>
          <w:tcPr>
            <w:tcW w:type="dxa" w:w="7776"/>
            <w:vAlign w:val="center"/>
          </w:tcPr>
          <w:p>
            <w:r/>
            <w:r>
              <w:rPr>
                <w:rFonts w:ascii="Aptos" w:hAnsi="Aptos"/>
                <w:b w:val="0"/>
                <w:sz w:val="18"/>
              </w:rPr>
              <w:t>Show metrics, architecture, why AI is only used where needed, and the line: “We reconcile value, not just records.”</w:t>
            </w:r>
          </w:p>
        </w:tc>
      </w:tr>
    </w:tbl>
    <w:p/>
    <w:p>
      <w:pPr>
        <w:pStyle w:val="Heading1"/>
      </w:pPr>
      <w:r>
        <w:t>22. Key Technical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0F172A"/>
          </w:tcPr>
          <w:p>
            <w:r>
              <w:rPr>
                <w:color w:val="FFFFFF"/>
              </w:rPr>
            </w:r>
            <w:r>
              <w:rPr>
                <w:rFonts w:ascii="Aptos" w:hAnsi="Aptos"/>
                <w:b/>
                <w:color w:val="FFFFFF"/>
                <w:sz w:val="18"/>
              </w:rPr>
              <w:t>Risk</w:t>
            </w:r>
          </w:p>
        </w:tc>
        <w:tc>
          <w:tcPr>
            <w:tcW w:type="dxa" w:w="3672"/>
            <w:vAlign w:val="center"/>
            <w:shd w:fill="0F172A"/>
          </w:tcPr>
          <w:p>
            <w:r>
              <w:rPr>
                <w:color w:val="FFFFFF"/>
              </w:rPr>
            </w:r>
            <w:r>
              <w:rPr>
                <w:rFonts w:ascii="Aptos" w:hAnsi="Aptos"/>
                <w:b/>
                <w:color w:val="FFFFFF"/>
                <w:sz w:val="18"/>
              </w:rPr>
              <w:t>Why it matters</w:t>
            </w:r>
          </w:p>
        </w:tc>
        <w:tc>
          <w:tcPr>
            <w:tcW w:type="dxa" w:w="3600"/>
            <w:vAlign w:val="center"/>
            <w:shd w:fill="0F172A"/>
          </w:tcPr>
          <w:p>
            <w:r>
              <w:rPr>
                <w:color w:val="FFFFFF"/>
              </w:rPr>
            </w:r>
            <w:r>
              <w:rPr>
                <w:rFonts w:ascii="Aptos" w:hAnsi="Aptos"/>
                <w:b/>
                <w:color w:val="FFFFFF"/>
                <w:sz w:val="18"/>
              </w:rPr>
              <w:t>Mitigation</w:t>
            </w:r>
          </w:p>
        </w:tc>
      </w:tr>
      <w:tr>
        <w:tc>
          <w:tcPr>
            <w:tcW w:type="dxa" w:w="2232"/>
            <w:vAlign w:val="center"/>
          </w:tcPr>
          <w:p>
            <w:r/>
            <w:r>
              <w:rPr>
                <w:rFonts w:ascii="Aptos" w:hAnsi="Aptos"/>
                <w:b w:val="0"/>
                <w:sz w:val="18"/>
              </w:rPr>
              <w:t>Idea becomes too broad</w:t>
            </w:r>
          </w:p>
        </w:tc>
        <w:tc>
          <w:tcPr>
            <w:tcW w:type="dxa" w:w="3672"/>
            <w:vAlign w:val="center"/>
          </w:tcPr>
          <w:p>
            <w:r/>
            <w:r>
              <w:rPr>
                <w:rFonts w:ascii="Aptos" w:hAnsi="Aptos"/>
                <w:b w:val="0"/>
                <w:sz w:val="18"/>
              </w:rPr>
              <w:t>56 hours cannot cover all commerce</w:t>
            </w:r>
          </w:p>
        </w:tc>
        <w:tc>
          <w:tcPr>
            <w:tcW w:type="dxa" w:w="3600"/>
            <w:vAlign w:val="center"/>
          </w:tcPr>
          <w:p>
            <w:r/>
            <w:r>
              <w:rPr>
                <w:rFonts w:ascii="Aptos" w:hAnsi="Aptos"/>
                <w:b w:val="0"/>
                <w:sz w:val="18"/>
              </w:rPr>
              <w:t>Restrict hidden events to 5–7 MVP classes</w:t>
            </w:r>
          </w:p>
        </w:tc>
      </w:tr>
      <w:tr>
        <w:tc>
          <w:tcPr>
            <w:tcW w:type="dxa" w:w="2232"/>
            <w:vAlign w:val="center"/>
          </w:tcPr>
          <w:p>
            <w:r/>
            <w:r>
              <w:rPr>
                <w:rFonts w:ascii="Aptos" w:hAnsi="Aptos"/>
                <w:b w:val="0"/>
                <w:sz w:val="18"/>
              </w:rPr>
              <w:t>LLM hallucination</w:t>
            </w:r>
          </w:p>
        </w:tc>
        <w:tc>
          <w:tcPr>
            <w:tcW w:type="dxa" w:w="3672"/>
            <w:vAlign w:val="center"/>
          </w:tcPr>
          <w:p>
            <w:r/>
            <w:r>
              <w:rPr>
                <w:rFonts w:ascii="Aptos" w:hAnsi="Aptos"/>
                <w:b w:val="0"/>
                <w:sz w:val="18"/>
              </w:rPr>
              <w:t>Destroys fintech trust</w:t>
            </w:r>
          </w:p>
        </w:tc>
        <w:tc>
          <w:tcPr>
            <w:tcW w:type="dxa" w:w="3600"/>
            <w:vAlign w:val="center"/>
          </w:tcPr>
          <w:p>
            <w:r/>
            <w:r>
              <w:rPr>
                <w:rFonts w:ascii="Aptos" w:hAnsi="Aptos"/>
                <w:b w:val="0"/>
                <w:sz w:val="18"/>
              </w:rPr>
              <w:t>Constrain LLM to proposals/explanations; deterministic gate decides</w:t>
            </w:r>
          </w:p>
        </w:tc>
      </w:tr>
      <w:tr>
        <w:tc>
          <w:tcPr>
            <w:tcW w:type="dxa" w:w="2232"/>
            <w:vAlign w:val="center"/>
          </w:tcPr>
          <w:p>
            <w:r/>
            <w:r>
              <w:rPr>
                <w:rFonts w:ascii="Aptos" w:hAnsi="Aptos"/>
                <w:b w:val="0"/>
                <w:sz w:val="18"/>
              </w:rPr>
              <w:t>Synthetic data too easy</w:t>
            </w:r>
          </w:p>
        </w:tc>
        <w:tc>
          <w:tcPr>
            <w:tcW w:type="dxa" w:w="3672"/>
            <w:vAlign w:val="center"/>
          </w:tcPr>
          <w:p>
            <w:r/>
            <w:r>
              <w:rPr>
                <w:rFonts w:ascii="Aptos" w:hAnsi="Aptos"/>
                <w:b w:val="0"/>
                <w:sz w:val="18"/>
              </w:rPr>
              <w:t>Metrics look meaningless</w:t>
            </w:r>
          </w:p>
        </w:tc>
        <w:tc>
          <w:tcPr>
            <w:tcW w:type="dxa" w:w="3600"/>
            <w:vAlign w:val="center"/>
          </w:tcPr>
          <w:p>
            <w:r/>
            <w:r>
              <w:rPr>
                <w:rFonts w:ascii="Aptos" w:hAnsi="Aptos"/>
                <w:b w:val="0"/>
                <w:sz w:val="18"/>
              </w:rPr>
              <w:t>Seed adversarial ambiguities and realistic noise</w:t>
            </w:r>
          </w:p>
        </w:tc>
      </w:tr>
      <w:tr>
        <w:tc>
          <w:tcPr>
            <w:tcW w:type="dxa" w:w="2232"/>
            <w:vAlign w:val="center"/>
          </w:tcPr>
          <w:p>
            <w:r/>
            <w:r>
              <w:rPr>
                <w:rFonts w:ascii="Aptos" w:hAnsi="Aptos"/>
                <w:b w:val="0"/>
                <w:sz w:val="18"/>
              </w:rPr>
              <w:t>Graph search explosion</w:t>
            </w:r>
          </w:p>
        </w:tc>
        <w:tc>
          <w:tcPr>
            <w:tcW w:type="dxa" w:w="3672"/>
            <w:vAlign w:val="center"/>
          </w:tcPr>
          <w:p>
            <w:r/>
            <w:r>
              <w:rPr>
                <w:rFonts w:ascii="Aptos" w:hAnsi="Aptos"/>
                <w:b w:val="0"/>
                <w:sz w:val="18"/>
              </w:rPr>
              <w:t>Candidate events can multiply</w:t>
            </w:r>
          </w:p>
        </w:tc>
        <w:tc>
          <w:tcPr>
            <w:tcW w:type="dxa" w:w="3600"/>
            <w:vAlign w:val="center"/>
          </w:tcPr>
          <w:p>
            <w:r/>
            <w:r>
              <w:rPr>
                <w:rFonts w:ascii="Aptos" w:hAnsi="Aptos"/>
                <w:b w:val="0"/>
                <w:sz w:val="18"/>
              </w:rPr>
              <w:t>Generate candidates only around residual clusters</w:t>
            </w:r>
          </w:p>
        </w:tc>
      </w:tr>
      <w:tr>
        <w:tc>
          <w:tcPr>
            <w:tcW w:type="dxa" w:w="2232"/>
            <w:vAlign w:val="center"/>
          </w:tcPr>
          <w:p>
            <w:r/>
            <w:r>
              <w:rPr>
                <w:rFonts w:ascii="Aptos" w:hAnsi="Aptos"/>
                <w:b w:val="0"/>
                <w:sz w:val="18"/>
              </w:rPr>
              <w:t>No visible wow</w:t>
            </w:r>
          </w:p>
        </w:tc>
        <w:tc>
          <w:tcPr>
            <w:tcW w:type="dxa" w:w="3672"/>
            <w:vAlign w:val="center"/>
          </w:tcPr>
          <w:p>
            <w:r/>
            <w:r>
              <w:rPr>
                <w:rFonts w:ascii="Aptos" w:hAnsi="Aptos"/>
                <w:b w:val="0"/>
                <w:sz w:val="18"/>
              </w:rPr>
              <w:t>Core engine feels abstract</w:t>
            </w:r>
          </w:p>
        </w:tc>
        <w:tc>
          <w:tcPr>
            <w:tcW w:type="dxa" w:w="3600"/>
            <w:vAlign w:val="center"/>
          </w:tcPr>
          <w:p>
            <w:r/>
            <w:r>
              <w:rPr>
                <w:rFonts w:ascii="Aptos" w:hAnsi="Aptos"/>
                <w:b w:val="0"/>
                <w:sz w:val="18"/>
              </w:rPr>
              <w:t>Use a dramatic value-flow animation + leakage story</w:t>
            </w:r>
          </w:p>
        </w:tc>
      </w:tr>
      <w:tr>
        <w:tc>
          <w:tcPr>
            <w:tcW w:type="dxa" w:w="2232"/>
            <w:vAlign w:val="center"/>
          </w:tcPr>
          <w:p>
            <w:r/>
            <w:r>
              <w:rPr>
                <w:rFonts w:ascii="Aptos" w:hAnsi="Aptos"/>
                <w:b w:val="0"/>
                <w:sz w:val="18"/>
              </w:rPr>
              <w:t>Claims of novelty challenged</w:t>
            </w:r>
          </w:p>
        </w:tc>
        <w:tc>
          <w:tcPr>
            <w:tcW w:type="dxa" w:w="3672"/>
            <w:vAlign w:val="center"/>
          </w:tcPr>
          <w:p>
            <w:r/>
            <w:r>
              <w:rPr>
                <w:rFonts w:ascii="Aptos" w:hAnsi="Aptos"/>
                <w:b w:val="0"/>
                <w:sz w:val="18"/>
              </w:rPr>
              <w:t>Prior art exists</w:t>
            </w:r>
          </w:p>
        </w:tc>
        <w:tc>
          <w:tcPr>
            <w:tcW w:type="dxa" w:w="3600"/>
            <w:vAlign w:val="center"/>
          </w:tcPr>
          <w:p>
            <w:r/>
            <w:r>
              <w:rPr>
                <w:rFonts w:ascii="Aptos" w:hAnsi="Aptos"/>
                <w:b w:val="0"/>
                <w:sz w:val="18"/>
              </w:rPr>
              <w:t>Claim novelty of our specific mechanism/implementation only; do not claim patentability</w:t>
            </w:r>
          </w:p>
        </w:tc>
      </w:tr>
    </w:tbl>
    <w:p/>
    <w:p>
      <w:pPr>
        <w:pStyle w:val="Heading1"/>
      </w:pPr>
      <w:r>
        <w:t>23. Suggested 56-Hour Tech Stack</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0F172A"/>
          </w:tcPr>
          <w:p>
            <w:r>
              <w:rPr>
                <w:color w:val="FFFFFF"/>
              </w:rPr>
            </w:r>
            <w:r>
              <w:rPr>
                <w:rFonts w:ascii="Aptos" w:hAnsi="Aptos"/>
                <w:b/>
                <w:color w:val="FFFFFF"/>
                <w:sz w:val="18"/>
              </w:rPr>
              <w:t>Component</w:t>
            </w:r>
          </w:p>
        </w:tc>
        <w:tc>
          <w:tcPr>
            <w:tcW w:type="dxa" w:w="2880"/>
            <w:vAlign w:val="center"/>
            <w:shd w:fill="0F172A"/>
          </w:tcPr>
          <w:p>
            <w:r>
              <w:rPr>
                <w:color w:val="FFFFFF"/>
              </w:rPr>
            </w:r>
            <w:r>
              <w:rPr>
                <w:rFonts w:ascii="Aptos" w:hAnsi="Aptos"/>
                <w:b/>
                <w:color w:val="FFFFFF"/>
                <w:sz w:val="18"/>
              </w:rPr>
              <w:t>Choice</w:t>
            </w:r>
          </w:p>
        </w:tc>
        <w:tc>
          <w:tcPr>
            <w:tcW w:type="dxa" w:w="4824"/>
            <w:vAlign w:val="center"/>
            <w:shd w:fill="0F172A"/>
          </w:tcPr>
          <w:p>
            <w:r>
              <w:rPr>
                <w:color w:val="FFFFFF"/>
              </w:rPr>
            </w:r>
            <w:r>
              <w:rPr>
                <w:rFonts w:ascii="Aptos" w:hAnsi="Aptos"/>
                <w:b/>
                <w:color w:val="FFFFFF"/>
                <w:sz w:val="18"/>
              </w:rPr>
              <w:t>Reason</w:t>
            </w:r>
          </w:p>
        </w:tc>
      </w:tr>
      <w:tr>
        <w:tc>
          <w:tcPr>
            <w:tcW w:type="dxa" w:w="1800"/>
            <w:vAlign w:val="center"/>
          </w:tcPr>
          <w:p>
            <w:r/>
            <w:r>
              <w:rPr>
                <w:rFonts w:ascii="Aptos" w:hAnsi="Aptos"/>
                <w:b w:val="0"/>
                <w:sz w:val="18"/>
              </w:rPr>
              <w:t>Language</w:t>
            </w:r>
          </w:p>
        </w:tc>
        <w:tc>
          <w:tcPr>
            <w:tcW w:type="dxa" w:w="2880"/>
            <w:vAlign w:val="center"/>
          </w:tcPr>
          <w:p>
            <w:r/>
            <w:r>
              <w:rPr>
                <w:rFonts w:ascii="Aptos" w:hAnsi="Aptos"/>
                <w:b w:val="0"/>
                <w:sz w:val="18"/>
              </w:rPr>
              <w:t>Python</w:t>
            </w:r>
          </w:p>
        </w:tc>
        <w:tc>
          <w:tcPr>
            <w:tcW w:type="dxa" w:w="4824"/>
            <w:vAlign w:val="center"/>
          </w:tcPr>
          <w:p>
            <w:r/>
            <w:r>
              <w:rPr>
                <w:rFonts w:ascii="Aptos" w:hAnsi="Aptos"/>
                <w:b w:val="0"/>
                <w:sz w:val="18"/>
              </w:rPr>
              <w:t>Fastest iteration for data, graph and evaluation</w:t>
            </w:r>
          </w:p>
        </w:tc>
      </w:tr>
      <w:tr>
        <w:tc>
          <w:tcPr>
            <w:tcW w:type="dxa" w:w="1800"/>
            <w:vAlign w:val="center"/>
          </w:tcPr>
          <w:p>
            <w:r/>
            <w:r>
              <w:rPr>
                <w:rFonts w:ascii="Aptos" w:hAnsi="Aptos"/>
                <w:b w:val="0"/>
                <w:sz w:val="18"/>
              </w:rPr>
              <w:t>API</w:t>
            </w:r>
          </w:p>
        </w:tc>
        <w:tc>
          <w:tcPr>
            <w:tcW w:type="dxa" w:w="2880"/>
            <w:vAlign w:val="center"/>
          </w:tcPr>
          <w:p>
            <w:r/>
            <w:r>
              <w:rPr>
                <w:rFonts w:ascii="Aptos" w:hAnsi="Aptos"/>
                <w:b w:val="0"/>
                <w:sz w:val="18"/>
              </w:rPr>
              <w:t>FastAPI</w:t>
            </w:r>
          </w:p>
        </w:tc>
        <w:tc>
          <w:tcPr>
            <w:tcW w:type="dxa" w:w="4824"/>
            <w:vAlign w:val="center"/>
          </w:tcPr>
          <w:p>
            <w:r/>
            <w:r>
              <w:rPr>
                <w:rFonts w:ascii="Aptos" w:hAnsi="Aptos"/>
                <w:b w:val="0"/>
                <w:sz w:val="18"/>
              </w:rPr>
              <w:t>Simple service boundary</w:t>
            </w:r>
          </w:p>
        </w:tc>
      </w:tr>
      <w:tr>
        <w:tc>
          <w:tcPr>
            <w:tcW w:type="dxa" w:w="1800"/>
            <w:vAlign w:val="center"/>
          </w:tcPr>
          <w:p>
            <w:r/>
            <w:r>
              <w:rPr>
                <w:rFonts w:ascii="Aptos" w:hAnsi="Aptos"/>
                <w:b w:val="0"/>
                <w:sz w:val="18"/>
              </w:rPr>
              <w:t>Data</w:t>
            </w:r>
          </w:p>
        </w:tc>
        <w:tc>
          <w:tcPr>
            <w:tcW w:type="dxa" w:w="2880"/>
            <w:vAlign w:val="center"/>
          </w:tcPr>
          <w:p>
            <w:r/>
            <w:r>
              <w:rPr>
                <w:rFonts w:ascii="Aptos" w:hAnsi="Aptos"/>
                <w:b w:val="0"/>
                <w:sz w:val="18"/>
              </w:rPr>
              <w:t>Pandas + DuckDB</w:t>
            </w:r>
          </w:p>
        </w:tc>
        <w:tc>
          <w:tcPr>
            <w:tcW w:type="dxa" w:w="4824"/>
            <w:vAlign w:val="center"/>
          </w:tcPr>
          <w:p>
            <w:r/>
            <w:r>
              <w:rPr>
                <w:rFonts w:ascii="Aptos" w:hAnsi="Aptos"/>
                <w:b w:val="0"/>
                <w:sz w:val="18"/>
              </w:rPr>
              <w:t>Fast local analytical workflow</w:t>
            </w:r>
          </w:p>
        </w:tc>
      </w:tr>
      <w:tr>
        <w:tc>
          <w:tcPr>
            <w:tcW w:type="dxa" w:w="1800"/>
            <w:vAlign w:val="center"/>
          </w:tcPr>
          <w:p>
            <w:r/>
            <w:r>
              <w:rPr>
                <w:rFonts w:ascii="Aptos" w:hAnsi="Aptos"/>
                <w:b w:val="0"/>
                <w:sz w:val="18"/>
              </w:rPr>
              <w:t>Graph</w:t>
            </w:r>
          </w:p>
        </w:tc>
        <w:tc>
          <w:tcPr>
            <w:tcW w:type="dxa" w:w="2880"/>
            <w:vAlign w:val="center"/>
          </w:tcPr>
          <w:p>
            <w:r/>
            <w:r>
              <w:rPr>
                <w:rFonts w:ascii="Aptos" w:hAnsi="Aptos"/>
                <w:b w:val="0"/>
                <w:sz w:val="18"/>
              </w:rPr>
              <w:t>NetworkX or relational adjacency</w:t>
            </w:r>
          </w:p>
        </w:tc>
        <w:tc>
          <w:tcPr>
            <w:tcW w:type="dxa" w:w="4824"/>
            <w:vAlign w:val="center"/>
          </w:tcPr>
          <w:p>
            <w:r/>
            <w:r>
              <w:rPr>
                <w:rFonts w:ascii="Aptos" w:hAnsi="Aptos"/>
                <w:b w:val="0"/>
                <w:sz w:val="18"/>
              </w:rPr>
              <w:t>Enough for prototype-scale value-flow reasoning</w:t>
            </w:r>
          </w:p>
        </w:tc>
      </w:tr>
      <w:tr>
        <w:tc>
          <w:tcPr>
            <w:tcW w:type="dxa" w:w="1800"/>
            <w:vAlign w:val="center"/>
          </w:tcPr>
          <w:p>
            <w:r/>
            <w:r>
              <w:rPr>
                <w:rFonts w:ascii="Aptos" w:hAnsi="Aptos"/>
                <w:b w:val="0"/>
                <w:sz w:val="18"/>
              </w:rPr>
              <w:t>ML</w:t>
            </w:r>
          </w:p>
        </w:tc>
        <w:tc>
          <w:tcPr>
            <w:tcW w:type="dxa" w:w="2880"/>
            <w:vAlign w:val="center"/>
          </w:tcPr>
          <w:p>
            <w:r/>
            <w:r>
              <w:rPr>
                <w:rFonts w:ascii="Aptos" w:hAnsi="Aptos"/>
                <w:b w:val="0"/>
                <w:sz w:val="18"/>
              </w:rPr>
              <w:t>scikit-learn</w:t>
            </w:r>
          </w:p>
        </w:tc>
        <w:tc>
          <w:tcPr>
            <w:tcW w:type="dxa" w:w="4824"/>
            <w:vAlign w:val="center"/>
          </w:tcPr>
          <w:p>
            <w:r/>
            <w:r>
              <w:rPr>
                <w:rFonts w:ascii="Aptos" w:hAnsi="Aptos"/>
                <w:b w:val="0"/>
                <w:sz w:val="18"/>
              </w:rPr>
              <w:t>Anomaly/pattern baselines and evaluation</w:t>
            </w:r>
          </w:p>
        </w:tc>
      </w:tr>
      <w:tr>
        <w:tc>
          <w:tcPr>
            <w:tcW w:type="dxa" w:w="1800"/>
            <w:vAlign w:val="center"/>
          </w:tcPr>
          <w:p>
            <w:r/>
            <w:r>
              <w:rPr>
                <w:rFonts w:ascii="Aptos" w:hAnsi="Aptos"/>
                <w:b w:val="0"/>
                <w:sz w:val="18"/>
              </w:rPr>
              <w:t>LLM</w:t>
            </w:r>
          </w:p>
        </w:tc>
        <w:tc>
          <w:tcPr>
            <w:tcW w:type="dxa" w:w="2880"/>
            <w:vAlign w:val="center"/>
          </w:tcPr>
          <w:p>
            <w:r/>
            <w:r>
              <w:rPr>
                <w:rFonts w:ascii="Aptos" w:hAnsi="Aptos"/>
                <w:b w:val="0"/>
                <w:sz w:val="18"/>
              </w:rPr>
              <w:t>One reliable hosted model</w:t>
            </w:r>
          </w:p>
        </w:tc>
        <w:tc>
          <w:tcPr>
            <w:tcW w:type="dxa" w:w="4824"/>
            <w:vAlign w:val="center"/>
          </w:tcPr>
          <w:p>
            <w:r/>
            <w:r>
              <w:rPr>
                <w:rFonts w:ascii="Aptos" w:hAnsi="Aptos"/>
                <w:b w:val="0"/>
                <w:sz w:val="18"/>
              </w:rPr>
              <w:t>Semantic normalization + explanation only</w:t>
            </w:r>
          </w:p>
        </w:tc>
      </w:tr>
      <w:tr>
        <w:tc>
          <w:tcPr>
            <w:tcW w:type="dxa" w:w="1800"/>
            <w:vAlign w:val="center"/>
          </w:tcPr>
          <w:p>
            <w:r/>
            <w:r>
              <w:rPr>
                <w:rFonts w:ascii="Aptos" w:hAnsi="Aptos"/>
                <w:b w:val="0"/>
                <w:sz w:val="18"/>
              </w:rPr>
              <w:t>UI</w:t>
            </w:r>
          </w:p>
        </w:tc>
        <w:tc>
          <w:tcPr>
            <w:tcW w:type="dxa" w:w="2880"/>
            <w:vAlign w:val="center"/>
          </w:tcPr>
          <w:p>
            <w:r/>
            <w:r>
              <w:rPr>
                <w:rFonts w:ascii="Aptos" w:hAnsi="Aptos"/>
                <w:b w:val="0"/>
                <w:sz w:val="18"/>
              </w:rPr>
              <w:t>Streamlit</w:t>
            </w:r>
          </w:p>
        </w:tc>
        <w:tc>
          <w:tcPr>
            <w:tcW w:type="dxa" w:w="4824"/>
            <w:vAlign w:val="center"/>
          </w:tcPr>
          <w:p>
            <w:r/>
            <w:r>
              <w:rPr>
                <w:rFonts w:ascii="Aptos" w:hAnsi="Aptos"/>
                <w:b w:val="0"/>
                <w:sz w:val="18"/>
              </w:rPr>
              <w:t>Fastest judge-facing control room</w:t>
            </w:r>
          </w:p>
        </w:tc>
      </w:tr>
      <w:tr>
        <w:tc>
          <w:tcPr>
            <w:tcW w:type="dxa" w:w="1800"/>
            <w:vAlign w:val="center"/>
          </w:tcPr>
          <w:p>
            <w:r/>
            <w:r>
              <w:rPr>
                <w:rFonts w:ascii="Aptos" w:hAnsi="Aptos"/>
                <w:b w:val="0"/>
                <w:sz w:val="18"/>
              </w:rPr>
              <w:t>Validation</w:t>
            </w:r>
          </w:p>
        </w:tc>
        <w:tc>
          <w:tcPr>
            <w:tcW w:type="dxa" w:w="2880"/>
            <w:vAlign w:val="center"/>
          </w:tcPr>
          <w:p>
            <w:r/>
            <w:r>
              <w:rPr>
                <w:rFonts w:ascii="Aptos" w:hAnsi="Aptos"/>
                <w:b w:val="0"/>
                <w:sz w:val="18"/>
              </w:rPr>
              <w:t>Pydantic</w:t>
            </w:r>
          </w:p>
        </w:tc>
        <w:tc>
          <w:tcPr>
            <w:tcW w:type="dxa" w:w="4824"/>
            <w:vAlign w:val="center"/>
          </w:tcPr>
          <w:p>
            <w:r/>
            <w:r>
              <w:rPr>
                <w:rFonts w:ascii="Aptos" w:hAnsi="Aptos"/>
                <w:b w:val="0"/>
                <w:sz w:val="18"/>
              </w:rPr>
              <w:t>Strict event contracts</w:t>
            </w:r>
          </w:p>
        </w:tc>
      </w:tr>
      <w:tr>
        <w:tc>
          <w:tcPr>
            <w:tcW w:type="dxa" w:w="1800"/>
            <w:vAlign w:val="center"/>
          </w:tcPr>
          <w:p>
            <w:r/>
            <w:r>
              <w:rPr>
                <w:rFonts w:ascii="Aptos" w:hAnsi="Aptos"/>
                <w:b w:val="0"/>
                <w:sz w:val="18"/>
              </w:rPr>
              <w:t>Testing</w:t>
            </w:r>
          </w:p>
        </w:tc>
        <w:tc>
          <w:tcPr>
            <w:tcW w:type="dxa" w:w="2880"/>
            <w:vAlign w:val="center"/>
          </w:tcPr>
          <w:p>
            <w:r/>
            <w:r>
              <w:rPr>
                <w:rFonts w:ascii="Aptos" w:hAnsi="Aptos"/>
                <w:b w:val="0"/>
                <w:sz w:val="18"/>
              </w:rPr>
              <w:t>pytest</w:t>
            </w:r>
          </w:p>
        </w:tc>
        <w:tc>
          <w:tcPr>
            <w:tcW w:type="dxa" w:w="4824"/>
            <w:vAlign w:val="center"/>
          </w:tcPr>
          <w:p>
            <w:r/>
            <w:r>
              <w:rPr>
                <w:rFonts w:ascii="Aptos" w:hAnsi="Aptos"/>
                <w:b w:val="0"/>
                <w:sz w:val="18"/>
              </w:rPr>
              <w:t>Reproducible benchmark and edge cases</w:t>
            </w:r>
          </w:p>
        </w:tc>
      </w:tr>
      <w:tr>
        <w:tc>
          <w:tcPr>
            <w:tcW w:type="dxa" w:w="1800"/>
            <w:vAlign w:val="center"/>
          </w:tcPr>
          <w:p>
            <w:r/>
            <w:r>
              <w:rPr>
                <w:rFonts w:ascii="Aptos" w:hAnsi="Aptos"/>
                <w:b w:val="0"/>
                <w:sz w:val="18"/>
              </w:rPr>
              <w:t>Packaging</w:t>
            </w:r>
          </w:p>
        </w:tc>
        <w:tc>
          <w:tcPr>
            <w:tcW w:type="dxa" w:w="2880"/>
            <w:vAlign w:val="center"/>
          </w:tcPr>
          <w:p>
            <w:r/>
            <w:r>
              <w:rPr>
                <w:rFonts w:ascii="Aptos" w:hAnsi="Aptos"/>
                <w:b w:val="0"/>
                <w:sz w:val="18"/>
              </w:rPr>
              <w:t>Docker optional</w:t>
            </w:r>
          </w:p>
        </w:tc>
        <w:tc>
          <w:tcPr>
            <w:tcW w:type="dxa" w:w="4824"/>
            <w:vAlign w:val="center"/>
          </w:tcPr>
          <w:p>
            <w:r/>
            <w:r>
              <w:rPr>
                <w:rFonts w:ascii="Aptos" w:hAnsi="Aptos"/>
                <w:b w:val="0"/>
                <w:sz w:val="18"/>
              </w:rPr>
              <w:t>Only if local reproducibility is clean without it</w:t>
            </w:r>
          </w:p>
        </w:tc>
      </w:tr>
    </w:tbl>
    <w:p/>
    <w:p>
      <w:pPr>
        <w:pStyle w:val="Heading1"/>
      </w:pPr>
      <w:r>
        <w:t>24. Repository Structure</w:t>
      </w:r>
    </w:p>
    <w:p>
      <w:r>
        <w:rPr>
          <w:rFonts w:ascii="Courier New" w:hAnsi="Courier New"/>
          <w:sz w:val="19"/>
        </w:rPr>
        <w:t>shadowledger/</w:t>
        <w:br/>
        <w:t>├── data/</w:t>
        <w:br/>
        <w:t>│   ├── generators/</w:t>
        <w:br/>
        <w:t>│   ├── fixtures/</w:t>
        <w:br/>
        <w:t>│   └── heldout/</w:t>
        <w:br/>
        <w:t>├── shadowledger/</w:t>
        <w:br/>
        <w:t>│   ├── schema/</w:t>
        <w:br/>
        <w:t>│   ├── ingest/</w:t>
        <w:br/>
        <w:t>│   ├── reconcile/</w:t>
        <w:br/>
        <w:t>│   ├── graph/</w:t>
        <w:br/>
        <w:t>│   ├── constraints/</w:t>
        <w:br/>
        <w:t>│   ├── hypotheses/</w:t>
        <w:br/>
        <w:t>│   ├── scoring/</w:t>
        <w:br/>
        <w:t>│   ├── ai/</w:t>
        <w:br/>
        <w:t>│   ├── decisions/</w:t>
        <w:br/>
        <w:t>│   ├── insights/</w:t>
        <w:br/>
        <w:t>│   └── audit/</w:t>
        <w:br/>
        <w:t>├── app/</w:t>
        <w:br/>
        <w:t>├── tests/</w:t>
        <w:br/>
        <w:t>├── notebooks/</w:t>
        <w:br/>
        <w:t>├── metrics/</w:t>
        <w:br/>
        <w:t>├── README.md</w:t>
        <w:br/>
        <w:t>└── requirements.txt</w:t>
      </w:r>
    </w:p>
    <w:p>
      <w:pPr>
        <w:pStyle w:val="Heading1"/>
      </w:pPr>
      <w:r>
        <w:t>25. Final Product Definition</w:t>
      </w:r>
    </w:p>
    <w:tbl>
      <w:tblPr>
        <w:tblStyle w:val="TableGrid"/>
        <w:tblW w:type="auto" w:w="0"/>
        <w:jc w:val="center"/>
        <w:tblLook w:firstColumn="1" w:firstRow="1" w:lastColumn="0" w:lastRow="0" w:noHBand="0" w:noVBand="1" w:val="04A0"/>
      </w:tblPr>
      <w:tblGrid>
        <w:gridCol w:w="10166"/>
      </w:tblGrid>
      <w:tr>
        <w:tc>
          <w:tcPr>
            <w:tcW w:type="dxa" w:w="10166"/>
            <w:shd w:fill="E0F2FE"/>
          </w:tcPr>
          <w:p>
            <w:r/>
            <w:r>
              <w:rPr>
                <w:b/>
                <w:color w:val="0F172A"/>
                <w:sz w:val="22"/>
              </w:rPr>
              <w:t>LOCKED PRODUCT</w:t>
              <w:br/>
            </w:r>
            <w:r>
              <w:rPr>
                <w:rFonts w:ascii="Aptos" w:hAnsi="Aptos"/>
                <w:sz w:val="20"/>
              </w:rPr>
              <w:t>ShadowLedger is a finance-ops control system that reconstructs economic value flows from imperfect records. It maintains an Official Ledger of what was recorded and a Shadow Ledger of evidence-backed inferred events. Its core engine detects value-flow violations, tests hidden-event hypotheses, resolves only when safe, and surfaces recurring micro-leakage and root causes across a batch.</w:t>
            </w:r>
          </w:p>
        </w:tc>
      </w:tr>
    </w:tbl>
    <w:p/>
    <w:p>
      <w:pPr>
        <w:pStyle w:val="Heading2"/>
      </w:pPr>
      <w:r>
        <w:t>The sentence the team should remember</w:t>
      </w:r>
    </w:p>
    <w:p>
      <w:r>
        <w:t>“We are not building an AI that finds matching rows. We are building an engine that reconstructs the economic story behind the rows — and knows when it cannot.”</w:t>
      </w:r>
    </w:p>
    <w:p>
      <w:pPr>
        <w:pStyle w:val="Heading1"/>
      </w:pPr>
      <w:r>
        <w:t>Appendix A — External Reference Points</w:t>
      </w:r>
    </w:p>
    <w:p>
      <w:r>
        <w:t>These sources were checked while locking the scope. They support the competition framing and Razorpay’s current product context; they are not evidence that our implementation is patentable or globally novel.</w:t>
      </w:r>
    </w:p>
    <w:p>
      <w:r>
        <w:rPr>
          <w:b/>
        </w:rPr>
        <w:t xml:space="preserve">Razorpay AI Buildathon brief: </w:t>
      </w:r>
      <w:r>
        <w:t>https://razorpay.com/buildathon/</w:t>
      </w:r>
    </w:p>
    <w:p>
      <w:r>
        <w:rPr>
          <w:b/>
        </w:rPr>
        <w:t xml:space="preserve">Razorpay Sprint 2026 — Age of AI-Native Payments: </w:t>
      </w:r>
      <w:r>
        <w:t>https://razorpay.com/sprint/26</w:t>
      </w:r>
    </w:p>
    <w:p>
      <w:r>
        <w:rPr>
          <w:b/>
        </w:rPr>
        <w:t xml:space="preserve">Razorpay AI-powered Recon announcement: </w:t>
      </w:r>
      <w:r>
        <w:t>https://razorpay.com/newsroom/razorpay-pos-launches-industry-first-ai-powered-razorpay-recon-to-automate-reconciliation-for-businesses-boosting-financial-operations-efficiency-by-80/</w:t>
      </w:r>
    </w:p>
    <w:p>
      <w:r>
        <w:rPr>
          <w:b/>
        </w:rPr>
        <w:t xml:space="preserve">Razorpay Smart Collect 2.0: </w:t>
      </w:r>
      <w:r>
        <w:t>https://razorpay.com/smart-collect/</w:t>
      </w:r>
    </w:p>
    <w:p>
      <w:r>
        <w:rPr>
          <w:b/>
        </w:rPr>
        <w:t xml:space="preserve">RazorpayX agentic business banking announcement: </w:t>
      </w:r>
      <w:r>
        <w:t>https://razorpay.com/newsroom/for-the-first-time-in-india-businesses-on-razorpayx-can-now-bank-with-ai-agents-that-work-while-they-sleep/</w:t>
      </w:r>
    </w:p>
    <w:p>
      <w:pPr>
        <w:pStyle w:val="Heading1"/>
      </w:pPr>
      <w:r>
        <w:t>Appendix B — Important Boundary on Novelty</w:t>
      </w:r>
    </w:p>
    <w:p>
      <w:r>
        <w:t>This document intentionally defines a buildable product thesis rather than a legal novelty opinion. Prior-art searches already reveal related work around reconciliation, transaction matching, anomaly detection and inferred/missing transaction data. Before making any public patentability or “never done before” claim, a dedicated prior-art search and, if needed, professional IP review should be performed.</w:t>
      </w:r>
    </w:p>
    <w:sectPr w:rsidR="00FC693F" w:rsidRPr="0006063C" w:rsidSect="00034616">
      <w:headerReference w:type="default" r:id="rId12"/>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56-HOUR BUILD SPEC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SHADOWLEDGER  |  Track 04 AI Finance Controller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0F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