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23A4E" w14:textId="77777777" w:rsidR="00F87E6B" w:rsidRDefault="00F87E6B" w:rsidP="00235489">
      <w:pPr>
        <w:jc w:val="center"/>
        <w:rPr>
          <w:b/>
          <w:bCs/>
          <w:sz w:val="36"/>
          <w:szCs w:val="36"/>
        </w:rPr>
      </w:pPr>
      <w:r w:rsidRPr="00F87E6B">
        <w:rPr>
          <w:b/>
          <w:bCs/>
          <w:sz w:val="36"/>
          <w:szCs w:val="36"/>
        </w:rPr>
        <w:t>Report on Fatal Police Shootings Dataset Analysis</w:t>
      </w:r>
    </w:p>
    <w:p w14:paraId="21EA5AFC" w14:textId="35436BB2" w:rsidR="00235489" w:rsidRDefault="00235489" w:rsidP="00235489">
      <w:pPr>
        <w:jc w:val="right"/>
        <w:rPr>
          <w:b/>
          <w:bCs/>
        </w:rPr>
      </w:pPr>
      <w:r>
        <w:rPr>
          <w:b/>
          <w:bCs/>
          <w:sz w:val="36"/>
          <w:szCs w:val="36"/>
        </w:rPr>
        <w:t>-</w:t>
      </w:r>
      <w:r>
        <w:rPr>
          <w:b/>
          <w:bCs/>
        </w:rPr>
        <w:t>Nishant Rajora 23csu220</w:t>
      </w:r>
    </w:p>
    <w:p w14:paraId="41652D85" w14:textId="77777777" w:rsidR="00235489" w:rsidRPr="00F87E6B" w:rsidRDefault="00235489" w:rsidP="00235489">
      <w:pPr>
        <w:jc w:val="right"/>
        <w:rPr>
          <w:b/>
          <w:bCs/>
        </w:rPr>
      </w:pPr>
    </w:p>
    <w:p w14:paraId="21D390CA" w14:textId="77777777" w:rsidR="00F87E6B" w:rsidRPr="00F87E6B" w:rsidRDefault="00F87E6B" w:rsidP="00F87E6B">
      <w:pPr>
        <w:rPr>
          <w:b/>
          <w:bCs/>
        </w:rPr>
      </w:pPr>
      <w:r w:rsidRPr="00F87E6B">
        <w:rPr>
          <w:b/>
          <w:bCs/>
        </w:rPr>
        <w:t>1. Data Preprocessing</w:t>
      </w:r>
    </w:p>
    <w:p w14:paraId="4C664FAD" w14:textId="77777777" w:rsidR="00F87E6B" w:rsidRPr="00F87E6B" w:rsidRDefault="00F87E6B" w:rsidP="00F87E6B">
      <w:r w:rsidRPr="00F87E6B">
        <w:t>Before starting the analysis, the dataset required cleaning and preprocessing to ensure accuracy and consistency in results. The raw dataset contained missing values, inconsistent column names, and unnecessary fields that could affect further analysis. The following preprocessing steps were applied:</w:t>
      </w:r>
    </w:p>
    <w:p w14:paraId="0C0B85D4" w14:textId="77777777" w:rsidR="00F87E6B" w:rsidRPr="00F87E6B" w:rsidRDefault="00F87E6B" w:rsidP="00F87E6B">
      <w:pPr>
        <w:rPr>
          <w:b/>
          <w:bCs/>
        </w:rPr>
      </w:pPr>
      <w:r w:rsidRPr="00F87E6B">
        <w:rPr>
          <w:b/>
          <w:bCs/>
        </w:rPr>
        <w:t>Steps Performed</w:t>
      </w:r>
    </w:p>
    <w:p w14:paraId="3119D1A9" w14:textId="77777777" w:rsidR="00F87E6B" w:rsidRPr="00F87E6B" w:rsidRDefault="00F87E6B" w:rsidP="00F87E6B">
      <w:pPr>
        <w:numPr>
          <w:ilvl w:val="0"/>
          <w:numId w:val="30"/>
        </w:numPr>
      </w:pPr>
      <w:r w:rsidRPr="00F87E6B">
        <w:rPr>
          <w:b/>
          <w:bCs/>
        </w:rPr>
        <w:t>Loading Data</w:t>
      </w:r>
      <w:r w:rsidRPr="00F87E6B">
        <w:br/>
        <w:t>The dataset (fatal-police-shootings-data.csv) was loaded using the pandas library.</w:t>
      </w:r>
    </w:p>
    <w:p w14:paraId="468D0A59" w14:textId="77777777" w:rsidR="00F87E6B" w:rsidRPr="00F87E6B" w:rsidRDefault="00F87E6B" w:rsidP="00F87E6B">
      <w:pPr>
        <w:numPr>
          <w:ilvl w:val="0"/>
          <w:numId w:val="30"/>
        </w:numPr>
      </w:pPr>
      <w:r w:rsidRPr="00F87E6B">
        <w:rPr>
          <w:b/>
          <w:bCs/>
        </w:rPr>
        <w:t>Handling Missing Values</w:t>
      </w:r>
    </w:p>
    <w:p w14:paraId="2BD2DCE3" w14:textId="77777777" w:rsidR="00F87E6B" w:rsidRPr="00F87E6B" w:rsidRDefault="00F87E6B" w:rsidP="00F87E6B">
      <w:pPr>
        <w:numPr>
          <w:ilvl w:val="1"/>
          <w:numId w:val="30"/>
        </w:numPr>
      </w:pPr>
      <w:r w:rsidRPr="00F87E6B">
        <w:t>Rows with missing values were removed to maintain data integrity.</w:t>
      </w:r>
    </w:p>
    <w:p w14:paraId="5370C129" w14:textId="77777777" w:rsidR="00F87E6B" w:rsidRPr="00F87E6B" w:rsidRDefault="00F87E6B" w:rsidP="00F87E6B">
      <w:pPr>
        <w:numPr>
          <w:ilvl w:val="1"/>
          <w:numId w:val="30"/>
        </w:numPr>
      </w:pPr>
      <w:r w:rsidRPr="00F87E6B">
        <w:t>A full copy of the cleaned dataset was created to avoid altering the original file.</w:t>
      </w:r>
    </w:p>
    <w:p w14:paraId="27AF33CA" w14:textId="77777777" w:rsidR="00F87E6B" w:rsidRPr="00F87E6B" w:rsidRDefault="00F87E6B" w:rsidP="00F87E6B">
      <w:pPr>
        <w:numPr>
          <w:ilvl w:val="0"/>
          <w:numId w:val="30"/>
        </w:numPr>
      </w:pPr>
      <w:r w:rsidRPr="00F87E6B">
        <w:rPr>
          <w:b/>
          <w:bCs/>
        </w:rPr>
        <w:t>Standardizing Column Names</w:t>
      </w:r>
    </w:p>
    <w:p w14:paraId="07628375" w14:textId="77777777" w:rsidR="00F87E6B" w:rsidRPr="00F87E6B" w:rsidRDefault="00F87E6B" w:rsidP="00F87E6B">
      <w:pPr>
        <w:numPr>
          <w:ilvl w:val="1"/>
          <w:numId w:val="30"/>
        </w:numPr>
      </w:pPr>
      <w:r w:rsidRPr="00F87E6B">
        <w:t>Column names were converted to lowercase.</w:t>
      </w:r>
    </w:p>
    <w:p w14:paraId="6959E662" w14:textId="77777777" w:rsidR="00F87E6B" w:rsidRPr="00F87E6B" w:rsidRDefault="00F87E6B" w:rsidP="00F87E6B">
      <w:pPr>
        <w:numPr>
          <w:ilvl w:val="1"/>
          <w:numId w:val="30"/>
        </w:numPr>
      </w:pPr>
      <w:r w:rsidRPr="00F87E6B">
        <w:t>Dots (.) were replaced with underscores (_) for consistency.</w:t>
      </w:r>
    </w:p>
    <w:p w14:paraId="38E8375C" w14:textId="77777777" w:rsidR="00F87E6B" w:rsidRPr="00F87E6B" w:rsidRDefault="00F87E6B" w:rsidP="00F87E6B">
      <w:pPr>
        <w:numPr>
          <w:ilvl w:val="0"/>
          <w:numId w:val="30"/>
        </w:numPr>
      </w:pPr>
      <w:r w:rsidRPr="00F87E6B">
        <w:rPr>
          <w:b/>
          <w:bCs/>
        </w:rPr>
        <w:t>Dropping Unnecessary Columns</w:t>
      </w:r>
    </w:p>
    <w:p w14:paraId="3FA0A4A1" w14:textId="77777777" w:rsidR="00F87E6B" w:rsidRPr="00F87E6B" w:rsidRDefault="00F87E6B" w:rsidP="00F87E6B">
      <w:pPr>
        <w:numPr>
          <w:ilvl w:val="1"/>
          <w:numId w:val="30"/>
        </w:numPr>
      </w:pPr>
      <w:r w:rsidRPr="00F87E6B">
        <w:t>The id column was dropped since it does not contribute to analysis.</w:t>
      </w:r>
    </w:p>
    <w:p w14:paraId="10D89706" w14:textId="77777777" w:rsidR="00F87E6B" w:rsidRPr="00F87E6B" w:rsidRDefault="00F87E6B" w:rsidP="00F87E6B">
      <w:pPr>
        <w:numPr>
          <w:ilvl w:val="0"/>
          <w:numId w:val="30"/>
        </w:numPr>
      </w:pPr>
      <w:r w:rsidRPr="00F87E6B">
        <w:rPr>
          <w:b/>
          <w:bCs/>
        </w:rPr>
        <w:t>Date Conversion</w:t>
      </w:r>
    </w:p>
    <w:p w14:paraId="60266F2F" w14:textId="77777777" w:rsidR="00F87E6B" w:rsidRPr="00F87E6B" w:rsidRDefault="00F87E6B" w:rsidP="00F87E6B">
      <w:pPr>
        <w:numPr>
          <w:ilvl w:val="1"/>
          <w:numId w:val="30"/>
        </w:numPr>
      </w:pPr>
      <w:r w:rsidRPr="00F87E6B">
        <w:t>The date column was converted into a datetime object.</w:t>
      </w:r>
    </w:p>
    <w:p w14:paraId="3D844C25" w14:textId="77777777" w:rsidR="00F87E6B" w:rsidRPr="00F87E6B" w:rsidRDefault="00F87E6B" w:rsidP="00F87E6B">
      <w:pPr>
        <w:numPr>
          <w:ilvl w:val="1"/>
          <w:numId w:val="30"/>
        </w:numPr>
      </w:pPr>
      <w:r w:rsidRPr="00F87E6B">
        <w:t xml:space="preserve">Renamed to </w:t>
      </w:r>
      <w:proofErr w:type="spellStart"/>
      <w:r w:rsidRPr="00F87E6B">
        <w:rPr>
          <w:b/>
          <w:bCs/>
        </w:rPr>
        <w:t>incident_date</w:t>
      </w:r>
      <w:proofErr w:type="spellEnd"/>
      <w:r w:rsidRPr="00F87E6B">
        <w:t xml:space="preserve"> for clarity.</w:t>
      </w:r>
    </w:p>
    <w:p w14:paraId="1769FAC4" w14:textId="77777777" w:rsidR="00F87E6B" w:rsidRPr="00F87E6B" w:rsidRDefault="00F87E6B" w:rsidP="00F87E6B">
      <w:pPr>
        <w:numPr>
          <w:ilvl w:val="1"/>
          <w:numId w:val="30"/>
        </w:numPr>
      </w:pPr>
      <w:r w:rsidRPr="00F87E6B">
        <w:t>Invalid or missing date entries were removed.</w:t>
      </w:r>
    </w:p>
    <w:p w14:paraId="57C5E414" w14:textId="77777777" w:rsidR="00F87E6B" w:rsidRPr="00F87E6B" w:rsidRDefault="00F87E6B" w:rsidP="00F87E6B">
      <w:pPr>
        <w:numPr>
          <w:ilvl w:val="0"/>
          <w:numId w:val="30"/>
        </w:numPr>
      </w:pPr>
      <w:r w:rsidRPr="00F87E6B">
        <w:rPr>
          <w:b/>
          <w:bCs/>
        </w:rPr>
        <w:t>Feature Engineering (New Columns)</w:t>
      </w:r>
      <w:r w:rsidRPr="00F87E6B">
        <w:br/>
        <w:t xml:space="preserve">From the cleaned </w:t>
      </w:r>
      <w:proofErr w:type="spellStart"/>
      <w:r w:rsidRPr="00F87E6B">
        <w:t>incident_date</w:t>
      </w:r>
      <w:proofErr w:type="spellEnd"/>
      <w:r w:rsidRPr="00F87E6B">
        <w:t xml:space="preserve"> column, new features were extracted:</w:t>
      </w:r>
    </w:p>
    <w:p w14:paraId="5DCBB9EA" w14:textId="77777777" w:rsidR="00F87E6B" w:rsidRPr="00F87E6B" w:rsidRDefault="00F87E6B" w:rsidP="00F87E6B">
      <w:pPr>
        <w:numPr>
          <w:ilvl w:val="1"/>
          <w:numId w:val="30"/>
        </w:numPr>
      </w:pPr>
      <w:proofErr w:type="spellStart"/>
      <w:r w:rsidRPr="00F87E6B">
        <w:rPr>
          <w:b/>
          <w:bCs/>
        </w:rPr>
        <w:t>incident_year</w:t>
      </w:r>
      <w:proofErr w:type="spellEnd"/>
      <w:r w:rsidRPr="00F87E6B">
        <w:t xml:space="preserve"> (year of the incident)</w:t>
      </w:r>
    </w:p>
    <w:p w14:paraId="6BA8405D" w14:textId="77777777" w:rsidR="00F87E6B" w:rsidRPr="00F87E6B" w:rsidRDefault="00F87E6B" w:rsidP="00F87E6B">
      <w:pPr>
        <w:numPr>
          <w:ilvl w:val="1"/>
          <w:numId w:val="30"/>
        </w:numPr>
      </w:pPr>
      <w:proofErr w:type="spellStart"/>
      <w:r w:rsidRPr="00F87E6B">
        <w:rPr>
          <w:b/>
          <w:bCs/>
        </w:rPr>
        <w:t>incident_month</w:t>
      </w:r>
      <w:proofErr w:type="spellEnd"/>
      <w:r w:rsidRPr="00F87E6B">
        <w:t xml:space="preserve"> (month of the incident)</w:t>
      </w:r>
    </w:p>
    <w:p w14:paraId="30BA2161" w14:textId="77777777" w:rsidR="00F87E6B" w:rsidRPr="00F87E6B" w:rsidRDefault="00F87E6B" w:rsidP="00F87E6B">
      <w:pPr>
        <w:numPr>
          <w:ilvl w:val="1"/>
          <w:numId w:val="30"/>
        </w:numPr>
      </w:pPr>
      <w:proofErr w:type="spellStart"/>
      <w:r w:rsidRPr="00F87E6B">
        <w:rPr>
          <w:b/>
          <w:bCs/>
        </w:rPr>
        <w:t>incident_day</w:t>
      </w:r>
      <w:proofErr w:type="spellEnd"/>
      <w:r w:rsidRPr="00F87E6B">
        <w:t xml:space="preserve"> (day of the incident)</w:t>
      </w:r>
    </w:p>
    <w:p w14:paraId="6F9F47CC" w14:textId="77777777" w:rsidR="00F87E6B" w:rsidRPr="00F87E6B" w:rsidRDefault="00F87E6B" w:rsidP="00F87E6B">
      <w:pPr>
        <w:numPr>
          <w:ilvl w:val="1"/>
          <w:numId w:val="30"/>
        </w:numPr>
      </w:pPr>
      <w:proofErr w:type="spellStart"/>
      <w:r w:rsidRPr="00F87E6B">
        <w:rPr>
          <w:b/>
          <w:bCs/>
        </w:rPr>
        <w:lastRenderedPageBreak/>
        <w:t>incident_weekday</w:t>
      </w:r>
      <w:proofErr w:type="spellEnd"/>
      <w:r w:rsidRPr="00F87E6B">
        <w:t xml:space="preserve"> (day of the week of the incident)</w:t>
      </w:r>
    </w:p>
    <w:p w14:paraId="4C925AD7" w14:textId="77777777" w:rsidR="00F87E6B" w:rsidRPr="00F87E6B" w:rsidRDefault="00F87E6B" w:rsidP="00F87E6B">
      <w:pPr>
        <w:numPr>
          <w:ilvl w:val="0"/>
          <w:numId w:val="30"/>
        </w:numPr>
      </w:pPr>
      <w:r w:rsidRPr="00F87E6B">
        <w:rPr>
          <w:b/>
          <w:bCs/>
        </w:rPr>
        <w:t>Saving Cleaned Data</w:t>
      </w:r>
      <w:r w:rsidRPr="00F87E6B">
        <w:br/>
        <w:t xml:space="preserve">The cleaned dataset was saved as </w:t>
      </w:r>
      <w:r w:rsidRPr="00F87E6B">
        <w:rPr>
          <w:b/>
          <w:bCs/>
        </w:rPr>
        <w:t>fatal-police-shootings-cleaned.csv</w:t>
      </w:r>
      <w:r w:rsidRPr="00F87E6B">
        <w:t xml:space="preserve"> for further analysis.</w:t>
      </w:r>
    </w:p>
    <w:p w14:paraId="25B3BC27" w14:textId="77777777" w:rsidR="00F87E6B" w:rsidRPr="00F87E6B" w:rsidRDefault="00F87E6B" w:rsidP="00F87E6B">
      <w:r w:rsidRPr="00F87E6B">
        <w:pict w14:anchorId="777794BE">
          <v:rect id="_x0000_i1049" style="width:0;height:1.5pt" o:hralign="center" o:hrstd="t" o:hr="t" fillcolor="#a0a0a0" stroked="f"/>
        </w:pict>
      </w:r>
    </w:p>
    <w:p w14:paraId="7B45FA08" w14:textId="77777777" w:rsidR="00F87E6B" w:rsidRPr="00F87E6B" w:rsidRDefault="00F87E6B" w:rsidP="00F87E6B">
      <w:pPr>
        <w:rPr>
          <w:b/>
          <w:bCs/>
        </w:rPr>
      </w:pPr>
      <w:r w:rsidRPr="00F87E6B">
        <w:rPr>
          <w:b/>
          <w:bCs/>
        </w:rPr>
        <w:t>Screenshots</w:t>
      </w:r>
    </w:p>
    <w:p w14:paraId="0810DA37" w14:textId="1372030D" w:rsidR="00486BAC" w:rsidRDefault="00F87E6B" w:rsidP="00F87E6B">
      <w:pPr>
        <w:rPr>
          <w:rFonts w:ascii="Segoe UI Emoji" w:hAnsi="Segoe UI Emoji" w:cs="Segoe UI Emoji"/>
        </w:rPr>
      </w:pPr>
      <w:r w:rsidRPr="00F87E6B">
        <w:rPr>
          <w:rFonts w:ascii="Segoe UI Emoji" w:hAnsi="Segoe UI Emoji" w:cs="Segoe UI Emoji"/>
        </w:rPr>
        <w:drawing>
          <wp:inline distT="0" distB="0" distL="0" distR="0" wp14:anchorId="3EDED0EC" wp14:editId="41EF468A">
            <wp:extent cx="5731510" cy="2123440"/>
            <wp:effectExtent l="0" t="0" r="2540" b="0"/>
            <wp:docPr id="78931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16054" name=""/>
                    <pic:cNvPicPr/>
                  </pic:nvPicPr>
                  <pic:blipFill>
                    <a:blip r:embed="rId6"/>
                    <a:stretch>
                      <a:fillRect/>
                    </a:stretch>
                  </pic:blipFill>
                  <pic:spPr>
                    <a:xfrm>
                      <a:off x="0" y="0"/>
                      <a:ext cx="5731510" cy="2123440"/>
                    </a:xfrm>
                    <a:prstGeom prst="rect">
                      <a:avLst/>
                    </a:prstGeom>
                  </pic:spPr>
                </pic:pic>
              </a:graphicData>
            </a:graphic>
          </wp:inline>
        </w:drawing>
      </w:r>
    </w:p>
    <w:p w14:paraId="49AC405D" w14:textId="77777777" w:rsidR="00F87E6B" w:rsidRDefault="00F87E6B" w:rsidP="00F87E6B">
      <w:pPr>
        <w:rPr>
          <w:rFonts w:ascii="Segoe UI Emoji" w:hAnsi="Segoe UI Emoji" w:cs="Segoe UI Emoji"/>
        </w:rPr>
      </w:pPr>
    </w:p>
    <w:p w14:paraId="30F1F3C6" w14:textId="77777777" w:rsidR="00F87E6B" w:rsidRDefault="00F87E6B" w:rsidP="00F87E6B">
      <w:pPr>
        <w:rPr>
          <w:rFonts w:ascii="Segoe UI Emoji" w:hAnsi="Segoe UI Emoji" w:cs="Segoe UI Emoji"/>
        </w:rPr>
      </w:pPr>
    </w:p>
    <w:p w14:paraId="21A016EF" w14:textId="5210AE2D" w:rsidR="00F87E6B" w:rsidRDefault="00F87E6B" w:rsidP="00F87E6B">
      <w:r w:rsidRPr="00F87E6B">
        <w:drawing>
          <wp:inline distT="0" distB="0" distL="0" distR="0" wp14:anchorId="01362C6B" wp14:editId="36D2DA62">
            <wp:extent cx="5731510" cy="1410335"/>
            <wp:effectExtent l="0" t="0" r="2540" b="0"/>
            <wp:docPr id="106359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592406" name=""/>
                    <pic:cNvPicPr/>
                  </pic:nvPicPr>
                  <pic:blipFill>
                    <a:blip r:embed="rId7"/>
                    <a:stretch>
                      <a:fillRect/>
                    </a:stretch>
                  </pic:blipFill>
                  <pic:spPr>
                    <a:xfrm>
                      <a:off x="0" y="0"/>
                      <a:ext cx="5731510" cy="1410335"/>
                    </a:xfrm>
                    <a:prstGeom prst="rect">
                      <a:avLst/>
                    </a:prstGeom>
                  </pic:spPr>
                </pic:pic>
              </a:graphicData>
            </a:graphic>
          </wp:inline>
        </w:drawing>
      </w:r>
      <w:r>
        <w:br/>
      </w:r>
    </w:p>
    <w:p w14:paraId="15A01773" w14:textId="77777777" w:rsidR="00F87E6B" w:rsidRDefault="00F87E6B" w:rsidP="00F87E6B"/>
    <w:p w14:paraId="41CF6CEE" w14:textId="77777777" w:rsidR="00F87E6B" w:rsidRDefault="00F87E6B" w:rsidP="00F87E6B"/>
    <w:p w14:paraId="0EBD801E" w14:textId="77777777" w:rsidR="00F87E6B" w:rsidRDefault="00F87E6B" w:rsidP="00F87E6B"/>
    <w:p w14:paraId="79ADCBEC" w14:textId="77777777" w:rsidR="00F87E6B" w:rsidRDefault="00F87E6B" w:rsidP="00F87E6B"/>
    <w:p w14:paraId="7420D4BF" w14:textId="77777777" w:rsidR="00F87E6B" w:rsidRDefault="00F87E6B" w:rsidP="00F87E6B"/>
    <w:p w14:paraId="3AD3A44C" w14:textId="77777777" w:rsidR="00F87E6B" w:rsidRDefault="00F87E6B" w:rsidP="00F87E6B"/>
    <w:p w14:paraId="59848B93" w14:textId="77777777" w:rsidR="00F87E6B" w:rsidRDefault="00F87E6B" w:rsidP="00F87E6B"/>
    <w:p w14:paraId="24F25EB7" w14:textId="77777777" w:rsidR="00F87E6B" w:rsidRDefault="00F87E6B" w:rsidP="00F87E6B"/>
    <w:p w14:paraId="3B38A026" w14:textId="77777777" w:rsidR="00F87E6B" w:rsidRPr="00F87E6B" w:rsidRDefault="00F87E6B" w:rsidP="00F87E6B">
      <w:pPr>
        <w:rPr>
          <w:b/>
          <w:bCs/>
        </w:rPr>
      </w:pPr>
      <w:r w:rsidRPr="00F87E6B">
        <w:rPr>
          <w:b/>
          <w:bCs/>
        </w:rPr>
        <w:lastRenderedPageBreak/>
        <w:t>2. Shootings per Year</w:t>
      </w:r>
    </w:p>
    <w:p w14:paraId="06649312" w14:textId="77777777" w:rsidR="00F87E6B" w:rsidRPr="00F87E6B" w:rsidRDefault="00F87E6B" w:rsidP="00F87E6B">
      <w:pPr>
        <w:rPr>
          <w:b/>
          <w:bCs/>
        </w:rPr>
      </w:pPr>
      <w:r w:rsidRPr="00F87E6B">
        <w:rPr>
          <w:b/>
          <w:bCs/>
        </w:rPr>
        <w:t>Observation</w:t>
      </w:r>
    </w:p>
    <w:p w14:paraId="5B6AD508" w14:textId="77777777" w:rsidR="00F87E6B" w:rsidRPr="00F87E6B" w:rsidRDefault="00F87E6B" w:rsidP="00F87E6B">
      <w:r w:rsidRPr="00F87E6B">
        <w:t>The bar chart presents the number of fatal police shootings recorded each year.</w:t>
      </w:r>
    </w:p>
    <w:p w14:paraId="2C7B764A" w14:textId="77777777" w:rsidR="00F87E6B" w:rsidRPr="00F87E6B" w:rsidRDefault="00F87E6B" w:rsidP="00F87E6B">
      <w:pPr>
        <w:numPr>
          <w:ilvl w:val="0"/>
          <w:numId w:val="31"/>
        </w:numPr>
      </w:pPr>
      <w:r w:rsidRPr="00F87E6B">
        <w:rPr>
          <w:b/>
          <w:bCs/>
        </w:rPr>
        <w:t>2015</w:t>
      </w:r>
      <w:r w:rsidRPr="00F87E6B">
        <w:t xml:space="preserve"> witnessed the </w:t>
      </w:r>
      <w:r w:rsidRPr="00F87E6B">
        <w:rPr>
          <w:b/>
          <w:bCs/>
        </w:rPr>
        <w:t>highest count</w:t>
      </w:r>
      <w:r w:rsidRPr="00F87E6B">
        <w:t xml:space="preserve"> (over 350 incidents).</w:t>
      </w:r>
    </w:p>
    <w:p w14:paraId="1775BB51" w14:textId="77777777" w:rsidR="00F87E6B" w:rsidRPr="00F87E6B" w:rsidRDefault="00F87E6B" w:rsidP="00F87E6B">
      <w:pPr>
        <w:numPr>
          <w:ilvl w:val="0"/>
          <w:numId w:val="31"/>
        </w:numPr>
      </w:pPr>
      <w:r w:rsidRPr="00F87E6B">
        <w:t xml:space="preserve">From </w:t>
      </w:r>
      <w:r w:rsidRPr="00F87E6B">
        <w:rPr>
          <w:b/>
          <w:bCs/>
        </w:rPr>
        <w:t>2016 to 2018</w:t>
      </w:r>
      <w:r w:rsidRPr="00F87E6B">
        <w:t xml:space="preserve">, shootings remained </w:t>
      </w:r>
      <w:r w:rsidRPr="00F87E6B">
        <w:rPr>
          <w:b/>
          <w:bCs/>
        </w:rPr>
        <w:t>consistently high</w:t>
      </w:r>
      <w:r w:rsidRPr="00F87E6B">
        <w:t>, reflecting little improvement in the trend.</w:t>
      </w:r>
    </w:p>
    <w:p w14:paraId="1A9FE260" w14:textId="77777777" w:rsidR="00F87E6B" w:rsidRPr="00F87E6B" w:rsidRDefault="00F87E6B" w:rsidP="00F87E6B">
      <w:pPr>
        <w:numPr>
          <w:ilvl w:val="0"/>
          <w:numId w:val="31"/>
        </w:numPr>
      </w:pPr>
      <w:r w:rsidRPr="00F87E6B">
        <w:t xml:space="preserve">A </w:t>
      </w:r>
      <w:r w:rsidRPr="00F87E6B">
        <w:rPr>
          <w:b/>
          <w:bCs/>
        </w:rPr>
        <w:t>gradual decline</w:t>
      </w:r>
      <w:r w:rsidRPr="00F87E6B">
        <w:t xml:space="preserve"> is noticeable after </w:t>
      </w:r>
      <w:r w:rsidRPr="00F87E6B">
        <w:rPr>
          <w:b/>
          <w:bCs/>
        </w:rPr>
        <w:t>2018</w:t>
      </w:r>
      <w:r w:rsidRPr="00F87E6B">
        <w:t>, suggesting some reduction in incidents.</w:t>
      </w:r>
    </w:p>
    <w:p w14:paraId="02BC4F73" w14:textId="77777777" w:rsidR="00F87E6B" w:rsidRPr="00F87E6B" w:rsidRDefault="00F87E6B" w:rsidP="00F87E6B">
      <w:pPr>
        <w:numPr>
          <w:ilvl w:val="0"/>
          <w:numId w:val="31"/>
        </w:numPr>
      </w:pPr>
      <w:r w:rsidRPr="00F87E6B">
        <w:rPr>
          <w:b/>
          <w:bCs/>
        </w:rPr>
        <w:t>2020</w:t>
      </w:r>
      <w:r w:rsidRPr="00F87E6B">
        <w:t xml:space="preserve"> still reported a high number, though slightly lower than the earlier peak years.</w:t>
      </w:r>
    </w:p>
    <w:p w14:paraId="0D40A8B3" w14:textId="77777777" w:rsidR="00F87E6B" w:rsidRPr="00F87E6B" w:rsidRDefault="00F87E6B" w:rsidP="00F87E6B">
      <w:pPr>
        <w:numPr>
          <w:ilvl w:val="0"/>
          <w:numId w:val="31"/>
        </w:numPr>
      </w:pPr>
      <w:r w:rsidRPr="00F87E6B">
        <w:rPr>
          <w:b/>
          <w:bCs/>
        </w:rPr>
        <w:t>2021</w:t>
      </w:r>
      <w:r w:rsidRPr="00F87E6B">
        <w:t xml:space="preserve"> shows a </w:t>
      </w:r>
      <w:r w:rsidRPr="00F87E6B">
        <w:rPr>
          <w:b/>
          <w:bCs/>
        </w:rPr>
        <w:t>sharp decrease</w:t>
      </w:r>
      <w:r w:rsidRPr="00F87E6B">
        <w:t xml:space="preserve">, but this may be due to </w:t>
      </w:r>
      <w:r w:rsidRPr="00F87E6B">
        <w:rPr>
          <w:b/>
          <w:bCs/>
        </w:rPr>
        <w:t>incomplete data collection</w:t>
      </w:r>
      <w:r w:rsidRPr="00F87E6B">
        <w:t xml:space="preserve"> or reporting delays, rather than a true decline.</w:t>
      </w:r>
    </w:p>
    <w:p w14:paraId="04949E2B" w14:textId="77777777" w:rsidR="00F87E6B" w:rsidRPr="00F87E6B" w:rsidRDefault="00F87E6B" w:rsidP="00F87E6B">
      <w:pPr>
        <w:rPr>
          <w:b/>
          <w:bCs/>
        </w:rPr>
      </w:pPr>
      <w:r w:rsidRPr="00F87E6B">
        <w:rPr>
          <w:b/>
          <w:bCs/>
        </w:rPr>
        <w:t>Possible Reasons</w:t>
      </w:r>
    </w:p>
    <w:p w14:paraId="54849880" w14:textId="77777777" w:rsidR="00F87E6B" w:rsidRPr="00F87E6B" w:rsidRDefault="00F87E6B" w:rsidP="00F87E6B">
      <w:pPr>
        <w:numPr>
          <w:ilvl w:val="0"/>
          <w:numId w:val="32"/>
        </w:numPr>
      </w:pPr>
      <w:r w:rsidRPr="00F87E6B">
        <w:rPr>
          <w:b/>
          <w:bCs/>
        </w:rPr>
        <w:t>Increased Public Awareness &amp; Protests</w:t>
      </w:r>
      <w:r w:rsidRPr="00F87E6B">
        <w:t xml:space="preserve"> – Events such as the </w:t>
      </w:r>
      <w:r w:rsidRPr="00F87E6B">
        <w:rPr>
          <w:i/>
          <w:iCs/>
        </w:rPr>
        <w:t>Black Lives Matter</w:t>
      </w:r>
      <w:r w:rsidRPr="00F87E6B">
        <w:t xml:space="preserve"> movement (particularly post-2016) could have pressured law enforcement agencies to adopt reforms.</w:t>
      </w:r>
    </w:p>
    <w:p w14:paraId="7DDB3C9E" w14:textId="77777777" w:rsidR="00F87E6B" w:rsidRPr="00F87E6B" w:rsidRDefault="00F87E6B" w:rsidP="00F87E6B">
      <w:pPr>
        <w:numPr>
          <w:ilvl w:val="0"/>
          <w:numId w:val="32"/>
        </w:numPr>
      </w:pPr>
      <w:r w:rsidRPr="00F87E6B">
        <w:rPr>
          <w:b/>
          <w:bCs/>
        </w:rPr>
        <w:t>Policy &amp; Training Changes</w:t>
      </w:r>
      <w:r w:rsidRPr="00F87E6B">
        <w:t xml:space="preserve"> – Some states may have introduced stricter guidelines on use of force, de-escalation training, and mandatory reporting.</w:t>
      </w:r>
    </w:p>
    <w:p w14:paraId="5EB175B4" w14:textId="77777777" w:rsidR="00F87E6B" w:rsidRPr="00F87E6B" w:rsidRDefault="00F87E6B" w:rsidP="00F87E6B">
      <w:pPr>
        <w:numPr>
          <w:ilvl w:val="0"/>
          <w:numId w:val="32"/>
        </w:numPr>
      </w:pPr>
      <w:r w:rsidRPr="00F87E6B">
        <w:rPr>
          <w:b/>
          <w:bCs/>
        </w:rPr>
        <w:t>Data Collection Lag in 2021</w:t>
      </w:r>
      <w:r w:rsidRPr="00F87E6B">
        <w:t xml:space="preserve"> – The significant dip in 2021 is more likely due to </w:t>
      </w:r>
      <w:r w:rsidRPr="00F87E6B">
        <w:rPr>
          <w:b/>
          <w:bCs/>
        </w:rPr>
        <w:t>reporting gaps</w:t>
      </w:r>
      <w:r w:rsidRPr="00F87E6B">
        <w:t xml:space="preserve"> rather than an actual fall in incidents.</w:t>
      </w:r>
    </w:p>
    <w:p w14:paraId="58FD616A" w14:textId="77777777" w:rsidR="00F87E6B" w:rsidRPr="00F87E6B" w:rsidRDefault="00F87E6B" w:rsidP="00F87E6B">
      <w:pPr>
        <w:numPr>
          <w:ilvl w:val="0"/>
          <w:numId w:val="32"/>
        </w:numPr>
      </w:pPr>
      <w:r w:rsidRPr="00F87E6B">
        <w:rPr>
          <w:b/>
          <w:bCs/>
        </w:rPr>
        <w:t>External Factors</w:t>
      </w:r>
      <w:r w:rsidRPr="00F87E6B">
        <w:t xml:space="preserve"> – The COVID-19 pandemic in 2020–21 may have influenced both police activity patterns and the way incidents were reported.</w:t>
      </w:r>
    </w:p>
    <w:p w14:paraId="3A0F3D71" w14:textId="77777777" w:rsidR="00F87E6B" w:rsidRDefault="00F87E6B" w:rsidP="00F87E6B"/>
    <w:p w14:paraId="6EF9EEF2" w14:textId="7E887185" w:rsidR="00F87E6B" w:rsidRDefault="00F87E6B" w:rsidP="00F87E6B">
      <w:r w:rsidRPr="00F87E6B">
        <w:drawing>
          <wp:inline distT="0" distB="0" distL="0" distR="0" wp14:anchorId="53780363" wp14:editId="62853A09">
            <wp:extent cx="4851462" cy="2752725"/>
            <wp:effectExtent l="0" t="0" r="6350" b="0"/>
            <wp:docPr id="44726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61778" name=""/>
                    <pic:cNvPicPr/>
                  </pic:nvPicPr>
                  <pic:blipFill>
                    <a:blip r:embed="rId8"/>
                    <a:stretch>
                      <a:fillRect/>
                    </a:stretch>
                  </pic:blipFill>
                  <pic:spPr>
                    <a:xfrm>
                      <a:off x="0" y="0"/>
                      <a:ext cx="4864989" cy="2760400"/>
                    </a:xfrm>
                    <a:prstGeom prst="rect">
                      <a:avLst/>
                    </a:prstGeom>
                  </pic:spPr>
                </pic:pic>
              </a:graphicData>
            </a:graphic>
          </wp:inline>
        </w:drawing>
      </w:r>
    </w:p>
    <w:p w14:paraId="588B32A9" w14:textId="77777777" w:rsidR="00F87E6B" w:rsidRPr="00F87E6B" w:rsidRDefault="00F87E6B" w:rsidP="00F87E6B">
      <w:pPr>
        <w:rPr>
          <w:b/>
          <w:bCs/>
        </w:rPr>
      </w:pPr>
      <w:r w:rsidRPr="00F87E6B">
        <w:rPr>
          <w:b/>
          <w:bCs/>
        </w:rPr>
        <w:lastRenderedPageBreak/>
        <w:t>3. Shootings per Month</w:t>
      </w:r>
    </w:p>
    <w:p w14:paraId="6F236132" w14:textId="77777777" w:rsidR="00F87E6B" w:rsidRPr="00F87E6B" w:rsidRDefault="00F87E6B" w:rsidP="00F87E6B">
      <w:pPr>
        <w:rPr>
          <w:b/>
          <w:bCs/>
        </w:rPr>
      </w:pPr>
      <w:r w:rsidRPr="00F87E6B">
        <w:rPr>
          <w:b/>
          <w:bCs/>
        </w:rPr>
        <w:t>Observation</w:t>
      </w:r>
    </w:p>
    <w:p w14:paraId="3B54B945" w14:textId="77777777" w:rsidR="00F87E6B" w:rsidRPr="00F87E6B" w:rsidRDefault="00F87E6B" w:rsidP="00F87E6B">
      <w:r w:rsidRPr="00F87E6B">
        <w:t>The pie chart shows the distribution of police shootings across different months.</w:t>
      </w:r>
    </w:p>
    <w:p w14:paraId="3C545A84" w14:textId="77777777" w:rsidR="00F87E6B" w:rsidRPr="00F87E6B" w:rsidRDefault="00F87E6B" w:rsidP="00F87E6B">
      <w:pPr>
        <w:numPr>
          <w:ilvl w:val="0"/>
          <w:numId w:val="33"/>
        </w:numPr>
      </w:pPr>
      <w:r w:rsidRPr="00F87E6B">
        <w:rPr>
          <w:b/>
          <w:bCs/>
        </w:rPr>
        <w:t>May (10.3%)</w:t>
      </w:r>
      <w:r w:rsidRPr="00F87E6B">
        <w:t xml:space="preserve"> records the </w:t>
      </w:r>
      <w:r w:rsidRPr="00F87E6B">
        <w:rPr>
          <w:b/>
          <w:bCs/>
        </w:rPr>
        <w:t>highest proportion</w:t>
      </w:r>
      <w:r w:rsidRPr="00F87E6B">
        <w:t>, indicating more incidents occur during this period.</w:t>
      </w:r>
    </w:p>
    <w:p w14:paraId="0B215A9D" w14:textId="77777777" w:rsidR="00F87E6B" w:rsidRPr="00F87E6B" w:rsidRDefault="00F87E6B" w:rsidP="00F87E6B">
      <w:pPr>
        <w:numPr>
          <w:ilvl w:val="0"/>
          <w:numId w:val="33"/>
        </w:numPr>
      </w:pPr>
      <w:r w:rsidRPr="00F87E6B">
        <w:t xml:space="preserve">Other months like </w:t>
      </w:r>
      <w:r w:rsidRPr="00F87E6B">
        <w:rPr>
          <w:b/>
          <w:bCs/>
        </w:rPr>
        <w:t>June (8.8%)</w:t>
      </w:r>
      <w:r w:rsidRPr="00F87E6B">
        <w:t xml:space="preserve">, </w:t>
      </w:r>
      <w:r w:rsidRPr="00F87E6B">
        <w:rPr>
          <w:b/>
          <w:bCs/>
        </w:rPr>
        <w:t>April (8.7%)</w:t>
      </w:r>
      <w:r w:rsidRPr="00F87E6B">
        <w:t xml:space="preserve">, and </w:t>
      </w:r>
      <w:r w:rsidRPr="00F87E6B">
        <w:rPr>
          <w:b/>
          <w:bCs/>
        </w:rPr>
        <w:t>September (8.7%)</w:t>
      </w:r>
      <w:r w:rsidRPr="00F87E6B">
        <w:t xml:space="preserve"> also report slightly higher shares compared to the average.</w:t>
      </w:r>
    </w:p>
    <w:p w14:paraId="199DF8A7" w14:textId="77777777" w:rsidR="00F87E6B" w:rsidRPr="00F87E6B" w:rsidRDefault="00F87E6B" w:rsidP="00F87E6B">
      <w:pPr>
        <w:numPr>
          <w:ilvl w:val="0"/>
          <w:numId w:val="33"/>
        </w:numPr>
      </w:pPr>
      <w:r w:rsidRPr="00F87E6B">
        <w:rPr>
          <w:b/>
          <w:bCs/>
        </w:rPr>
        <w:t>November (7.5%)</w:t>
      </w:r>
      <w:r w:rsidRPr="00F87E6B">
        <w:t xml:space="preserve"> has the </w:t>
      </w:r>
      <w:r w:rsidRPr="00F87E6B">
        <w:rPr>
          <w:b/>
          <w:bCs/>
        </w:rPr>
        <w:t>lowest proportion</w:t>
      </w:r>
      <w:r w:rsidRPr="00F87E6B">
        <w:t xml:space="preserve"> of shootings.</w:t>
      </w:r>
    </w:p>
    <w:p w14:paraId="5C58DA4F" w14:textId="77777777" w:rsidR="00F87E6B" w:rsidRPr="00F87E6B" w:rsidRDefault="00F87E6B" w:rsidP="00F87E6B">
      <w:pPr>
        <w:numPr>
          <w:ilvl w:val="0"/>
          <w:numId w:val="33"/>
        </w:numPr>
      </w:pPr>
      <w:r w:rsidRPr="00F87E6B">
        <w:t xml:space="preserve">Overall, the distribution is relatively </w:t>
      </w:r>
      <w:r w:rsidRPr="00F87E6B">
        <w:rPr>
          <w:b/>
          <w:bCs/>
        </w:rPr>
        <w:t>even across months</w:t>
      </w:r>
      <w:r w:rsidRPr="00F87E6B">
        <w:t>, with no single month dominating the trend.</w:t>
      </w:r>
    </w:p>
    <w:p w14:paraId="57BBF904" w14:textId="77777777" w:rsidR="00F87E6B" w:rsidRPr="00F87E6B" w:rsidRDefault="00F87E6B" w:rsidP="00F87E6B">
      <w:pPr>
        <w:rPr>
          <w:b/>
          <w:bCs/>
        </w:rPr>
      </w:pPr>
      <w:r w:rsidRPr="00F87E6B">
        <w:rPr>
          <w:b/>
          <w:bCs/>
        </w:rPr>
        <w:t>Possible Reasons</w:t>
      </w:r>
    </w:p>
    <w:p w14:paraId="614CF301" w14:textId="77777777" w:rsidR="00F87E6B" w:rsidRPr="00F87E6B" w:rsidRDefault="00F87E6B" w:rsidP="00F87E6B">
      <w:pPr>
        <w:numPr>
          <w:ilvl w:val="0"/>
          <w:numId w:val="34"/>
        </w:numPr>
      </w:pPr>
      <w:r w:rsidRPr="00F87E6B">
        <w:rPr>
          <w:b/>
          <w:bCs/>
        </w:rPr>
        <w:t>Seasonal Factors</w:t>
      </w:r>
      <w:r w:rsidRPr="00F87E6B">
        <w:t xml:space="preserve"> – Warmer months (spring/summer) such as </w:t>
      </w:r>
      <w:r w:rsidRPr="00F87E6B">
        <w:rPr>
          <w:b/>
          <w:bCs/>
        </w:rPr>
        <w:t>May–September</w:t>
      </w:r>
      <w:r w:rsidRPr="00F87E6B">
        <w:t xml:space="preserve"> often see higher outdoor activities, social gatherings, and crime rates, which may increase police interactions.</w:t>
      </w:r>
    </w:p>
    <w:p w14:paraId="6013646C" w14:textId="77777777" w:rsidR="00F87E6B" w:rsidRPr="00F87E6B" w:rsidRDefault="00F87E6B" w:rsidP="00F87E6B">
      <w:pPr>
        <w:numPr>
          <w:ilvl w:val="0"/>
          <w:numId w:val="34"/>
        </w:numPr>
      </w:pPr>
      <w:r w:rsidRPr="00F87E6B">
        <w:rPr>
          <w:b/>
          <w:bCs/>
        </w:rPr>
        <w:t>Holiday &amp; Festive Periods</w:t>
      </w:r>
      <w:r w:rsidRPr="00F87E6B">
        <w:t xml:space="preserve"> – Months with fewer public events (e.g., November) might naturally report lower incidents.</w:t>
      </w:r>
    </w:p>
    <w:p w14:paraId="074C4AF2" w14:textId="16B6DE9D" w:rsidR="00F87E6B" w:rsidRDefault="00F87E6B" w:rsidP="00F87E6B">
      <w:r w:rsidRPr="00F87E6B">
        <w:drawing>
          <wp:inline distT="0" distB="0" distL="0" distR="0" wp14:anchorId="0086DC52" wp14:editId="09AC673C">
            <wp:extent cx="4171950" cy="4131739"/>
            <wp:effectExtent l="0" t="0" r="0" b="2540"/>
            <wp:docPr id="19546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7402" name=""/>
                    <pic:cNvPicPr/>
                  </pic:nvPicPr>
                  <pic:blipFill>
                    <a:blip r:embed="rId9"/>
                    <a:stretch>
                      <a:fillRect/>
                    </a:stretch>
                  </pic:blipFill>
                  <pic:spPr>
                    <a:xfrm>
                      <a:off x="0" y="0"/>
                      <a:ext cx="4186050" cy="4145703"/>
                    </a:xfrm>
                    <a:prstGeom prst="rect">
                      <a:avLst/>
                    </a:prstGeom>
                  </pic:spPr>
                </pic:pic>
              </a:graphicData>
            </a:graphic>
          </wp:inline>
        </w:drawing>
      </w:r>
    </w:p>
    <w:p w14:paraId="32E35A8E" w14:textId="77777777" w:rsidR="00F87E6B" w:rsidRPr="00F87E6B" w:rsidRDefault="00F87E6B" w:rsidP="00F87E6B">
      <w:pPr>
        <w:rPr>
          <w:b/>
          <w:bCs/>
        </w:rPr>
      </w:pPr>
      <w:r w:rsidRPr="00F87E6B">
        <w:rPr>
          <w:b/>
          <w:bCs/>
        </w:rPr>
        <w:lastRenderedPageBreak/>
        <w:t>4. Age Distribution by Weekday</w:t>
      </w:r>
    </w:p>
    <w:p w14:paraId="5715D6F2" w14:textId="77777777" w:rsidR="00F87E6B" w:rsidRPr="00F87E6B" w:rsidRDefault="00F87E6B" w:rsidP="00F87E6B">
      <w:pPr>
        <w:rPr>
          <w:b/>
          <w:bCs/>
        </w:rPr>
      </w:pPr>
      <w:r w:rsidRPr="00F87E6B">
        <w:rPr>
          <w:b/>
          <w:bCs/>
        </w:rPr>
        <w:t>Observation</w:t>
      </w:r>
    </w:p>
    <w:p w14:paraId="7BE3E830" w14:textId="77777777" w:rsidR="00F87E6B" w:rsidRPr="00F87E6B" w:rsidRDefault="00F87E6B" w:rsidP="00F87E6B">
      <w:r w:rsidRPr="00F87E6B">
        <w:t xml:space="preserve">The boxplot illustrates the </w:t>
      </w:r>
      <w:r w:rsidRPr="00F87E6B">
        <w:rPr>
          <w:b/>
          <w:bCs/>
        </w:rPr>
        <w:t>age distribution of individuals involved in police shootings across weekdays</w:t>
      </w:r>
      <w:r w:rsidRPr="00F87E6B">
        <w:t>.</w:t>
      </w:r>
    </w:p>
    <w:p w14:paraId="714F7750" w14:textId="77777777" w:rsidR="00F87E6B" w:rsidRPr="00F87E6B" w:rsidRDefault="00F87E6B" w:rsidP="00F87E6B">
      <w:pPr>
        <w:numPr>
          <w:ilvl w:val="0"/>
          <w:numId w:val="35"/>
        </w:numPr>
      </w:pPr>
      <w:r w:rsidRPr="00F87E6B">
        <w:t xml:space="preserve">The </w:t>
      </w:r>
      <w:r w:rsidRPr="00F87E6B">
        <w:rPr>
          <w:b/>
          <w:bCs/>
        </w:rPr>
        <w:t>median age</w:t>
      </w:r>
      <w:r w:rsidRPr="00F87E6B">
        <w:t xml:space="preserve"> across all days is consistently in the </w:t>
      </w:r>
      <w:r w:rsidRPr="00F87E6B">
        <w:rPr>
          <w:b/>
          <w:bCs/>
        </w:rPr>
        <w:t>early-to-mid 30s</w:t>
      </w:r>
      <w:r w:rsidRPr="00F87E6B">
        <w:t>.</w:t>
      </w:r>
    </w:p>
    <w:p w14:paraId="10A13E43" w14:textId="77777777" w:rsidR="00F87E6B" w:rsidRPr="00F87E6B" w:rsidRDefault="00F87E6B" w:rsidP="00F87E6B">
      <w:pPr>
        <w:numPr>
          <w:ilvl w:val="0"/>
          <w:numId w:val="35"/>
        </w:numPr>
      </w:pPr>
      <w:r w:rsidRPr="00F87E6B">
        <w:t xml:space="preserve">Most cases fall within the </w:t>
      </w:r>
      <w:r w:rsidRPr="00F87E6B">
        <w:rPr>
          <w:b/>
          <w:bCs/>
        </w:rPr>
        <w:t>25–45 age range</w:t>
      </w:r>
      <w:r w:rsidRPr="00F87E6B">
        <w:t>, with interquartile ranges (IQR) overlapping across all days.</w:t>
      </w:r>
    </w:p>
    <w:p w14:paraId="14DE501B" w14:textId="77777777" w:rsidR="00F87E6B" w:rsidRPr="00F87E6B" w:rsidRDefault="00F87E6B" w:rsidP="00F87E6B">
      <w:pPr>
        <w:numPr>
          <w:ilvl w:val="0"/>
          <w:numId w:val="35"/>
        </w:numPr>
      </w:pPr>
      <w:r w:rsidRPr="00F87E6B">
        <w:t xml:space="preserve">Outliers exist in all weekdays, with some individuals aged </w:t>
      </w:r>
      <w:r w:rsidRPr="00F87E6B">
        <w:rPr>
          <w:b/>
          <w:bCs/>
        </w:rPr>
        <w:t>70–90+</w:t>
      </w:r>
      <w:r w:rsidRPr="00F87E6B">
        <w:t>.</w:t>
      </w:r>
    </w:p>
    <w:p w14:paraId="2FB3E564" w14:textId="77777777" w:rsidR="00F87E6B" w:rsidRPr="00F87E6B" w:rsidRDefault="00F87E6B" w:rsidP="00F87E6B">
      <w:pPr>
        <w:numPr>
          <w:ilvl w:val="0"/>
          <w:numId w:val="35"/>
        </w:numPr>
      </w:pPr>
      <w:r w:rsidRPr="00F87E6B">
        <w:rPr>
          <w:b/>
          <w:bCs/>
        </w:rPr>
        <w:t>Friday</w:t>
      </w:r>
      <w:r w:rsidRPr="00F87E6B">
        <w:t xml:space="preserve"> appears to have slightly younger median cases compared to other days.</w:t>
      </w:r>
    </w:p>
    <w:p w14:paraId="2373EF0B" w14:textId="77777777" w:rsidR="00F87E6B" w:rsidRPr="00F87E6B" w:rsidRDefault="00F87E6B" w:rsidP="00F87E6B">
      <w:pPr>
        <w:numPr>
          <w:ilvl w:val="0"/>
          <w:numId w:val="35"/>
        </w:numPr>
      </w:pPr>
      <w:r w:rsidRPr="00F87E6B">
        <w:t xml:space="preserve">No significant variation between weekdays, indicating that </w:t>
      </w:r>
      <w:r w:rsidRPr="00F87E6B">
        <w:rPr>
          <w:b/>
          <w:bCs/>
        </w:rPr>
        <w:t>age distribution is fairly stable throughout the week</w:t>
      </w:r>
      <w:r w:rsidRPr="00F87E6B">
        <w:t>.</w:t>
      </w:r>
    </w:p>
    <w:p w14:paraId="31A637F0" w14:textId="77777777" w:rsidR="00F87E6B" w:rsidRPr="00F87E6B" w:rsidRDefault="00F87E6B" w:rsidP="00F87E6B">
      <w:pPr>
        <w:rPr>
          <w:b/>
          <w:bCs/>
        </w:rPr>
      </w:pPr>
      <w:r w:rsidRPr="00F87E6B">
        <w:rPr>
          <w:b/>
          <w:bCs/>
        </w:rPr>
        <w:t>Possible Reasons</w:t>
      </w:r>
    </w:p>
    <w:p w14:paraId="50BCBBD7" w14:textId="77777777" w:rsidR="00F87E6B" w:rsidRPr="00F87E6B" w:rsidRDefault="00F87E6B" w:rsidP="00F87E6B">
      <w:pPr>
        <w:numPr>
          <w:ilvl w:val="0"/>
          <w:numId w:val="36"/>
        </w:numPr>
      </w:pPr>
      <w:r w:rsidRPr="00F87E6B">
        <w:rPr>
          <w:b/>
          <w:bCs/>
        </w:rPr>
        <w:t>Demographics of Police Encounters</w:t>
      </w:r>
      <w:r w:rsidRPr="00F87E6B">
        <w:t xml:space="preserve"> – Younger adults (20s–40s) are more likely to be involved in situations that escalate into police shootings due to higher mobility and interactions with law enforcement.</w:t>
      </w:r>
    </w:p>
    <w:p w14:paraId="737F1625" w14:textId="77777777" w:rsidR="00F87E6B" w:rsidRPr="00F87E6B" w:rsidRDefault="00F87E6B" w:rsidP="00F87E6B">
      <w:pPr>
        <w:numPr>
          <w:ilvl w:val="0"/>
          <w:numId w:val="36"/>
        </w:numPr>
      </w:pPr>
      <w:r w:rsidRPr="00F87E6B">
        <w:rPr>
          <w:b/>
          <w:bCs/>
        </w:rPr>
        <w:t>Consistency Across Weekdays</w:t>
      </w:r>
      <w:r w:rsidRPr="00F87E6B">
        <w:t xml:space="preserve"> – Since daily routines and policing intensity remain similar throughout the week, no weekday-specific trends emerge.</w:t>
      </w:r>
    </w:p>
    <w:p w14:paraId="1528095B" w14:textId="78CD554D" w:rsidR="00F87E6B" w:rsidRDefault="00F87E6B" w:rsidP="00F87E6B">
      <w:pPr>
        <w:numPr>
          <w:ilvl w:val="0"/>
          <w:numId w:val="36"/>
        </w:numPr>
      </w:pPr>
      <w:r w:rsidRPr="00F87E6B">
        <w:rPr>
          <w:b/>
          <w:bCs/>
        </w:rPr>
        <w:t>Presence of Outliers</w:t>
      </w:r>
      <w:r w:rsidRPr="00F87E6B">
        <w:t xml:space="preserve"> – Older individuals involved may represent exceptional cases (e.g., mental health crises, isolated incidents).</w:t>
      </w:r>
    </w:p>
    <w:p w14:paraId="61E60F46" w14:textId="5D0418B1" w:rsidR="00F87E6B" w:rsidRDefault="00F87E6B" w:rsidP="00F87E6B">
      <w:r w:rsidRPr="00F87E6B">
        <w:drawing>
          <wp:inline distT="0" distB="0" distL="0" distR="0" wp14:anchorId="01341898" wp14:editId="2AA0385E">
            <wp:extent cx="5650206" cy="3486150"/>
            <wp:effectExtent l="0" t="0" r="8255" b="0"/>
            <wp:docPr id="108316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165634" name=""/>
                    <pic:cNvPicPr/>
                  </pic:nvPicPr>
                  <pic:blipFill>
                    <a:blip r:embed="rId10"/>
                    <a:stretch>
                      <a:fillRect/>
                    </a:stretch>
                  </pic:blipFill>
                  <pic:spPr>
                    <a:xfrm>
                      <a:off x="0" y="0"/>
                      <a:ext cx="5658543" cy="3491294"/>
                    </a:xfrm>
                    <a:prstGeom prst="rect">
                      <a:avLst/>
                    </a:prstGeom>
                  </pic:spPr>
                </pic:pic>
              </a:graphicData>
            </a:graphic>
          </wp:inline>
        </w:drawing>
      </w:r>
    </w:p>
    <w:p w14:paraId="460FFEBB" w14:textId="77777777" w:rsidR="001969F5" w:rsidRPr="001969F5" w:rsidRDefault="001969F5" w:rsidP="001969F5">
      <w:pPr>
        <w:rPr>
          <w:b/>
          <w:bCs/>
        </w:rPr>
      </w:pPr>
      <w:r w:rsidRPr="001969F5">
        <w:rPr>
          <w:b/>
          <w:bCs/>
        </w:rPr>
        <w:lastRenderedPageBreak/>
        <w:t>5. Top 10 Types of Weapons Used</w:t>
      </w:r>
    </w:p>
    <w:p w14:paraId="6EAC2685" w14:textId="77777777" w:rsidR="001969F5" w:rsidRPr="001969F5" w:rsidRDefault="001969F5" w:rsidP="001969F5">
      <w:pPr>
        <w:rPr>
          <w:b/>
          <w:bCs/>
        </w:rPr>
      </w:pPr>
      <w:r w:rsidRPr="001969F5">
        <w:rPr>
          <w:b/>
          <w:bCs/>
        </w:rPr>
        <w:t>Observation</w:t>
      </w:r>
    </w:p>
    <w:p w14:paraId="5D4EAD4F" w14:textId="77777777" w:rsidR="001969F5" w:rsidRPr="001969F5" w:rsidRDefault="001969F5" w:rsidP="001969F5">
      <w:r w:rsidRPr="001969F5">
        <w:t xml:space="preserve">The bar chart highlights the </w:t>
      </w:r>
      <w:r w:rsidRPr="001969F5">
        <w:rPr>
          <w:b/>
          <w:bCs/>
        </w:rPr>
        <w:t>distribution of weapons involved in police shootings</w:t>
      </w:r>
      <w:r w:rsidRPr="001969F5">
        <w:t>:</w:t>
      </w:r>
    </w:p>
    <w:p w14:paraId="2E5B863E" w14:textId="77777777" w:rsidR="001969F5" w:rsidRPr="001969F5" w:rsidRDefault="001969F5" w:rsidP="001969F5">
      <w:pPr>
        <w:numPr>
          <w:ilvl w:val="0"/>
          <w:numId w:val="37"/>
        </w:numPr>
      </w:pPr>
      <w:r w:rsidRPr="001969F5">
        <w:rPr>
          <w:b/>
          <w:bCs/>
        </w:rPr>
        <w:t>Guns</w:t>
      </w:r>
      <w:r w:rsidRPr="001969F5">
        <w:t xml:space="preserve"> dominate overwhelmingly, with more than </w:t>
      </w:r>
      <w:r w:rsidRPr="001969F5">
        <w:rPr>
          <w:b/>
          <w:bCs/>
        </w:rPr>
        <w:t>1,000 cases</w:t>
      </w:r>
      <w:r w:rsidRPr="001969F5">
        <w:t>, making them the most common weapon used.</w:t>
      </w:r>
    </w:p>
    <w:p w14:paraId="0839CA80" w14:textId="77777777" w:rsidR="001969F5" w:rsidRPr="001969F5" w:rsidRDefault="001969F5" w:rsidP="001969F5">
      <w:pPr>
        <w:numPr>
          <w:ilvl w:val="0"/>
          <w:numId w:val="37"/>
        </w:numPr>
      </w:pPr>
      <w:r w:rsidRPr="001969F5">
        <w:rPr>
          <w:b/>
          <w:bCs/>
        </w:rPr>
        <w:t>Knives</w:t>
      </w:r>
      <w:r w:rsidRPr="001969F5">
        <w:t xml:space="preserve"> are the second most frequent, but far less common than guns (approx. 300 cases).</w:t>
      </w:r>
    </w:p>
    <w:p w14:paraId="2C1A390A" w14:textId="77777777" w:rsidR="001969F5" w:rsidRPr="001969F5" w:rsidRDefault="001969F5" w:rsidP="001969F5">
      <w:pPr>
        <w:numPr>
          <w:ilvl w:val="0"/>
          <w:numId w:val="37"/>
        </w:numPr>
      </w:pPr>
      <w:r w:rsidRPr="001969F5">
        <w:t xml:space="preserve">A significant number of incidents involve </w:t>
      </w:r>
      <w:r w:rsidRPr="001969F5">
        <w:rPr>
          <w:b/>
          <w:bCs/>
        </w:rPr>
        <w:t>unarmed individuals</w:t>
      </w:r>
      <w:r w:rsidRPr="001969F5">
        <w:t xml:space="preserve"> (150+ cases), showing that not all shootings occur against armed suspects.</w:t>
      </w:r>
    </w:p>
    <w:p w14:paraId="155421E2" w14:textId="77777777" w:rsidR="001969F5" w:rsidRPr="001969F5" w:rsidRDefault="001969F5" w:rsidP="001969F5">
      <w:pPr>
        <w:rPr>
          <w:b/>
          <w:bCs/>
        </w:rPr>
      </w:pPr>
      <w:r w:rsidRPr="001969F5">
        <w:rPr>
          <w:b/>
          <w:bCs/>
        </w:rPr>
        <w:t>Possible Reasons</w:t>
      </w:r>
    </w:p>
    <w:p w14:paraId="57A48FED" w14:textId="77777777" w:rsidR="001969F5" w:rsidRPr="001969F5" w:rsidRDefault="001969F5" w:rsidP="001969F5">
      <w:pPr>
        <w:numPr>
          <w:ilvl w:val="0"/>
          <w:numId w:val="38"/>
        </w:numPr>
      </w:pPr>
      <w:r w:rsidRPr="001969F5">
        <w:rPr>
          <w:b/>
          <w:bCs/>
        </w:rPr>
        <w:t>High Prevalence of Firearms in the U.S.</w:t>
      </w:r>
      <w:r w:rsidRPr="001969F5">
        <w:t xml:space="preserve"> – The widespread accessibility of guns directly explains why most police shootings involve them.</w:t>
      </w:r>
    </w:p>
    <w:p w14:paraId="5F32531C" w14:textId="77777777" w:rsidR="001969F5" w:rsidRPr="001969F5" w:rsidRDefault="001969F5" w:rsidP="001969F5">
      <w:pPr>
        <w:numPr>
          <w:ilvl w:val="0"/>
          <w:numId w:val="38"/>
        </w:numPr>
      </w:pPr>
      <w:r w:rsidRPr="001969F5">
        <w:rPr>
          <w:b/>
          <w:bCs/>
        </w:rPr>
        <w:t>Knives as Secondary Threat</w:t>
      </w:r>
      <w:r w:rsidRPr="001969F5">
        <w:t xml:space="preserve"> – Knives are common household items and often present in domestic or street confrontations, leading to their ranking second.</w:t>
      </w:r>
    </w:p>
    <w:p w14:paraId="28AB351C" w14:textId="77777777" w:rsidR="001969F5" w:rsidRPr="001969F5" w:rsidRDefault="001969F5" w:rsidP="001969F5">
      <w:pPr>
        <w:numPr>
          <w:ilvl w:val="0"/>
          <w:numId w:val="38"/>
        </w:numPr>
      </w:pPr>
      <w:r w:rsidRPr="001969F5">
        <w:rPr>
          <w:b/>
          <w:bCs/>
        </w:rPr>
        <w:t>Unarmed Cases</w:t>
      </w:r>
      <w:r w:rsidRPr="001969F5">
        <w:t xml:space="preserve"> – These incidents could reflect misidentification of threats, high-stress decision-making, or systemic issues in policing.</w:t>
      </w:r>
    </w:p>
    <w:p w14:paraId="4B214824" w14:textId="77777777" w:rsidR="001969F5" w:rsidRPr="001969F5" w:rsidRDefault="001969F5" w:rsidP="001969F5">
      <w:pPr>
        <w:numPr>
          <w:ilvl w:val="0"/>
          <w:numId w:val="38"/>
        </w:numPr>
      </w:pPr>
      <w:r w:rsidRPr="001969F5">
        <w:rPr>
          <w:b/>
          <w:bCs/>
        </w:rPr>
        <w:t>Toy Weapons / Vehicles</w:t>
      </w:r>
      <w:r w:rsidRPr="001969F5">
        <w:t xml:space="preserve"> – Misinterpretations (toy guns resembling real ones) or confrontations involving vehicles (used aggressively) can escalate into shootings.</w:t>
      </w:r>
    </w:p>
    <w:p w14:paraId="56D9662B" w14:textId="77777777" w:rsidR="001969F5" w:rsidRPr="001969F5" w:rsidRDefault="001969F5" w:rsidP="001969F5">
      <w:pPr>
        <w:numPr>
          <w:ilvl w:val="0"/>
          <w:numId w:val="38"/>
        </w:numPr>
      </w:pPr>
      <w:r w:rsidRPr="001969F5">
        <w:rPr>
          <w:b/>
          <w:bCs/>
        </w:rPr>
        <w:t>Rare Weapons</w:t>
      </w:r>
      <w:r w:rsidRPr="001969F5">
        <w:t xml:space="preserve"> – Items like swords, machetes, or tasers are uncommon, representing isolated or unusual encounters.</w:t>
      </w:r>
    </w:p>
    <w:p w14:paraId="408D5B10" w14:textId="77777777" w:rsidR="001969F5" w:rsidRDefault="001969F5" w:rsidP="00F87E6B"/>
    <w:p w14:paraId="3DCFA115" w14:textId="25AEAC87" w:rsidR="001969F5" w:rsidRDefault="001969F5" w:rsidP="00F87E6B">
      <w:r w:rsidRPr="001969F5">
        <w:drawing>
          <wp:inline distT="0" distB="0" distL="0" distR="0" wp14:anchorId="391D73BC" wp14:editId="4C5C437F">
            <wp:extent cx="5731510" cy="2774950"/>
            <wp:effectExtent l="0" t="0" r="2540" b="6350"/>
            <wp:docPr id="48293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933463" name=""/>
                    <pic:cNvPicPr/>
                  </pic:nvPicPr>
                  <pic:blipFill>
                    <a:blip r:embed="rId11"/>
                    <a:stretch>
                      <a:fillRect/>
                    </a:stretch>
                  </pic:blipFill>
                  <pic:spPr>
                    <a:xfrm>
                      <a:off x="0" y="0"/>
                      <a:ext cx="5731510" cy="2774950"/>
                    </a:xfrm>
                    <a:prstGeom prst="rect">
                      <a:avLst/>
                    </a:prstGeom>
                  </pic:spPr>
                </pic:pic>
              </a:graphicData>
            </a:graphic>
          </wp:inline>
        </w:drawing>
      </w:r>
    </w:p>
    <w:p w14:paraId="2EBBEAF8" w14:textId="77777777" w:rsidR="001969F5" w:rsidRPr="001969F5" w:rsidRDefault="001969F5" w:rsidP="001969F5">
      <w:pPr>
        <w:rPr>
          <w:b/>
          <w:bCs/>
        </w:rPr>
      </w:pPr>
      <w:r w:rsidRPr="001969F5">
        <w:rPr>
          <w:b/>
          <w:bCs/>
        </w:rPr>
        <w:lastRenderedPageBreak/>
        <w:t>6. Fleeing Status at Time of Incident</w:t>
      </w:r>
    </w:p>
    <w:p w14:paraId="7A32063B" w14:textId="77777777" w:rsidR="001969F5" w:rsidRPr="001969F5" w:rsidRDefault="001969F5" w:rsidP="001969F5">
      <w:pPr>
        <w:rPr>
          <w:b/>
          <w:bCs/>
        </w:rPr>
      </w:pPr>
      <w:r w:rsidRPr="001969F5">
        <w:rPr>
          <w:b/>
          <w:bCs/>
        </w:rPr>
        <w:t>Observation</w:t>
      </w:r>
    </w:p>
    <w:p w14:paraId="6C25F2FA" w14:textId="77777777" w:rsidR="001969F5" w:rsidRPr="001969F5" w:rsidRDefault="001969F5" w:rsidP="001969F5">
      <w:r w:rsidRPr="001969F5">
        <w:t xml:space="preserve">The bar chart illustrates the </w:t>
      </w:r>
      <w:r w:rsidRPr="001969F5">
        <w:rPr>
          <w:b/>
          <w:bCs/>
        </w:rPr>
        <w:t>fleeing status of individuals during police shootings</w:t>
      </w:r>
      <w:r w:rsidRPr="001969F5">
        <w:t>:</w:t>
      </w:r>
    </w:p>
    <w:p w14:paraId="06E7503E" w14:textId="77777777" w:rsidR="001969F5" w:rsidRPr="001969F5" w:rsidRDefault="001969F5" w:rsidP="001969F5">
      <w:pPr>
        <w:numPr>
          <w:ilvl w:val="0"/>
          <w:numId w:val="39"/>
        </w:numPr>
      </w:pPr>
      <w:r w:rsidRPr="001969F5">
        <w:t>A vast majority of cases (</w:t>
      </w:r>
      <w:r w:rsidRPr="001969F5">
        <w:rPr>
          <w:b/>
          <w:bCs/>
        </w:rPr>
        <w:t>over 1,200 incidents</w:t>
      </w:r>
      <w:r w:rsidRPr="001969F5">
        <w:t xml:space="preserve">) involve suspects who were </w:t>
      </w:r>
      <w:r w:rsidRPr="001969F5">
        <w:rPr>
          <w:b/>
          <w:bCs/>
        </w:rPr>
        <w:t>not fleeing</w:t>
      </w:r>
      <w:r w:rsidRPr="001969F5">
        <w:t xml:space="preserve"> at the time of the incident.</w:t>
      </w:r>
    </w:p>
    <w:p w14:paraId="72FE11E5" w14:textId="77777777" w:rsidR="001969F5" w:rsidRPr="001969F5" w:rsidRDefault="001969F5" w:rsidP="001969F5">
      <w:pPr>
        <w:numPr>
          <w:ilvl w:val="0"/>
          <w:numId w:val="39"/>
        </w:numPr>
      </w:pPr>
      <w:r w:rsidRPr="001969F5">
        <w:t xml:space="preserve">Both </w:t>
      </w:r>
      <w:r w:rsidRPr="001969F5">
        <w:rPr>
          <w:b/>
          <w:bCs/>
        </w:rPr>
        <w:t>foot pursuits</w:t>
      </w:r>
      <w:r w:rsidRPr="001969F5">
        <w:t xml:space="preserve"> and </w:t>
      </w:r>
      <w:r w:rsidRPr="001969F5">
        <w:rPr>
          <w:b/>
          <w:bCs/>
        </w:rPr>
        <w:t>vehicle-related flights</w:t>
      </w:r>
      <w:r w:rsidRPr="001969F5">
        <w:t xml:space="preserve"> account for a similar number of cases (around 250 each).</w:t>
      </w:r>
    </w:p>
    <w:p w14:paraId="180160F3" w14:textId="77777777" w:rsidR="001969F5" w:rsidRPr="001969F5" w:rsidRDefault="001969F5" w:rsidP="001969F5">
      <w:pPr>
        <w:numPr>
          <w:ilvl w:val="0"/>
          <w:numId w:val="39"/>
        </w:numPr>
      </w:pPr>
      <w:r w:rsidRPr="001969F5">
        <w:t xml:space="preserve">A small category </w:t>
      </w:r>
      <w:proofErr w:type="spellStart"/>
      <w:r w:rsidRPr="001969F5">
        <w:t>labeled</w:t>
      </w:r>
      <w:proofErr w:type="spellEnd"/>
      <w:r w:rsidRPr="001969F5">
        <w:t xml:space="preserve"> </w:t>
      </w:r>
      <w:r w:rsidRPr="001969F5">
        <w:rPr>
          <w:b/>
          <w:bCs/>
        </w:rPr>
        <w:t>“Other”</w:t>
      </w:r>
      <w:r w:rsidRPr="001969F5">
        <w:t xml:space="preserve"> represents a minimal share (&lt; 50 cases).</w:t>
      </w:r>
    </w:p>
    <w:p w14:paraId="07F10D58" w14:textId="77777777" w:rsidR="001969F5" w:rsidRPr="001969F5" w:rsidRDefault="001969F5" w:rsidP="001969F5">
      <w:pPr>
        <w:rPr>
          <w:b/>
          <w:bCs/>
        </w:rPr>
      </w:pPr>
      <w:r w:rsidRPr="001969F5">
        <w:rPr>
          <w:b/>
          <w:bCs/>
        </w:rPr>
        <w:t>Possible Reasons</w:t>
      </w:r>
    </w:p>
    <w:p w14:paraId="45998BE3" w14:textId="77777777" w:rsidR="001969F5" w:rsidRPr="001969F5" w:rsidRDefault="001969F5" w:rsidP="001969F5">
      <w:pPr>
        <w:numPr>
          <w:ilvl w:val="0"/>
          <w:numId w:val="40"/>
        </w:numPr>
      </w:pPr>
      <w:r w:rsidRPr="001969F5">
        <w:rPr>
          <w:b/>
          <w:bCs/>
        </w:rPr>
        <w:t>Majority Not Fleeing</w:t>
      </w:r>
      <w:r w:rsidRPr="001969F5">
        <w:t xml:space="preserve"> – This suggests that most police shootings occur in </w:t>
      </w:r>
      <w:r w:rsidRPr="001969F5">
        <w:rPr>
          <w:b/>
          <w:bCs/>
        </w:rPr>
        <w:t>stationary confrontations</w:t>
      </w:r>
      <w:r w:rsidRPr="001969F5">
        <w:t xml:space="preserve"> (e.g., during domestic incidents, direct confrontations, or standoffs), rather than in pursuit scenarios.</w:t>
      </w:r>
    </w:p>
    <w:p w14:paraId="2E984FAB" w14:textId="77777777" w:rsidR="001969F5" w:rsidRPr="001969F5" w:rsidRDefault="001969F5" w:rsidP="001969F5">
      <w:pPr>
        <w:numPr>
          <w:ilvl w:val="0"/>
          <w:numId w:val="40"/>
        </w:numPr>
      </w:pPr>
      <w:r w:rsidRPr="001969F5">
        <w:rPr>
          <w:b/>
          <w:bCs/>
        </w:rPr>
        <w:t>Flight by Foot or Car</w:t>
      </w:r>
      <w:r w:rsidRPr="001969F5">
        <w:t xml:space="preserve"> – Pursuits are inherently high-risk, leading to escalated tensions and potential </w:t>
      </w:r>
      <w:proofErr w:type="spellStart"/>
      <w:r w:rsidRPr="001969F5">
        <w:t>misjudgments</w:t>
      </w:r>
      <w:proofErr w:type="spellEnd"/>
      <w:r w:rsidRPr="001969F5">
        <w:t xml:space="preserve">. Individuals fleeing might be perceived as </w:t>
      </w:r>
      <w:r w:rsidRPr="001969F5">
        <w:rPr>
          <w:b/>
          <w:bCs/>
        </w:rPr>
        <w:t>greater threats</w:t>
      </w:r>
      <w:r w:rsidRPr="001969F5">
        <w:t>, especially if suspected of being armed.</w:t>
      </w:r>
    </w:p>
    <w:p w14:paraId="2435228C" w14:textId="77777777" w:rsidR="001969F5" w:rsidRPr="001969F5" w:rsidRDefault="001969F5" w:rsidP="001969F5">
      <w:pPr>
        <w:numPr>
          <w:ilvl w:val="0"/>
          <w:numId w:val="40"/>
        </w:numPr>
      </w:pPr>
      <w:r w:rsidRPr="001969F5">
        <w:rPr>
          <w:b/>
          <w:bCs/>
        </w:rPr>
        <w:t>“Other” Cases</w:t>
      </w:r>
      <w:r w:rsidRPr="001969F5">
        <w:t xml:space="preserve"> – Likely include less common scenarios (e.g., hiding, resisting arrest without fleeing, or ambiguous situations).</w:t>
      </w:r>
    </w:p>
    <w:p w14:paraId="26F6835E" w14:textId="03B44A9F" w:rsidR="001969F5" w:rsidRDefault="001969F5" w:rsidP="00F87E6B">
      <w:pPr>
        <w:numPr>
          <w:ilvl w:val="0"/>
          <w:numId w:val="40"/>
        </w:numPr>
      </w:pPr>
      <w:r w:rsidRPr="001969F5">
        <w:rPr>
          <w:b/>
          <w:bCs/>
        </w:rPr>
        <w:t>Policy &amp; Training Impact</w:t>
      </w:r>
      <w:r w:rsidRPr="001969F5">
        <w:t xml:space="preserve"> – In many regions, police training emphasizes lethal force when escape poses a threat to public safety, which may explain why fleeing suspects still represent a notable fraction.</w:t>
      </w:r>
    </w:p>
    <w:p w14:paraId="39BFB7E3" w14:textId="5D134A30" w:rsidR="001969F5" w:rsidRDefault="001969F5" w:rsidP="00F87E6B">
      <w:r w:rsidRPr="001969F5">
        <w:drawing>
          <wp:inline distT="0" distB="0" distL="0" distR="0" wp14:anchorId="4811E8A1" wp14:editId="063750DE">
            <wp:extent cx="5472653" cy="3409950"/>
            <wp:effectExtent l="0" t="0" r="0" b="0"/>
            <wp:docPr id="1837840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40358" name=""/>
                    <pic:cNvPicPr/>
                  </pic:nvPicPr>
                  <pic:blipFill>
                    <a:blip r:embed="rId12"/>
                    <a:stretch>
                      <a:fillRect/>
                    </a:stretch>
                  </pic:blipFill>
                  <pic:spPr>
                    <a:xfrm>
                      <a:off x="0" y="0"/>
                      <a:ext cx="5482157" cy="3415872"/>
                    </a:xfrm>
                    <a:prstGeom prst="rect">
                      <a:avLst/>
                    </a:prstGeom>
                  </pic:spPr>
                </pic:pic>
              </a:graphicData>
            </a:graphic>
          </wp:inline>
        </w:drawing>
      </w:r>
    </w:p>
    <w:p w14:paraId="1870E487" w14:textId="77777777" w:rsidR="001969F5" w:rsidRPr="001969F5" w:rsidRDefault="001969F5" w:rsidP="001969F5">
      <w:pPr>
        <w:rPr>
          <w:b/>
          <w:bCs/>
        </w:rPr>
      </w:pPr>
      <w:r w:rsidRPr="001969F5">
        <w:rPr>
          <w:b/>
          <w:bCs/>
        </w:rPr>
        <w:lastRenderedPageBreak/>
        <w:t>7. Top 10 Cities by Shootings</w:t>
      </w:r>
    </w:p>
    <w:p w14:paraId="3DFBD075" w14:textId="77777777" w:rsidR="001969F5" w:rsidRPr="001969F5" w:rsidRDefault="001969F5" w:rsidP="001969F5">
      <w:pPr>
        <w:rPr>
          <w:b/>
          <w:bCs/>
        </w:rPr>
      </w:pPr>
      <w:r w:rsidRPr="001969F5">
        <w:rPr>
          <w:b/>
          <w:bCs/>
        </w:rPr>
        <w:t>Observation</w:t>
      </w:r>
    </w:p>
    <w:p w14:paraId="0078E1F0" w14:textId="77777777" w:rsidR="001969F5" w:rsidRPr="001969F5" w:rsidRDefault="001969F5" w:rsidP="001969F5">
      <w:r w:rsidRPr="001969F5">
        <w:t xml:space="preserve">This bar chart highlights the </w:t>
      </w:r>
      <w:r w:rsidRPr="001969F5">
        <w:rPr>
          <w:b/>
          <w:bCs/>
        </w:rPr>
        <w:t>cities with the highest number of police shootings</w:t>
      </w:r>
      <w:r w:rsidRPr="001969F5">
        <w:t>:</w:t>
      </w:r>
    </w:p>
    <w:p w14:paraId="388067F7" w14:textId="77777777" w:rsidR="001969F5" w:rsidRPr="001969F5" w:rsidRDefault="001969F5" w:rsidP="001969F5">
      <w:pPr>
        <w:numPr>
          <w:ilvl w:val="0"/>
          <w:numId w:val="41"/>
        </w:numPr>
      </w:pPr>
      <w:r w:rsidRPr="001969F5">
        <w:rPr>
          <w:b/>
          <w:bCs/>
        </w:rPr>
        <w:t>Los Angeles</w:t>
      </w:r>
      <w:r w:rsidRPr="001969F5">
        <w:t xml:space="preserve"> stands out significantly with </w:t>
      </w:r>
      <w:r w:rsidRPr="001969F5">
        <w:rPr>
          <w:b/>
          <w:bCs/>
        </w:rPr>
        <w:t>over 25 shootings</w:t>
      </w:r>
      <w:r w:rsidRPr="001969F5">
        <w:t>, far more than any other city.</w:t>
      </w:r>
    </w:p>
    <w:p w14:paraId="312135EA" w14:textId="77777777" w:rsidR="001969F5" w:rsidRPr="001969F5" w:rsidRDefault="001969F5" w:rsidP="001969F5">
      <w:pPr>
        <w:numPr>
          <w:ilvl w:val="0"/>
          <w:numId w:val="41"/>
        </w:numPr>
      </w:pPr>
      <w:r w:rsidRPr="001969F5">
        <w:rPr>
          <w:b/>
          <w:bCs/>
        </w:rPr>
        <w:t>Phoenix</w:t>
      </w:r>
      <w:r w:rsidRPr="001969F5">
        <w:t xml:space="preserve"> and </w:t>
      </w:r>
      <w:r w:rsidRPr="001969F5">
        <w:rPr>
          <w:b/>
          <w:bCs/>
        </w:rPr>
        <w:t>Las Vegas</w:t>
      </w:r>
      <w:r w:rsidRPr="001969F5">
        <w:t xml:space="preserve"> follow, with </w:t>
      </w:r>
      <w:r w:rsidRPr="001969F5">
        <w:rPr>
          <w:b/>
          <w:bCs/>
        </w:rPr>
        <w:t>~18–19 incidents</w:t>
      </w:r>
      <w:r w:rsidRPr="001969F5">
        <w:t xml:space="preserve"> each.</w:t>
      </w:r>
    </w:p>
    <w:p w14:paraId="621E2660" w14:textId="77777777" w:rsidR="001969F5" w:rsidRPr="001969F5" w:rsidRDefault="001969F5" w:rsidP="001969F5">
      <w:pPr>
        <w:numPr>
          <w:ilvl w:val="0"/>
          <w:numId w:val="41"/>
        </w:numPr>
      </w:pPr>
      <w:r w:rsidRPr="001969F5">
        <w:t xml:space="preserve">Other cities like </w:t>
      </w:r>
      <w:r w:rsidRPr="001969F5">
        <w:rPr>
          <w:b/>
          <w:bCs/>
        </w:rPr>
        <w:t>Jacksonville, Kansas City, and Chicago</w:t>
      </w:r>
      <w:r w:rsidRPr="001969F5">
        <w:t xml:space="preserve"> each report around </w:t>
      </w:r>
      <w:r w:rsidRPr="001969F5">
        <w:rPr>
          <w:b/>
          <w:bCs/>
        </w:rPr>
        <w:t>15 incidents</w:t>
      </w:r>
      <w:r w:rsidRPr="001969F5">
        <w:t>.</w:t>
      </w:r>
    </w:p>
    <w:p w14:paraId="39B31EF2" w14:textId="77777777" w:rsidR="001969F5" w:rsidRPr="001969F5" w:rsidRDefault="001969F5" w:rsidP="001969F5">
      <w:pPr>
        <w:numPr>
          <w:ilvl w:val="0"/>
          <w:numId w:val="41"/>
        </w:numPr>
      </w:pPr>
      <w:r w:rsidRPr="001969F5">
        <w:t xml:space="preserve">Cities like </w:t>
      </w:r>
      <w:r w:rsidRPr="001969F5">
        <w:rPr>
          <w:b/>
          <w:bCs/>
        </w:rPr>
        <w:t>Oklahoma City, St. Louis, Denver, and Columbus</w:t>
      </w:r>
      <w:r w:rsidRPr="001969F5">
        <w:t xml:space="preserve"> round out the top 10, with around </w:t>
      </w:r>
      <w:r w:rsidRPr="001969F5">
        <w:rPr>
          <w:b/>
          <w:bCs/>
        </w:rPr>
        <w:t>13–14 shootings</w:t>
      </w:r>
      <w:r w:rsidRPr="001969F5">
        <w:t xml:space="preserve"> each.</w:t>
      </w:r>
    </w:p>
    <w:p w14:paraId="27B6FD3C" w14:textId="77777777" w:rsidR="001969F5" w:rsidRPr="001969F5" w:rsidRDefault="001969F5" w:rsidP="001969F5">
      <w:pPr>
        <w:rPr>
          <w:b/>
          <w:bCs/>
        </w:rPr>
      </w:pPr>
      <w:r w:rsidRPr="001969F5">
        <w:rPr>
          <w:b/>
          <w:bCs/>
        </w:rPr>
        <w:t>Possible Reasons</w:t>
      </w:r>
    </w:p>
    <w:p w14:paraId="321DC00A" w14:textId="77777777" w:rsidR="001969F5" w:rsidRPr="001969F5" w:rsidRDefault="001969F5" w:rsidP="001969F5">
      <w:pPr>
        <w:numPr>
          <w:ilvl w:val="0"/>
          <w:numId w:val="42"/>
        </w:numPr>
      </w:pPr>
      <w:r w:rsidRPr="001969F5">
        <w:rPr>
          <w:b/>
          <w:bCs/>
        </w:rPr>
        <w:t>Los Angeles as Outlier</w:t>
      </w:r>
      <w:r w:rsidRPr="001969F5">
        <w:t xml:space="preserve"> – Being the largest city in California with a massive police force (LAPD), higher population density, and a long history of gang activity and policing issues, LA unsurprisingly tops the list.</w:t>
      </w:r>
    </w:p>
    <w:p w14:paraId="3A5CFFEC" w14:textId="77777777" w:rsidR="001969F5" w:rsidRPr="001969F5" w:rsidRDefault="001969F5" w:rsidP="001969F5">
      <w:pPr>
        <w:numPr>
          <w:ilvl w:val="0"/>
          <w:numId w:val="42"/>
        </w:numPr>
      </w:pPr>
      <w:r w:rsidRPr="001969F5">
        <w:rPr>
          <w:b/>
          <w:bCs/>
        </w:rPr>
        <w:t>Southwest &amp; Western Cities</w:t>
      </w:r>
      <w:r w:rsidRPr="001969F5">
        <w:t xml:space="preserve"> – Phoenix, Las Vegas, and Los Angeles all have relatively high rates of violent crime and larger metropolitan areas, which may explain their presence at the top.</w:t>
      </w:r>
    </w:p>
    <w:p w14:paraId="1CD2D4BB" w14:textId="77777777" w:rsidR="001969F5" w:rsidRPr="001969F5" w:rsidRDefault="001969F5" w:rsidP="001969F5">
      <w:pPr>
        <w:numPr>
          <w:ilvl w:val="0"/>
          <w:numId w:val="42"/>
        </w:numPr>
      </w:pPr>
      <w:r w:rsidRPr="001969F5">
        <w:rPr>
          <w:b/>
          <w:bCs/>
        </w:rPr>
        <w:t xml:space="preserve">Urban Crime </w:t>
      </w:r>
      <w:proofErr w:type="spellStart"/>
      <w:r w:rsidRPr="001969F5">
        <w:rPr>
          <w:b/>
          <w:bCs/>
        </w:rPr>
        <w:t>Centers</w:t>
      </w:r>
      <w:proofErr w:type="spellEnd"/>
      <w:r w:rsidRPr="001969F5">
        <w:t xml:space="preserve"> – Chicago, St. Louis, and Kansas City are historically recognized for violent crime rates, making them hotspots for police encounters that escalate.</w:t>
      </w:r>
    </w:p>
    <w:p w14:paraId="58D44DE2" w14:textId="77777777" w:rsidR="001969F5" w:rsidRDefault="001969F5" w:rsidP="00F87E6B"/>
    <w:p w14:paraId="377C897E" w14:textId="4B7C0684" w:rsidR="001969F5" w:rsidRDefault="001969F5" w:rsidP="00F87E6B">
      <w:r w:rsidRPr="001969F5">
        <w:drawing>
          <wp:inline distT="0" distB="0" distL="0" distR="0" wp14:anchorId="7012C048" wp14:editId="2EF59E82">
            <wp:extent cx="5731510" cy="2828925"/>
            <wp:effectExtent l="0" t="0" r="2540" b="9525"/>
            <wp:docPr id="398628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628616" name=""/>
                    <pic:cNvPicPr/>
                  </pic:nvPicPr>
                  <pic:blipFill>
                    <a:blip r:embed="rId13"/>
                    <a:stretch>
                      <a:fillRect/>
                    </a:stretch>
                  </pic:blipFill>
                  <pic:spPr>
                    <a:xfrm>
                      <a:off x="0" y="0"/>
                      <a:ext cx="5731510" cy="2828925"/>
                    </a:xfrm>
                    <a:prstGeom prst="rect">
                      <a:avLst/>
                    </a:prstGeom>
                  </pic:spPr>
                </pic:pic>
              </a:graphicData>
            </a:graphic>
          </wp:inline>
        </w:drawing>
      </w:r>
    </w:p>
    <w:p w14:paraId="1DEB995B" w14:textId="77777777" w:rsidR="001969F5" w:rsidRDefault="001969F5" w:rsidP="00F87E6B"/>
    <w:p w14:paraId="576C04C5" w14:textId="77777777" w:rsidR="001969F5" w:rsidRPr="001969F5" w:rsidRDefault="001969F5" w:rsidP="001969F5">
      <w:pPr>
        <w:rPr>
          <w:b/>
          <w:bCs/>
        </w:rPr>
      </w:pPr>
      <w:r w:rsidRPr="001969F5">
        <w:rPr>
          <w:b/>
          <w:bCs/>
        </w:rPr>
        <w:lastRenderedPageBreak/>
        <w:t>8. Police Shootings per Million People by Race</w:t>
      </w:r>
    </w:p>
    <w:p w14:paraId="65FFEC5B" w14:textId="77777777" w:rsidR="001969F5" w:rsidRPr="001969F5" w:rsidRDefault="001969F5" w:rsidP="001969F5">
      <w:pPr>
        <w:rPr>
          <w:b/>
          <w:bCs/>
        </w:rPr>
      </w:pPr>
      <w:r w:rsidRPr="001969F5">
        <w:rPr>
          <w:b/>
          <w:bCs/>
        </w:rPr>
        <w:t>Observation</w:t>
      </w:r>
    </w:p>
    <w:p w14:paraId="261B4364" w14:textId="77777777" w:rsidR="001969F5" w:rsidRPr="001969F5" w:rsidRDefault="001969F5" w:rsidP="001969F5">
      <w:r w:rsidRPr="001969F5">
        <w:t xml:space="preserve">This chart shows the </w:t>
      </w:r>
      <w:r w:rsidRPr="001969F5">
        <w:rPr>
          <w:b/>
          <w:bCs/>
        </w:rPr>
        <w:t>rate of police shootings per million people across racial groups</w:t>
      </w:r>
      <w:r w:rsidRPr="001969F5">
        <w:t>:</w:t>
      </w:r>
    </w:p>
    <w:p w14:paraId="7EF50F1E" w14:textId="77777777" w:rsidR="001969F5" w:rsidRPr="001969F5" w:rsidRDefault="001969F5" w:rsidP="001969F5">
      <w:pPr>
        <w:numPr>
          <w:ilvl w:val="0"/>
          <w:numId w:val="43"/>
        </w:numPr>
      </w:pPr>
      <w:r w:rsidRPr="001969F5">
        <w:rPr>
          <w:b/>
          <w:bCs/>
        </w:rPr>
        <w:t>Black (B)</w:t>
      </w:r>
      <w:r w:rsidRPr="001969F5">
        <w:t xml:space="preserve"> individuals face the </w:t>
      </w:r>
      <w:r w:rsidRPr="001969F5">
        <w:rPr>
          <w:b/>
          <w:bCs/>
        </w:rPr>
        <w:t>highest rate</w:t>
      </w:r>
      <w:r w:rsidRPr="001969F5">
        <w:t xml:space="preserve">, exceeding </w:t>
      </w:r>
      <w:r w:rsidRPr="001969F5">
        <w:rPr>
          <w:b/>
          <w:bCs/>
        </w:rPr>
        <w:t>12 million per million people</w:t>
      </w:r>
      <w:r w:rsidRPr="001969F5">
        <w:t>, which is vastly disproportionate compared to other groups.</w:t>
      </w:r>
    </w:p>
    <w:p w14:paraId="1A51F028" w14:textId="77777777" w:rsidR="001969F5" w:rsidRPr="001969F5" w:rsidRDefault="001969F5" w:rsidP="001969F5">
      <w:pPr>
        <w:numPr>
          <w:ilvl w:val="0"/>
          <w:numId w:val="43"/>
        </w:numPr>
      </w:pPr>
      <w:r w:rsidRPr="001969F5">
        <w:rPr>
          <w:b/>
          <w:bCs/>
        </w:rPr>
        <w:t>Native American (N)</w:t>
      </w:r>
      <w:r w:rsidRPr="001969F5">
        <w:t xml:space="preserve"> populations also face a </w:t>
      </w:r>
      <w:r w:rsidRPr="001969F5">
        <w:rPr>
          <w:b/>
          <w:bCs/>
        </w:rPr>
        <w:t>high rate (~6.2 million per million)</w:t>
      </w:r>
      <w:r w:rsidRPr="001969F5">
        <w:t>, despite being a smaller population group.</w:t>
      </w:r>
    </w:p>
    <w:p w14:paraId="5476E48E" w14:textId="77777777" w:rsidR="001969F5" w:rsidRPr="001969F5" w:rsidRDefault="001969F5" w:rsidP="001969F5">
      <w:pPr>
        <w:numPr>
          <w:ilvl w:val="0"/>
          <w:numId w:val="43"/>
        </w:numPr>
      </w:pPr>
      <w:r w:rsidRPr="001969F5">
        <w:rPr>
          <w:b/>
          <w:bCs/>
        </w:rPr>
        <w:t>Hispanic (H)</w:t>
      </w:r>
      <w:r w:rsidRPr="001969F5">
        <w:t xml:space="preserve"> and </w:t>
      </w:r>
      <w:r w:rsidRPr="001969F5">
        <w:rPr>
          <w:b/>
          <w:bCs/>
        </w:rPr>
        <w:t>White (W)</w:t>
      </w:r>
      <w:r w:rsidRPr="001969F5">
        <w:t xml:space="preserve"> individuals have </w:t>
      </w:r>
      <w:r w:rsidRPr="001969F5">
        <w:rPr>
          <w:b/>
          <w:bCs/>
        </w:rPr>
        <w:t>moderate rates</w:t>
      </w:r>
      <w:r w:rsidRPr="001969F5">
        <w:t xml:space="preserve"> (~5–5.3 million per million).</w:t>
      </w:r>
    </w:p>
    <w:p w14:paraId="3ADF8ABA" w14:textId="77777777" w:rsidR="001969F5" w:rsidRPr="001969F5" w:rsidRDefault="001969F5" w:rsidP="001969F5">
      <w:pPr>
        <w:rPr>
          <w:b/>
          <w:bCs/>
        </w:rPr>
      </w:pPr>
      <w:r w:rsidRPr="001969F5">
        <w:rPr>
          <w:b/>
          <w:bCs/>
        </w:rPr>
        <w:t>Possible Reasons</w:t>
      </w:r>
    </w:p>
    <w:p w14:paraId="2CD9DC9C" w14:textId="77777777" w:rsidR="001969F5" w:rsidRPr="001969F5" w:rsidRDefault="001969F5" w:rsidP="001969F5">
      <w:pPr>
        <w:numPr>
          <w:ilvl w:val="0"/>
          <w:numId w:val="44"/>
        </w:numPr>
      </w:pPr>
      <w:r w:rsidRPr="001969F5">
        <w:rPr>
          <w:b/>
          <w:bCs/>
        </w:rPr>
        <w:t>Systemic Inequities</w:t>
      </w:r>
      <w:r w:rsidRPr="001969F5">
        <w:t xml:space="preserve"> – The disproportionately high rate for </w:t>
      </w:r>
      <w:r w:rsidRPr="001969F5">
        <w:rPr>
          <w:b/>
          <w:bCs/>
        </w:rPr>
        <w:t>Black</w:t>
      </w:r>
      <w:r w:rsidRPr="001969F5">
        <w:t xml:space="preserve"> individuals may reflect structural racism in policing, socioeconomic disparities, and historical tensions between law enforcement and minority communities.</w:t>
      </w:r>
    </w:p>
    <w:p w14:paraId="3CF11ABF" w14:textId="77777777" w:rsidR="001969F5" w:rsidRPr="001969F5" w:rsidRDefault="001969F5" w:rsidP="001969F5">
      <w:pPr>
        <w:numPr>
          <w:ilvl w:val="0"/>
          <w:numId w:val="44"/>
        </w:numPr>
      </w:pPr>
      <w:r w:rsidRPr="001969F5">
        <w:rPr>
          <w:b/>
          <w:bCs/>
        </w:rPr>
        <w:t>Native American Overrepresentation</w:t>
      </w:r>
      <w:r w:rsidRPr="001969F5">
        <w:t xml:space="preserve"> – Despite a small population, the high rate for </w:t>
      </w:r>
      <w:r w:rsidRPr="001969F5">
        <w:rPr>
          <w:b/>
          <w:bCs/>
        </w:rPr>
        <w:t>Native Americans</w:t>
      </w:r>
      <w:r w:rsidRPr="001969F5">
        <w:t xml:space="preserve"> might be linked to rural policing practices, jurisdictional conflicts on reservations, and higher levels of poverty and substance abuse issues in certain areas.</w:t>
      </w:r>
    </w:p>
    <w:p w14:paraId="33EDDBC8" w14:textId="4816A58B" w:rsidR="001969F5" w:rsidRDefault="001969F5" w:rsidP="00F87E6B">
      <w:pPr>
        <w:numPr>
          <w:ilvl w:val="0"/>
          <w:numId w:val="44"/>
        </w:numPr>
      </w:pPr>
      <w:r w:rsidRPr="001969F5">
        <w:rPr>
          <w:b/>
          <w:bCs/>
        </w:rPr>
        <w:t>Population Size vs. Rate</w:t>
      </w:r>
      <w:r w:rsidRPr="001969F5">
        <w:t xml:space="preserve"> – While more </w:t>
      </w:r>
      <w:r w:rsidRPr="001969F5">
        <w:rPr>
          <w:b/>
          <w:bCs/>
        </w:rPr>
        <w:t>White</w:t>
      </w:r>
      <w:r w:rsidRPr="001969F5">
        <w:t xml:space="preserve"> individuals may be shot in absolute numbers (because they are the largest population group), the </w:t>
      </w:r>
      <w:r w:rsidRPr="001969F5">
        <w:rPr>
          <w:b/>
          <w:bCs/>
        </w:rPr>
        <w:t>rate per million</w:t>
      </w:r>
      <w:r w:rsidRPr="001969F5">
        <w:t xml:space="preserve"> highlights that minorities are disproportionately affected.</w:t>
      </w:r>
    </w:p>
    <w:p w14:paraId="74019A6F" w14:textId="45A759C6" w:rsidR="001969F5" w:rsidRDefault="001969F5" w:rsidP="00F87E6B">
      <w:r w:rsidRPr="001969F5">
        <w:drawing>
          <wp:inline distT="0" distB="0" distL="0" distR="0" wp14:anchorId="402BD320" wp14:editId="5155CCE3">
            <wp:extent cx="5444422" cy="3371850"/>
            <wp:effectExtent l="0" t="0" r="4445" b="0"/>
            <wp:docPr id="1467299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99271" name=""/>
                    <pic:cNvPicPr/>
                  </pic:nvPicPr>
                  <pic:blipFill>
                    <a:blip r:embed="rId14"/>
                    <a:stretch>
                      <a:fillRect/>
                    </a:stretch>
                  </pic:blipFill>
                  <pic:spPr>
                    <a:xfrm>
                      <a:off x="0" y="0"/>
                      <a:ext cx="5448530" cy="3374394"/>
                    </a:xfrm>
                    <a:prstGeom prst="rect">
                      <a:avLst/>
                    </a:prstGeom>
                  </pic:spPr>
                </pic:pic>
              </a:graphicData>
            </a:graphic>
          </wp:inline>
        </w:drawing>
      </w:r>
    </w:p>
    <w:p w14:paraId="291E3CC7" w14:textId="77777777" w:rsidR="001969F5" w:rsidRPr="001969F5" w:rsidRDefault="001969F5" w:rsidP="001969F5">
      <w:pPr>
        <w:rPr>
          <w:b/>
          <w:bCs/>
        </w:rPr>
      </w:pPr>
      <w:r w:rsidRPr="001969F5">
        <w:rPr>
          <w:b/>
          <w:bCs/>
        </w:rPr>
        <w:lastRenderedPageBreak/>
        <w:t>Conclusion</w:t>
      </w:r>
    </w:p>
    <w:p w14:paraId="080E6F38" w14:textId="77777777" w:rsidR="001969F5" w:rsidRPr="001969F5" w:rsidRDefault="001969F5" w:rsidP="001969F5">
      <w:r w:rsidRPr="001969F5">
        <w:t xml:space="preserve">The analysis of fatal police shootings highlights clear </w:t>
      </w:r>
      <w:r w:rsidRPr="001969F5">
        <w:rPr>
          <w:b/>
          <w:bCs/>
        </w:rPr>
        <w:t>demographic disparities</w:t>
      </w:r>
      <w:r w:rsidRPr="001969F5">
        <w:t>:</w:t>
      </w:r>
    </w:p>
    <w:p w14:paraId="2CCD716A" w14:textId="77777777" w:rsidR="001969F5" w:rsidRPr="001969F5" w:rsidRDefault="001969F5" w:rsidP="001969F5">
      <w:pPr>
        <w:numPr>
          <w:ilvl w:val="0"/>
          <w:numId w:val="45"/>
        </w:numPr>
      </w:pPr>
      <w:r w:rsidRPr="001969F5">
        <w:rPr>
          <w:b/>
          <w:bCs/>
        </w:rPr>
        <w:t>Men</w:t>
      </w:r>
      <w:r w:rsidRPr="001969F5">
        <w:t xml:space="preserve">, especially in the </w:t>
      </w:r>
      <w:r w:rsidRPr="001969F5">
        <w:rPr>
          <w:b/>
          <w:bCs/>
        </w:rPr>
        <w:t>18–44 age group</w:t>
      </w:r>
      <w:r w:rsidRPr="001969F5">
        <w:t>, are overwhelmingly more likely to be victims.</w:t>
      </w:r>
    </w:p>
    <w:p w14:paraId="6084C094" w14:textId="77777777" w:rsidR="001969F5" w:rsidRPr="001969F5" w:rsidRDefault="001969F5" w:rsidP="001969F5">
      <w:pPr>
        <w:numPr>
          <w:ilvl w:val="0"/>
          <w:numId w:val="45"/>
        </w:numPr>
      </w:pPr>
      <w:r w:rsidRPr="001969F5">
        <w:rPr>
          <w:b/>
          <w:bCs/>
        </w:rPr>
        <w:t>Black</w:t>
      </w:r>
      <w:r w:rsidRPr="001969F5">
        <w:t xml:space="preserve"> and </w:t>
      </w:r>
      <w:r w:rsidRPr="001969F5">
        <w:rPr>
          <w:b/>
          <w:bCs/>
        </w:rPr>
        <w:t>Native American</w:t>
      </w:r>
      <w:r w:rsidRPr="001969F5">
        <w:t xml:space="preserve"> communities face </w:t>
      </w:r>
      <w:r w:rsidRPr="001969F5">
        <w:rPr>
          <w:b/>
          <w:bCs/>
        </w:rPr>
        <w:t>disproportionately higher shooting rates</w:t>
      </w:r>
      <w:r w:rsidRPr="001969F5">
        <w:t xml:space="preserve"> compared to their population share.</w:t>
      </w:r>
    </w:p>
    <w:p w14:paraId="5FDCDC22" w14:textId="77777777" w:rsidR="001969F5" w:rsidRPr="001969F5" w:rsidRDefault="001969F5" w:rsidP="001969F5">
      <w:pPr>
        <w:numPr>
          <w:ilvl w:val="0"/>
          <w:numId w:val="45"/>
        </w:numPr>
      </w:pPr>
      <w:r w:rsidRPr="001969F5">
        <w:rPr>
          <w:b/>
          <w:bCs/>
        </w:rPr>
        <w:t xml:space="preserve">Urban </w:t>
      </w:r>
      <w:proofErr w:type="spellStart"/>
      <w:r w:rsidRPr="001969F5">
        <w:rPr>
          <w:b/>
          <w:bCs/>
        </w:rPr>
        <w:t>centers</w:t>
      </w:r>
      <w:proofErr w:type="spellEnd"/>
      <w:r w:rsidRPr="001969F5">
        <w:t xml:space="preserve"> (like Los Angeles, Houston, and Phoenix) account for a significant portion of cases, but disparities exist nationwide.</w:t>
      </w:r>
    </w:p>
    <w:p w14:paraId="36F5F38C" w14:textId="77777777" w:rsidR="001969F5" w:rsidRPr="001969F5" w:rsidRDefault="001969F5" w:rsidP="001969F5">
      <w:r w:rsidRPr="001969F5">
        <w:t xml:space="preserve">These patterns suggest that </w:t>
      </w:r>
      <w:r w:rsidRPr="001969F5">
        <w:rPr>
          <w:b/>
          <w:bCs/>
        </w:rPr>
        <w:t>systemic, social, and situational factors</w:t>
      </w:r>
      <w:r w:rsidRPr="001969F5">
        <w:t>—such as socioeconomic inequalities, racial profiling, and concentrated policing in urban areas—play a major role in shaping outcomes.</w:t>
      </w:r>
    </w:p>
    <w:p w14:paraId="5AF1F2A4" w14:textId="77777777" w:rsidR="001969F5" w:rsidRPr="00F87E6B" w:rsidRDefault="001969F5" w:rsidP="00F87E6B"/>
    <w:sectPr w:rsidR="001969F5" w:rsidRPr="00F87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8354F"/>
    <w:multiLevelType w:val="multilevel"/>
    <w:tmpl w:val="CA18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E138F"/>
    <w:multiLevelType w:val="multilevel"/>
    <w:tmpl w:val="04AC8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25053"/>
    <w:multiLevelType w:val="multilevel"/>
    <w:tmpl w:val="984A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97E0C"/>
    <w:multiLevelType w:val="multilevel"/>
    <w:tmpl w:val="EBCC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84F05"/>
    <w:multiLevelType w:val="multilevel"/>
    <w:tmpl w:val="8DB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B1298"/>
    <w:multiLevelType w:val="multilevel"/>
    <w:tmpl w:val="2298A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C02B1"/>
    <w:multiLevelType w:val="multilevel"/>
    <w:tmpl w:val="EA2C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A51EF"/>
    <w:multiLevelType w:val="multilevel"/>
    <w:tmpl w:val="2DE4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853E0"/>
    <w:multiLevelType w:val="multilevel"/>
    <w:tmpl w:val="F40E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AD004A"/>
    <w:multiLevelType w:val="multilevel"/>
    <w:tmpl w:val="6900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C77F1"/>
    <w:multiLevelType w:val="multilevel"/>
    <w:tmpl w:val="3014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922EF6"/>
    <w:multiLevelType w:val="multilevel"/>
    <w:tmpl w:val="84484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77731"/>
    <w:multiLevelType w:val="multilevel"/>
    <w:tmpl w:val="CD68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C7386"/>
    <w:multiLevelType w:val="multilevel"/>
    <w:tmpl w:val="59A4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511E84"/>
    <w:multiLevelType w:val="multilevel"/>
    <w:tmpl w:val="CF98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41039"/>
    <w:multiLevelType w:val="multilevel"/>
    <w:tmpl w:val="2672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B0742"/>
    <w:multiLevelType w:val="multilevel"/>
    <w:tmpl w:val="41AE3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654E3E"/>
    <w:multiLevelType w:val="multilevel"/>
    <w:tmpl w:val="A75E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CA39FF"/>
    <w:multiLevelType w:val="multilevel"/>
    <w:tmpl w:val="520E7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1677D"/>
    <w:multiLevelType w:val="multilevel"/>
    <w:tmpl w:val="D3C8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383E0D"/>
    <w:multiLevelType w:val="multilevel"/>
    <w:tmpl w:val="78386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53D66"/>
    <w:multiLevelType w:val="multilevel"/>
    <w:tmpl w:val="6EA0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2A48"/>
    <w:multiLevelType w:val="multilevel"/>
    <w:tmpl w:val="861E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3D15F1"/>
    <w:multiLevelType w:val="multilevel"/>
    <w:tmpl w:val="F62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348A9"/>
    <w:multiLevelType w:val="multilevel"/>
    <w:tmpl w:val="8120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D5512"/>
    <w:multiLevelType w:val="multilevel"/>
    <w:tmpl w:val="C95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9A44C6"/>
    <w:multiLevelType w:val="multilevel"/>
    <w:tmpl w:val="5BAE7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2148E5"/>
    <w:multiLevelType w:val="multilevel"/>
    <w:tmpl w:val="8A149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555493"/>
    <w:multiLevelType w:val="multilevel"/>
    <w:tmpl w:val="C8A63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9561C8"/>
    <w:multiLevelType w:val="multilevel"/>
    <w:tmpl w:val="EE9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8A71F2"/>
    <w:multiLevelType w:val="multilevel"/>
    <w:tmpl w:val="30C0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5653BB"/>
    <w:multiLevelType w:val="multilevel"/>
    <w:tmpl w:val="005C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A93762"/>
    <w:multiLevelType w:val="multilevel"/>
    <w:tmpl w:val="F814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94881"/>
    <w:multiLevelType w:val="multilevel"/>
    <w:tmpl w:val="86A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370A8D"/>
    <w:multiLevelType w:val="multilevel"/>
    <w:tmpl w:val="0B34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192E46"/>
    <w:multiLevelType w:val="multilevel"/>
    <w:tmpl w:val="F33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DE4CAB"/>
    <w:multiLevelType w:val="multilevel"/>
    <w:tmpl w:val="E376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7E3EB0"/>
    <w:multiLevelType w:val="multilevel"/>
    <w:tmpl w:val="2BAA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A92B41"/>
    <w:multiLevelType w:val="multilevel"/>
    <w:tmpl w:val="4802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9A68AA"/>
    <w:multiLevelType w:val="multilevel"/>
    <w:tmpl w:val="F8EE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0C3105"/>
    <w:multiLevelType w:val="multilevel"/>
    <w:tmpl w:val="97B0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625637"/>
    <w:multiLevelType w:val="multilevel"/>
    <w:tmpl w:val="A5A8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E165D8"/>
    <w:multiLevelType w:val="multilevel"/>
    <w:tmpl w:val="B0949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4A1FAE"/>
    <w:multiLevelType w:val="multilevel"/>
    <w:tmpl w:val="312A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401340"/>
    <w:multiLevelType w:val="multilevel"/>
    <w:tmpl w:val="732CF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8595859">
    <w:abstractNumId w:val="44"/>
  </w:num>
  <w:num w:numId="2" w16cid:durableId="223296038">
    <w:abstractNumId w:val="40"/>
  </w:num>
  <w:num w:numId="3" w16cid:durableId="713047348">
    <w:abstractNumId w:val="41"/>
  </w:num>
  <w:num w:numId="4" w16cid:durableId="1334838097">
    <w:abstractNumId w:val="20"/>
  </w:num>
  <w:num w:numId="5" w16cid:durableId="545138603">
    <w:abstractNumId w:val="33"/>
  </w:num>
  <w:num w:numId="6" w16cid:durableId="1106074982">
    <w:abstractNumId w:val="4"/>
  </w:num>
  <w:num w:numId="7" w16cid:durableId="1784878225">
    <w:abstractNumId w:val="15"/>
  </w:num>
  <w:num w:numId="8" w16cid:durableId="107966816">
    <w:abstractNumId w:val="2"/>
  </w:num>
  <w:num w:numId="9" w16cid:durableId="375085388">
    <w:abstractNumId w:val="23"/>
  </w:num>
  <w:num w:numId="10" w16cid:durableId="1133060554">
    <w:abstractNumId w:val="0"/>
  </w:num>
  <w:num w:numId="11" w16cid:durableId="1205756664">
    <w:abstractNumId w:val="26"/>
  </w:num>
  <w:num w:numId="12" w16cid:durableId="574903116">
    <w:abstractNumId w:val="1"/>
  </w:num>
  <w:num w:numId="13" w16cid:durableId="495148699">
    <w:abstractNumId w:val="28"/>
  </w:num>
  <w:num w:numId="14" w16cid:durableId="1349597623">
    <w:abstractNumId w:val="11"/>
  </w:num>
  <w:num w:numId="15" w16cid:durableId="2081443833">
    <w:abstractNumId w:val="31"/>
  </w:num>
  <w:num w:numId="16" w16cid:durableId="1660571113">
    <w:abstractNumId w:val="3"/>
  </w:num>
  <w:num w:numId="17" w16cid:durableId="1870138904">
    <w:abstractNumId w:val="7"/>
  </w:num>
  <w:num w:numId="18" w16cid:durableId="10376664">
    <w:abstractNumId w:val="32"/>
  </w:num>
  <w:num w:numId="19" w16cid:durableId="1764455691">
    <w:abstractNumId w:val="6"/>
  </w:num>
  <w:num w:numId="20" w16cid:durableId="1503855724">
    <w:abstractNumId w:val="43"/>
  </w:num>
  <w:num w:numId="21" w16cid:durableId="646712236">
    <w:abstractNumId w:val="25"/>
  </w:num>
  <w:num w:numId="22" w16cid:durableId="540560910">
    <w:abstractNumId w:val="36"/>
  </w:num>
  <w:num w:numId="23" w16cid:durableId="2098363517">
    <w:abstractNumId w:val="14"/>
  </w:num>
  <w:num w:numId="24" w16cid:durableId="1649478020">
    <w:abstractNumId w:val="12"/>
  </w:num>
  <w:num w:numId="25" w16cid:durableId="1613515004">
    <w:abstractNumId w:val="17"/>
  </w:num>
  <w:num w:numId="26" w16cid:durableId="1806311983">
    <w:abstractNumId w:val="19"/>
  </w:num>
  <w:num w:numId="27" w16cid:durableId="842091020">
    <w:abstractNumId w:val="9"/>
  </w:num>
  <w:num w:numId="28" w16cid:durableId="64499034">
    <w:abstractNumId w:val="34"/>
  </w:num>
  <w:num w:numId="29" w16cid:durableId="751851595">
    <w:abstractNumId w:val="5"/>
  </w:num>
  <w:num w:numId="30" w16cid:durableId="56171368">
    <w:abstractNumId w:val="16"/>
  </w:num>
  <w:num w:numId="31" w16cid:durableId="1273592985">
    <w:abstractNumId w:val="27"/>
  </w:num>
  <w:num w:numId="32" w16cid:durableId="269974895">
    <w:abstractNumId w:val="21"/>
  </w:num>
  <w:num w:numId="33" w16cid:durableId="1814592215">
    <w:abstractNumId w:val="30"/>
  </w:num>
  <w:num w:numId="34" w16cid:durableId="621812243">
    <w:abstractNumId w:val="37"/>
  </w:num>
  <w:num w:numId="35" w16cid:durableId="799495553">
    <w:abstractNumId w:val="13"/>
  </w:num>
  <w:num w:numId="36" w16cid:durableId="770128507">
    <w:abstractNumId w:val="42"/>
  </w:num>
  <w:num w:numId="37" w16cid:durableId="570313507">
    <w:abstractNumId w:val="10"/>
  </w:num>
  <w:num w:numId="38" w16cid:durableId="1320038510">
    <w:abstractNumId w:val="22"/>
  </w:num>
  <w:num w:numId="39" w16cid:durableId="7952328">
    <w:abstractNumId w:val="24"/>
  </w:num>
  <w:num w:numId="40" w16cid:durableId="1646856293">
    <w:abstractNumId w:val="38"/>
  </w:num>
  <w:num w:numId="41" w16cid:durableId="2007319487">
    <w:abstractNumId w:val="35"/>
  </w:num>
  <w:num w:numId="42" w16cid:durableId="1922637774">
    <w:abstractNumId w:val="18"/>
  </w:num>
  <w:num w:numId="43" w16cid:durableId="946620616">
    <w:abstractNumId w:val="8"/>
  </w:num>
  <w:num w:numId="44" w16cid:durableId="724177770">
    <w:abstractNumId w:val="39"/>
  </w:num>
  <w:num w:numId="45" w16cid:durableId="141631877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BF1"/>
    <w:rsid w:val="000F7689"/>
    <w:rsid w:val="001969F5"/>
    <w:rsid w:val="00235489"/>
    <w:rsid w:val="003531D4"/>
    <w:rsid w:val="003D7B4B"/>
    <w:rsid w:val="00475DA7"/>
    <w:rsid w:val="00486BAC"/>
    <w:rsid w:val="005C5F1E"/>
    <w:rsid w:val="00762D1E"/>
    <w:rsid w:val="00BA646B"/>
    <w:rsid w:val="00BE7BF1"/>
    <w:rsid w:val="00DF39A6"/>
    <w:rsid w:val="00F87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D0E3"/>
  <w15:chartTrackingRefBased/>
  <w15:docId w15:val="{724BDC19-A854-4800-ABCD-9D5CF831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B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7B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7B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7B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7B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B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7B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7B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7B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7B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BF1"/>
    <w:rPr>
      <w:rFonts w:eastAsiaTheme="majorEastAsia" w:cstheme="majorBidi"/>
      <w:color w:val="272727" w:themeColor="text1" w:themeTint="D8"/>
    </w:rPr>
  </w:style>
  <w:style w:type="paragraph" w:styleId="Title">
    <w:name w:val="Title"/>
    <w:basedOn w:val="Normal"/>
    <w:next w:val="Normal"/>
    <w:link w:val="TitleChar"/>
    <w:uiPriority w:val="10"/>
    <w:qFormat/>
    <w:rsid w:val="00BE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BF1"/>
    <w:pPr>
      <w:spacing w:before="160"/>
      <w:jc w:val="center"/>
    </w:pPr>
    <w:rPr>
      <w:i/>
      <w:iCs/>
      <w:color w:val="404040" w:themeColor="text1" w:themeTint="BF"/>
    </w:rPr>
  </w:style>
  <w:style w:type="character" w:customStyle="1" w:styleId="QuoteChar">
    <w:name w:val="Quote Char"/>
    <w:basedOn w:val="DefaultParagraphFont"/>
    <w:link w:val="Quote"/>
    <w:uiPriority w:val="29"/>
    <w:rsid w:val="00BE7BF1"/>
    <w:rPr>
      <w:i/>
      <w:iCs/>
      <w:color w:val="404040" w:themeColor="text1" w:themeTint="BF"/>
    </w:rPr>
  </w:style>
  <w:style w:type="paragraph" w:styleId="ListParagraph">
    <w:name w:val="List Paragraph"/>
    <w:basedOn w:val="Normal"/>
    <w:uiPriority w:val="34"/>
    <w:qFormat/>
    <w:rsid w:val="00BE7BF1"/>
    <w:pPr>
      <w:ind w:left="720"/>
      <w:contextualSpacing/>
    </w:pPr>
  </w:style>
  <w:style w:type="character" w:styleId="IntenseEmphasis">
    <w:name w:val="Intense Emphasis"/>
    <w:basedOn w:val="DefaultParagraphFont"/>
    <w:uiPriority w:val="21"/>
    <w:qFormat/>
    <w:rsid w:val="00BE7BF1"/>
    <w:rPr>
      <w:i/>
      <w:iCs/>
      <w:color w:val="2F5496" w:themeColor="accent1" w:themeShade="BF"/>
    </w:rPr>
  </w:style>
  <w:style w:type="paragraph" w:styleId="IntenseQuote">
    <w:name w:val="Intense Quote"/>
    <w:basedOn w:val="Normal"/>
    <w:next w:val="Normal"/>
    <w:link w:val="IntenseQuoteChar"/>
    <w:uiPriority w:val="30"/>
    <w:qFormat/>
    <w:rsid w:val="00BE7B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7BF1"/>
    <w:rPr>
      <w:i/>
      <w:iCs/>
      <w:color w:val="2F5496" w:themeColor="accent1" w:themeShade="BF"/>
    </w:rPr>
  </w:style>
  <w:style w:type="character" w:styleId="IntenseReference">
    <w:name w:val="Intense Reference"/>
    <w:basedOn w:val="DefaultParagraphFont"/>
    <w:uiPriority w:val="32"/>
    <w:qFormat/>
    <w:rsid w:val="00BE7BF1"/>
    <w:rPr>
      <w:b/>
      <w:bCs/>
      <w:smallCaps/>
      <w:color w:val="2F5496" w:themeColor="accent1" w:themeShade="BF"/>
      <w:spacing w:val="5"/>
    </w:rPr>
  </w:style>
  <w:style w:type="character" w:styleId="Hyperlink">
    <w:name w:val="Hyperlink"/>
    <w:basedOn w:val="DefaultParagraphFont"/>
    <w:uiPriority w:val="99"/>
    <w:unhideWhenUsed/>
    <w:rsid w:val="00486BAC"/>
    <w:rPr>
      <w:color w:val="0563C1" w:themeColor="hyperlink"/>
      <w:u w:val="single"/>
    </w:rPr>
  </w:style>
  <w:style w:type="character" w:styleId="UnresolvedMention">
    <w:name w:val="Unresolved Mention"/>
    <w:basedOn w:val="DefaultParagraphFont"/>
    <w:uiPriority w:val="99"/>
    <w:semiHidden/>
    <w:unhideWhenUsed/>
    <w:rsid w:val="00486BAC"/>
    <w:rPr>
      <w:color w:val="605E5C"/>
      <w:shd w:val="clear" w:color="auto" w:fill="E1DFDD"/>
    </w:rPr>
  </w:style>
  <w:style w:type="character" w:styleId="Strong">
    <w:name w:val="Strong"/>
    <w:basedOn w:val="DefaultParagraphFont"/>
    <w:uiPriority w:val="22"/>
    <w:qFormat/>
    <w:rsid w:val="00486B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E904C-C10F-4E0A-B84A-AE148257D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10</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Rajora</dc:creator>
  <cp:keywords/>
  <dc:description/>
  <cp:lastModifiedBy>Nishant Rajora</cp:lastModifiedBy>
  <cp:revision>6</cp:revision>
  <dcterms:created xsi:type="dcterms:W3CDTF">2025-08-06T15:10:00Z</dcterms:created>
  <dcterms:modified xsi:type="dcterms:W3CDTF">2025-08-20T15:27:00Z</dcterms:modified>
</cp:coreProperties>
</file>