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31D88" w14:textId="2C32D1BB" w:rsidR="004C7495" w:rsidRDefault="004C7495">
      <w:r>
        <w:t>Playwright functions structure</w:t>
      </w:r>
      <w:r>
        <w:br/>
      </w:r>
      <w:r>
        <w:br/>
      </w:r>
      <w:r w:rsidRPr="004C7495">
        <w:drawing>
          <wp:inline distT="0" distB="0" distL="0" distR="0" wp14:anchorId="34A4B28C" wp14:editId="2D6286DE">
            <wp:extent cx="4320914" cy="4320914"/>
            <wp:effectExtent l="0" t="0" r="3810" b="3810"/>
            <wp:docPr id="8541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7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95"/>
    <w:rsid w:val="00296D64"/>
    <w:rsid w:val="004C7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8A14E"/>
  <w15:chartTrackingRefBased/>
  <w15:docId w15:val="{02BE0B61-9613-4E88-A5CF-F9887592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</cp:revision>
  <dcterms:created xsi:type="dcterms:W3CDTF">2026-01-22T13:56:00Z</dcterms:created>
  <dcterms:modified xsi:type="dcterms:W3CDTF">2026-01-22T13:57:00Z</dcterms:modified>
</cp:coreProperties>
</file>