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drawing>
          <wp:inline xmlns:a="http://schemas.openxmlformats.org/drawingml/2006/main" xmlns:pic="http://schemas.openxmlformats.org/drawingml/2006/picture">
            <wp:extent cx="6660000" cy="8297824"/>
            <wp:docPr id="1" name="Picture 1"/>
            <wp:cNvGraphicFramePr>
              <a:graphicFrameLocks noChangeAspect="1"/>
            </wp:cNvGraphicFramePr>
            <a:graphic>
              <a:graphicData uri="http://schemas.openxmlformats.org/drawingml/2006/picture">
                <pic:pic>
                  <pic:nvPicPr>
                    <pic:cNvPr id="0" name="_improve_flow.png"/>
                    <pic:cNvPicPr/>
                  </pic:nvPicPr>
                  <pic:blipFill>
                    <a:blip r:embed="rId9"/>
                    <a:stretch>
                      <a:fillRect/>
                    </a:stretch>
                  </pic:blipFill>
                  <pic:spPr>
                    <a:xfrm>
                      <a:off x="0" y="0"/>
                      <a:ext cx="6660000" cy="8297824"/>
                    </a:xfrm>
                    <a:prstGeom prst="rect"/>
                  </pic:spPr>
                </pic:pic>
              </a:graphicData>
            </a:graphic>
          </wp:inline>
        </w:drawing>
      </w:r>
    </w:p>
    <w:p>
      <w:pPr>
        <w:spacing w:before="40" w:after="0" w:line="259" w:lineRule="auto"/>
      </w:pPr>
      <w:r>
        <w:rPr>
          <w:rFonts w:ascii="Aptos" w:hAnsi="Aptos" w:eastAsia="Aptos"/>
          <w:color w:val="1F3A5F"/>
          <w:sz w:val="22"/>
        </w:rPr>
        <w:t>The green items are already in the localhost. The written rules keep improving through localhost calls and the Opus evaluator. The warm items stay in the paper because they require training a model we do not host.</w:t>
      </w:r>
    </w:p>
    <w:sectPr w:rsidR="00FC693F" w:rsidRPr="0006063C" w:rsidSect="00034616">
      <w:pgSz w:w="11906" w:h="16838"/>
      <w:pgMar w:top="595"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3A5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Version 8 can take from AdaptDuplex</dc:title>
  <dc:subject>Which AdaptDuplex ideas are already in Version 8, and which need training</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