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40A1" w14:textId="4CFC6CE5" w:rsidR="004A4713" w:rsidRDefault="00000000">
      <w:pPr>
        <w:spacing w:after="0"/>
      </w:pPr>
      <w:r>
        <w:rPr>
          <w:rFonts w:eastAsia="Aptos"/>
          <w:b/>
          <w:color w:val="1F3A5F"/>
          <w:sz w:val="44"/>
        </w:rPr>
        <w:t>Version 7</w:t>
      </w:r>
      <w:r w:rsidR="00A65DA4">
        <w:rPr>
          <w:rFonts w:eastAsia="Aptos"/>
          <w:b/>
          <w:color w:val="1F3A5F"/>
          <w:sz w:val="44"/>
        </w:rPr>
        <w:t xml:space="preserve"> – Comparative Evaluation Report</w:t>
      </w:r>
    </w:p>
    <w:p w14:paraId="5F7A3F59" w14:textId="77777777" w:rsidR="004A4713" w:rsidRDefault="00000000">
      <w:pPr>
        <w:spacing w:before="40" w:after="160"/>
      </w:pPr>
      <w:r>
        <w:rPr>
          <w:rFonts w:eastAsia="Aptos"/>
          <w:color w:val="4A4A4A"/>
          <w:sz w:val="24"/>
        </w:rPr>
        <w:t>Three changes from Version 6, and the benefit of each</w:t>
      </w:r>
    </w:p>
    <w:p w14:paraId="6FDD1185" w14:textId="77777777" w:rsidR="004A4713" w:rsidRDefault="00000000">
      <w:pPr>
        <w:spacing w:after="40" w:line="259" w:lineRule="auto"/>
      </w:pPr>
      <w:r>
        <w:rPr>
          <w:rFonts w:eastAsia="Aptos"/>
          <w:color w:val="1A1A1A"/>
        </w:rPr>
        <w:t>The caller is the same model in both versions, sarvam-105b-conversations. When the model is called, it still takes about 0.8 seconds. Version 7 changes when speech starts, when the model is called, and when the call is allowed to end.</w:t>
      </w:r>
    </w:p>
    <w:p w14:paraId="0EF61381" w14:textId="77777777" w:rsidR="004A4713" w:rsidRDefault="00000000">
      <w:pPr>
        <w:spacing w:before="200" w:after="40"/>
      </w:pPr>
      <w:r>
        <w:rPr>
          <w:rFonts w:eastAsia="Aptos"/>
          <w:b/>
          <w:color w:val="1F3A5F"/>
          <w:sz w:val="24"/>
        </w:rPr>
        <w:t>1   Speech starts on the first clause</w:t>
      </w:r>
    </w:p>
    <w:tbl>
      <w:tblPr>
        <w:tblW w:w="10206" w:type="dxa"/>
        <w:tblLayout w:type="fixed"/>
        <w:tblLook w:val="04A0" w:firstRow="1" w:lastRow="0" w:firstColumn="1" w:lastColumn="0" w:noHBand="0" w:noVBand="1"/>
      </w:tblPr>
      <w:tblGrid>
        <w:gridCol w:w="1814"/>
        <w:gridCol w:w="8392"/>
      </w:tblGrid>
      <w:tr w:rsidR="004A4713" w14:paraId="70352780" w14:textId="77777777">
        <w:tc>
          <w:tcPr>
            <w:tcW w:w="1814" w:type="dxa"/>
            <w:tcBorders>
              <w:top w:val="single" w:sz="4" w:space="0" w:color="D0D7E2"/>
              <w:left w:val="single" w:sz="4" w:space="0" w:color="D0D7E2"/>
              <w:bottom w:val="single" w:sz="4" w:space="0" w:color="D0D7E2"/>
              <w:right w:val="single" w:sz="4" w:space="0" w:color="D0D7E2"/>
            </w:tcBorders>
            <w:shd w:val="clear" w:color="auto" w:fill="F4F7FB"/>
            <w:tcMar>
              <w:top w:w="70" w:type="dxa"/>
              <w:left w:w="110" w:type="dxa"/>
              <w:bottom w:w="70" w:type="dxa"/>
              <w:right w:w="110" w:type="dxa"/>
            </w:tcMar>
          </w:tcPr>
          <w:p w14:paraId="1156FCD4" w14:textId="77777777" w:rsidR="004A4713" w:rsidRDefault="00000000">
            <w:pPr>
              <w:spacing w:after="0"/>
            </w:pPr>
            <w:r>
              <w:rPr>
                <w:rFonts w:eastAsia="Aptos"/>
                <w:b/>
                <w:color w:val="1A1A1A"/>
              </w:rPr>
              <w:t>Version 6</w:t>
            </w:r>
          </w:p>
        </w:tc>
        <w:tc>
          <w:tcPr>
            <w:tcW w:w="8391" w:type="dxa"/>
            <w:tcBorders>
              <w:top w:val="single" w:sz="4" w:space="0" w:color="D0D7E2"/>
              <w:left w:val="single" w:sz="4" w:space="0" w:color="D0D7E2"/>
              <w:bottom w:val="single" w:sz="4" w:space="0" w:color="D0D7E2"/>
              <w:right w:val="single" w:sz="4" w:space="0" w:color="D0D7E2"/>
            </w:tcBorders>
            <w:shd w:val="clear" w:color="auto" w:fill="F4F7FB"/>
            <w:tcMar>
              <w:top w:w="70" w:type="dxa"/>
              <w:left w:w="110" w:type="dxa"/>
              <w:bottom w:w="70" w:type="dxa"/>
              <w:right w:w="110" w:type="dxa"/>
            </w:tcMar>
          </w:tcPr>
          <w:p w14:paraId="512E16FF" w14:textId="77777777" w:rsidR="004A4713" w:rsidRDefault="00000000">
            <w:pPr>
              <w:spacing w:after="0"/>
            </w:pPr>
            <w:r>
              <w:rPr>
                <w:rFonts w:eastAsia="Aptos"/>
                <w:color w:val="1A1A1A"/>
              </w:rPr>
              <w:t>The whole reply is synthesized. Playback starts only after that clip is ready.</w:t>
            </w:r>
          </w:p>
        </w:tc>
      </w:tr>
      <w:tr w:rsidR="004A4713" w14:paraId="6EA477B4" w14:textId="77777777">
        <w:tc>
          <w:tcPr>
            <w:tcW w:w="1814" w:type="dxa"/>
            <w:tcBorders>
              <w:top w:val="single" w:sz="4" w:space="0" w:color="D0D7E2"/>
              <w:left w:val="single" w:sz="4" w:space="0" w:color="D0D7E2"/>
              <w:bottom w:val="single" w:sz="4" w:space="0" w:color="D0D7E2"/>
              <w:right w:val="single" w:sz="4" w:space="0" w:color="D0D7E2"/>
            </w:tcBorders>
            <w:shd w:val="clear" w:color="auto" w:fill="FFFFFF"/>
            <w:tcMar>
              <w:top w:w="70" w:type="dxa"/>
              <w:left w:w="110" w:type="dxa"/>
              <w:bottom w:w="70" w:type="dxa"/>
              <w:right w:w="110" w:type="dxa"/>
            </w:tcMar>
          </w:tcPr>
          <w:p w14:paraId="423944CC" w14:textId="77777777" w:rsidR="004A4713" w:rsidRDefault="00000000">
            <w:pPr>
              <w:spacing w:after="0"/>
            </w:pPr>
            <w:r>
              <w:rPr>
                <w:rFonts w:eastAsia="Aptos"/>
                <w:b/>
                <w:color w:val="1A1A1A"/>
              </w:rPr>
              <w:t>Version 7</w:t>
            </w:r>
          </w:p>
        </w:tc>
        <w:tc>
          <w:tcPr>
            <w:tcW w:w="8391" w:type="dxa"/>
            <w:tcBorders>
              <w:top w:val="single" w:sz="4" w:space="0" w:color="D0D7E2"/>
              <w:left w:val="single" w:sz="4" w:space="0" w:color="D0D7E2"/>
              <w:bottom w:val="single" w:sz="4" w:space="0" w:color="D0D7E2"/>
              <w:right w:val="single" w:sz="4" w:space="0" w:color="D0D7E2"/>
            </w:tcBorders>
            <w:shd w:val="clear" w:color="auto" w:fill="FFFFFF"/>
            <w:tcMar>
              <w:top w:w="70" w:type="dxa"/>
              <w:left w:w="110" w:type="dxa"/>
              <w:bottom w:w="70" w:type="dxa"/>
              <w:right w:w="110" w:type="dxa"/>
            </w:tcMar>
          </w:tcPr>
          <w:p w14:paraId="2A112425" w14:textId="77777777" w:rsidR="004A4713" w:rsidRDefault="00000000">
            <w:pPr>
              <w:spacing w:after="0"/>
            </w:pPr>
            <w:r>
              <w:rPr>
                <w:rFonts w:eastAsia="Aptos"/>
                <w:color w:val="1A1A1A"/>
              </w:rPr>
              <w:t>The first clause plays as soon as it is ready. The later clauses are prepared while that clause is being spoken.</w:t>
            </w:r>
          </w:p>
        </w:tc>
      </w:tr>
      <w:tr w:rsidR="004A4713" w14:paraId="0F3C259F" w14:textId="77777777">
        <w:tc>
          <w:tcPr>
            <w:tcW w:w="1814" w:type="dxa"/>
            <w:tcBorders>
              <w:top w:val="single" w:sz="4" w:space="0" w:color="C5D5C8"/>
              <w:left w:val="single" w:sz="4" w:space="0" w:color="C5D5C8"/>
              <w:bottom w:val="single" w:sz="4" w:space="0" w:color="C5D5C8"/>
              <w:right w:val="single" w:sz="4" w:space="0" w:color="C5D5C8"/>
            </w:tcBorders>
            <w:shd w:val="clear" w:color="auto" w:fill="E8F0EA"/>
            <w:tcMar>
              <w:top w:w="70" w:type="dxa"/>
              <w:left w:w="110" w:type="dxa"/>
              <w:bottom w:w="70" w:type="dxa"/>
              <w:right w:w="110" w:type="dxa"/>
            </w:tcMar>
          </w:tcPr>
          <w:p w14:paraId="3691338B" w14:textId="77777777" w:rsidR="004A4713" w:rsidRDefault="00000000">
            <w:pPr>
              <w:spacing w:after="0"/>
            </w:pPr>
            <w:r>
              <w:rPr>
                <w:rFonts w:eastAsia="Aptos"/>
                <w:b/>
                <w:color w:val="1F3A5F"/>
              </w:rPr>
              <w:t>Benefit</w:t>
            </w:r>
          </w:p>
        </w:tc>
        <w:tc>
          <w:tcPr>
            <w:tcW w:w="8391" w:type="dxa"/>
            <w:tcBorders>
              <w:top w:val="single" w:sz="4" w:space="0" w:color="C5D5C8"/>
              <w:left w:val="single" w:sz="4" w:space="0" w:color="C5D5C8"/>
              <w:bottom w:val="single" w:sz="4" w:space="0" w:color="C5D5C8"/>
              <w:right w:val="single" w:sz="4" w:space="0" w:color="C5D5C8"/>
            </w:tcBorders>
            <w:shd w:val="clear" w:color="auto" w:fill="E8F0EA"/>
            <w:tcMar>
              <w:top w:w="70" w:type="dxa"/>
              <w:left w:w="110" w:type="dxa"/>
              <w:bottom w:w="70" w:type="dxa"/>
              <w:right w:w="110" w:type="dxa"/>
            </w:tcMar>
          </w:tcPr>
          <w:p w14:paraId="7B733EC6" w14:textId="77777777" w:rsidR="004A4713" w:rsidRDefault="00000000">
            <w:pPr>
              <w:spacing w:after="0"/>
            </w:pPr>
            <w:r>
              <w:rPr>
                <w:rFonts w:eastAsia="Aptos"/>
                <w:b/>
                <w:color w:val="1F3A5F"/>
              </w:rPr>
              <w:t>Speech starts about 2 seconds sooner. The median wait before voice falls from 3.39 seconds to 1.26 seconds.</w:t>
            </w:r>
          </w:p>
        </w:tc>
      </w:tr>
    </w:tbl>
    <w:p w14:paraId="117C09A0" w14:textId="77777777" w:rsidR="004A4713" w:rsidRDefault="00000000">
      <w:pPr>
        <w:spacing w:before="200" w:after="40"/>
      </w:pPr>
      <w:r>
        <w:rPr>
          <w:rFonts w:eastAsia="Aptos"/>
          <w:b/>
          <w:color w:val="1F3A5F"/>
          <w:sz w:val="24"/>
        </w:rPr>
        <w:t>2   Known lines skip the model</w:t>
      </w:r>
    </w:p>
    <w:tbl>
      <w:tblPr>
        <w:tblW w:w="10206" w:type="dxa"/>
        <w:tblLayout w:type="fixed"/>
        <w:tblLook w:val="04A0" w:firstRow="1" w:lastRow="0" w:firstColumn="1" w:lastColumn="0" w:noHBand="0" w:noVBand="1"/>
      </w:tblPr>
      <w:tblGrid>
        <w:gridCol w:w="1814"/>
        <w:gridCol w:w="8392"/>
      </w:tblGrid>
      <w:tr w:rsidR="004A4713" w14:paraId="7AF86BD5" w14:textId="77777777">
        <w:tc>
          <w:tcPr>
            <w:tcW w:w="1814" w:type="dxa"/>
            <w:tcBorders>
              <w:top w:val="single" w:sz="4" w:space="0" w:color="D0D7E2"/>
              <w:left w:val="single" w:sz="4" w:space="0" w:color="D0D7E2"/>
              <w:bottom w:val="single" w:sz="4" w:space="0" w:color="D0D7E2"/>
              <w:right w:val="single" w:sz="4" w:space="0" w:color="D0D7E2"/>
            </w:tcBorders>
            <w:shd w:val="clear" w:color="auto" w:fill="F4F7FB"/>
            <w:tcMar>
              <w:top w:w="70" w:type="dxa"/>
              <w:left w:w="110" w:type="dxa"/>
              <w:bottom w:w="70" w:type="dxa"/>
              <w:right w:w="110" w:type="dxa"/>
            </w:tcMar>
          </w:tcPr>
          <w:p w14:paraId="5E89EFD4" w14:textId="77777777" w:rsidR="004A4713" w:rsidRDefault="00000000">
            <w:pPr>
              <w:spacing w:after="0"/>
            </w:pPr>
            <w:r>
              <w:rPr>
                <w:rFonts w:eastAsia="Aptos"/>
                <w:b/>
                <w:color w:val="1A1A1A"/>
              </w:rPr>
              <w:t>Version 6</w:t>
            </w:r>
          </w:p>
        </w:tc>
        <w:tc>
          <w:tcPr>
            <w:tcW w:w="8391" w:type="dxa"/>
            <w:tcBorders>
              <w:top w:val="single" w:sz="4" w:space="0" w:color="D0D7E2"/>
              <w:left w:val="single" w:sz="4" w:space="0" w:color="D0D7E2"/>
              <w:bottom w:val="single" w:sz="4" w:space="0" w:color="D0D7E2"/>
              <w:right w:val="single" w:sz="4" w:space="0" w:color="D0D7E2"/>
            </w:tcBorders>
            <w:shd w:val="clear" w:color="auto" w:fill="F4F7FB"/>
            <w:tcMar>
              <w:top w:w="70" w:type="dxa"/>
              <w:left w:w="110" w:type="dxa"/>
              <w:bottom w:w="70" w:type="dxa"/>
              <w:right w:w="110" w:type="dxa"/>
            </w:tcMar>
          </w:tcPr>
          <w:p w14:paraId="6CC27466" w14:textId="77777777" w:rsidR="004A4713" w:rsidRDefault="00000000">
            <w:pPr>
              <w:spacing w:after="0"/>
            </w:pPr>
            <w:r>
              <w:rPr>
                <w:rFonts w:eastAsia="Aptos"/>
                <w:color w:val="1A1A1A"/>
              </w:rPr>
              <w:t>The model is called on about half the turns: 8 of 15 across the three saved calls.</w:t>
            </w:r>
          </w:p>
        </w:tc>
      </w:tr>
      <w:tr w:rsidR="004A4713" w14:paraId="3921D9E8" w14:textId="77777777">
        <w:tc>
          <w:tcPr>
            <w:tcW w:w="1814" w:type="dxa"/>
            <w:tcBorders>
              <w:top w:val="single" w:sz="4" w:space="0" w:color="D0D7E2"/>
              <w:left w:val="single" w:sz="4" w:space="0" w:color="D0D7E2"/>
              <w:bottom w:val="single" w:sz="4" w:space="0" w:color="D0D7E2"/>
              <w:right w:val="single" w:sz="4" w:space="0" w:color="D0D7E2"/>
            </w:tcBorders>
            <w:shd w:val="clear" w:color="auto" w:fill="FFFFFF"/>
            <w:tcMar>
              <w:top w:w="70" w:type="dxa"/>
              <w:left w:w="110" w:type="dxa"/>
              <w:bottom w:w="70" w:type="dxa"/>
              <w:right w:w="110" w:type="dxa"/>
            </w:tcMar>
          </w:tcPr>
          <w:p w14:paraId="274DB11C" w14:textId="77777777" w:rsidR="004A4713" w:rsidRDefault="00000000">
            <w:pPr>
              <w:spacing w:after="0"/>
            </w:pPr>
            <w:r>
              <w:rPr>
                <w:rFonts w:eastAsia="Aptos"/>
                <w:b/>
                <w:color w:val="1A1A1A"/>
              </w:rPr>
              <w:t>Version 7</w:t>
            </w:r>
          </w:p>
        </w:tc>
        <w:tc>
          <w:tcPr>
            <w:tcW w:w="8391" w:type="dxa"/>
            <w:tcBorders>
              <w:top w:val="single" w:sz="4" w:space="0" w:color="D0D7E2"/>
              <w:left w:val="single" w:sz="4" w:space="0" w:color="D0D7E2"/>
              <w:bottom w:val="single" w:sz="4" w:space="0" w:color="D0D7E2"/>
              <w:right w:val="single" w:sz="4" w:space="0" w:color="D0D7E2"/>
            </w:tcBorders>
            <w:shd w:val="clear" w:color="auto" w:fill="FFFFFF"/>
            <w:tcMar>
              <w:top w:w="70" w:type="dxa"/>
              <w:left w:w="110" w:type="dxa"/>
              <w:bottom w:w="70" w:type="dxa"/>
              <w:right w:w="110" w:type="dxa"/>
            </w:tcMar>
          </w:tcPr>
          <w:p w14:paraId="6A9033D8" w14:textId="77777777" w:rsidR="004A4713" w:rsidRDefault="00000000">
            <w:pPr>
              <w:spacing w:after="0"/>
            </w:pPr>
            <w:r>
              <w:rPr>
                <w:rFonts w:eastAsia="Aptos"/>
                <w:color w:val="1A1A1A"/>
              </w:rPr>
              <w:t>The greeting, the configuration question, an open answer, and the visit line are spoken from a fixed line. The model is used when the reply is not already known.</w:t>
            </w:r>
          </w:p>
        </w:tc>
      </w:tr>
      <w:tr w:rsidR="004A4713" w14:paraId="463BE820" w14:textId="77777777">
        <w:tc>
          <w:tcPr>
            <w:tcW w:w="1814" w:type="dxa"/>
            <w:tcBorders>
              <w:top w:val="single" w:sz="4" w:space="0" w:color="C5D5C8"/>
              <w:left w:val="single" w:sz="4" w:space="0" w:color="C5D5C8"/>
              <w:bottom w:val="single" w:sz="4" w:space="0" w:color="C5D5C8"/>
              <w:right w:val="single" w:sz="4" w:space="0" w:color="C5D5C8"/>
            </w:tcBorders>
            <w:shd w:val="clear" w:color="auto" w:fill="E8F0EA"/>
            <w:tcMar>
              <w:top w:w="70" w:type="dxa"/>
              <w:left w:w="110" w:type="dxa"/>
              <w:bottom w:w="70" w:type="dxa"/>
              <w:right w:w="110" w:type="dxa"/>
            </w:tcMar>
          </w:tcPr>
          <w:p w14:paraId="62B17D75" w14:textId="77777777" w:rsidR="004A4713" w:rsidRDefault="00000000">
            <w:pPr>
              <w:spacing w:after="0"/>
            </w:pPr>
            <w:r>
              <w:rPr>
                <w:rFonts w:eastAsia="Aptos"/>
                <w:b/>
                <w:color w:val="1F3A5F"/>
              </w:rPr>
              <w:t>Benefit</w:t>
            </w:r>
          </w:p>
        </w:tc>
        <w:tc>
          <w:tcPr>
            <w:tcW w:w="8391" w:type="dxa"/>
            <w:tcBorders>
              <w:top w:val="single" w:sz="4" w:space="0" w:color="C5D5C8"/>
              <w:left w:val="single" w:sz="4" w:space="0" w:color="C5D5C8"/>
              <w:bottom w:val="single" w:sz="4" w:space="0" w:color="C5D5C8"/>
              <w:right w:val="single" w:sz="4" w:space="0" w:color="C5D5C8"/>
            </w:tcBorders>
            <w:shd w:val="clear" w:color="auto" w:fill="E8F0EA"/>
            <w:tcMar>
              <w:top w:w="70" w:type="dxa"/>
              <w:left w:w="110" w:type="dxa"/>
              <w:bottom w:w="70" w:type="dxa"/>
              <w:right w:w="110" w:type="dxa"/>
            </w:tcMar>
          </w:tcPr>
          <w:p w14:paraId="4E26EC16" w14:textId="77777777" w:rsidR="004A4713" w:rsidRDefault="00000000">
            <w:pPr>
              <w:spacing w:after="0"/>
            </w:pPr>
            <w:r>
              <w:rPr>
                <w:rFonts w:eastAsia="Aptos"/>
                <w:b/>
                <w:color w:val="1F3A5F"/>
              </w:rPr>
              <w:t>Those turns have no model wait. The 5:45 PM call called the model once in four turns. The 5:35 PM call called it three times in twelve.</w:t>
            </w:r>
          </w:p>
        </w:tc>
      </w:tr>
    </w:tbl>
    <w:p w14:paraId="0344EF31" w14:textId="77777777" w:rsidR="004A4713" w:rsidRDefault="00000000">
      <w:pPr>
        <w:spacing w:before="200" w:after="40"/>
      </w:pPr>
      <w:r>
        <w:rPr>
          <w:rFonts w:eastAsia="Aptos"/>
          <w:b/>
          <w:color w:val="1F3A5F"/>
          <w:sz w:val="24"/>
        </w:rPr>
        <w:t>3   The call can close</w:t>
      </w:r>
    </w:p>
    <w:tbl>
      <w:tblPr>
        <w:tblW w:w="10206" w:type="dxa"/>
        <w:tblLayout w:type="fixed"/>
        <w:tblLook w:val="04A0" w:firstRow="1" w:lastRow="0" w:firstColumn="1" w:lastColumn="0" w:noHBand="0" w:noVBand="1"/>
      </w:tblPr>
      <w:tblGrid>
        <w:gridCol w:w="1814"/>
        <w:gridCol w:w="8392"/>
      </w:tblGrid>
      <w:tr w:rsidR="004A4713" w14:paraId="58FB2295" w14:textId="77777777">
        <w:tc>
          <w:tcPr>
            <w:tcW w:w="1814" w:type="dxa"/>
            <w:tcBorders>
              <w:top w:val="single" w:sz="4" w:space="0" w:color="D0D7E2"/>
              <w:left w:val="single" w:sz="4" w:space="0" w:color="D0D7E2"/>
              <w:bottom w:val="single" w:sz="4" w:space="0" w:color="D0D7E2"/>
              <w:right w:val="single" w:sz="4" w:space="0" w:color="D0D7E2"/>
            </w:tcBorders>
            <w:shd w:val="clear" w:color="auto" w:fill="F4F7FB"/>
            <w:tcMar>
              <w:top w:w="70" w:type="dxa"/>
              <w:left w:w="110" w:type="dxa"/>
              <w:bottom w:w="70" w:type="dxa"/>
              <w:right w:w="110" w:type="dxa"/>
            </w:tcMar>
          </w:tcPr>
          <w:p w14:paraId="0698DCEF" w14:textId="77777777" w:rsidR="004A4713" w:rsidRDefault="00000000">
            <w:pPr>
              <w:spacing w:after="0"/>
            </w:pPr>
            <w:r>
              <w:rPr>
                <w:rFonts w:eastAsia="Aptos"/>
                <w:b/>
                <w:color w:val="1A1A1A"/>
              </w:rPr>
              <w:t>Version 6</w:t>
            </w:r>
          </w:p>
        </w:tc>
        <w:tc>
          <w:tcPr>
            <w:tcW w:w="8391" w:type="dxa"/>
            <w:tcBorders>
              <w:top w:val="single" w:sz="4" w:space="0" w:color="D0D7E2"/>
              <w:left w:val="single" w:sz="4" w:space="0" w:color="D0D7E2"/>
              <w:bottom w:val="single" w:sz="4" w:space="0" w:color="D0D7E2"/>
              <w:right w:val="single" w:sz="4" w:space="0" w:color="D0D7E2"/>
            </w:tcBorders>
            <w:shd w:val="clear" w:color="auto" w:fill="F4F7FB"/>
            <w:tcMar>
              <w:top w:w="70" w:type="dxa"/>
              <w:left w:w="110" w:type="dxa"/>
              <w:bottom w:w="70" w:type="dxa"/>
              <w:right w:w="110" w:type="dxa"/>
            </w:tcMar>
          </w:tcPr>
          <w:p w14:paraId="31605DCC" w14:textId="77777777" w:rsidR="004A4713" w:rsidRDefault="00000000">
            <w:pPr>
              <w:spacing w:after="0"/>
            </w:pPr>
            <w:r>
              <w:rPr>
                <w:rFonts w:eastAsia="Aptos"/>
                <w:color w:val="1A1A1A"/>
              </w:rPr>
              <w:t>Finishing one topic often produced another question. A no to the project could still be followed by a new offer.</w:t>
            </w:r>
          </w:p>
        </w:tc>
      </w:tr>
      <w:tr w:rsidR="004A4713" w14:paraId="72112DF1" w14:textId="77777777">
        <w:tc>
          <w:tcPr>
            <w:tcW w:w="1814" w:type="dxa"/>
            <w:tcBorders>
              <w:top w:val="single" w:sz="4" w:space="0" w:color="D0D7E2"/>
              <w:left w:val="single" w:sz="4" w:space="0" w:color="D0D7E2"/>
              <w:bottom w:val="single" w:sz="4" w:space="0" w:color="D0D7E2"/>
              <w:right w:val="single" w:sz="4" w:space="0" w:color="D0D7E2"/>
            </w:tcBorders>
            <w:shd w:val="clear" w:color="auto" w:fill="FFFFFF"/>
            <w:tcMar>
              <w:top w:w="70" w:type="dxa"/>
              <w:left w:w="110" w:type="dxa"/>
              <w:bottom w:w="70" w:type="dxa"/>
              <w:right w:w="110" w:type="dxa"/>
            </w:tcMar>
          </w:tcPr>
          <w:p w14:paraId="356A83A9" w14:textId="77777777" w:rsidR="004A4713" w:rsidRDefault="00000000">
            <w:pPr>
              <w:spacing w:after="0"/>
            </w:pPr>
            <w:r>
              <w:rPr>
                <w:rFonts w:eastAsia="Aptos"/>
                <w:b/>
                <w:color w:val="1A1A1A"/>
              </w:rPr>
              <w:t>Version 7</w:t>
            </w:r>
          </w:p>
        </w:tc>
        <w:tc>
          <w:tcPr>
            <w:tcW w:w="8391" w:type="dxa"/>
            <w:tcBorders>
              <w:top w:val="single" w:sz="4" w:space="0" w:color="D0D7E2"/>
              <w:left w:val="single" w:sz="4" w:space="0" w:color="D0D7E2"/>
              <w:bottom w:val="single" w:sz="4" w:space="0" w:color="D0D7E2"/>
              <w:right w:val="single" w:sz="4" w:space="0" w:color="D0D7E2"/>
            </w:tcBorders>
            <w:shd w:val="clear" w:color="auto" w:fill="FFFFFF"/>
            <w:tcMar>
              <w:top w:w="70" w:type="dxa"/>
              <w:left w:w="110" w:type="dxa"/>
              <w:bottom w:w="70" w:type="dxa"/>
              <w:right w:w="110" w:type="dxa"/>
            </w:tcMar>
          </w:tcPr>
          <w:p w14:paraId="5249BE2A" w14:textId="77777777" w:rsidR="004A4713" w:rsidRDefault="00000000">
            <w:pPr>
              <w:spacing w:after="0"/>
            </w:pPr>
            <w:r>
              <w:rPr>
                <w:rFonts w:eastAsia="Aptos"/>
                <w:color w:val="1A1A1A"/>
              </w:rPr>
              <w:t>A no to configuration or size can still hear the visit once. A no to the project, a deferred visit, or “I don’t need any details” is one goodbye and no further question. A yes to highlights arranges the details. It does not book a day.</w:t>
            </w:r>
          </w:p>
        </w:tc>
      </w:tr>
      <w:tr w:rsidR="004A4713" w14:paraId="291D82CC" w14:textId="77777777">
        <w:tc>
          <w:tcPr>
            <w:tcW w:w="1814" w:type="dxa"/>
            <w:tcBorders>
              <w:top w:val="single" w:sz="4" w:space="0" w:color="C5D5C8"/>
              <w:left w:val="single" w:sz="4" w:space="0" w:color="C5D5C8"/>
              <w:bottom w:val="single" w:sz="4" w:space="0" w:color="C5D5C8"/>
              <w:right w:val="single" w:sz="4" w:space="0" w:color="C5D5C8"/>
            </w:tcBorders>
            <w:shd w:val="clear" w:color="auto" w:fill="E8F0EA"/>
            <w:tcMar>
              <w:top w:w="70" w:type="dxa"/>
              <w:left w:w="110" w:type="dxa"/>
              <w:bottom w:w="70" w:type="dxa"/>
              <w:right w:w="110" w:type="dxa"/>
            </w:tcMar>
          </w:tcPr>
          <w:p w14:paraId="181C6AD8" w14:textId="77777777" w:rsidR="004A4713" w:rsidRDefault="00000000">
            <w:pPr>
              <w:spacing w:after="0"/>
            </w:pPr>
            <w:r>
              <w:rPr>
                <w:rFonts w:eastAsia="Aptos"/>
                <w:b/>
                <w:color w:val="1F3A5F"/>
              </w:rPr>
              <w:t>Benefit</w:t>
            </w:r>
          </w:p>
        </w:tc>
        <w:tc>
          <w:tcPr>
            <w:tcW w:w="8391" w:type="dxa"/>
            <w:tcBorders>
              <w:top w:val="single" w:sz="4" w:space="0" w:color="C5D5C8"/>
              <w:left w:val="single" w:sz="4" w:space="0" w:color="C5D5C8"/>
              <w:bottom w:val="single" w:sz="4" w:space="0" w:color="C5D5C8"/>
              <w:right w:val="single" w:sz="4" w:space="0" w:color="C5D5C8"/>
            </w:tcBorders>
            <w:shd w:val="clear" w:color="auto" w:fill="E8F0EA"/>
            <w:tcMar>
              <w:top w:w="70" w:type="dxa"/>
              <w:left w:w="110" w:type="dxa"/>
              <w:bottom w:w="70" w:type="dxa"/>
              <w:right w:w="110" w:type="dxa"/>
            </w:tcMar>
          </w:tcPr>
          <w:p w14:paraId="153B905A" w14:textId="77777777" w:rsidR="004A4713" w:rsidRDefault="00000000">
            <w:pPr>
              <w:spacing w:after="0"/>
            </w:pPr>
            <w:r>
              <w:rPr>
                <w:rFonts w:eastAsia="Aptos"/>
                <w:b/>
                <w:color w:val="1F3A5F"/>
              </w:rPr>
              <w:t>The 4:58 PM call was still choosing a day after 13 turns. The 5:45 PM call has no repeated question and no early visit.</w:t>
            </w:r>
          </w:p>
        </w:tc>
      </w:tr>
    </w:tbl>
    <w:p w14:paraId="6C2F8521" w14:textId="77777777" w:rsidR="004A4713" w:rsidRDefault="00000000">
      <w:pPr>
        <w:spacing w:before="200" w:after="0" w:line="259" w:lineRule="auto"/>
      </w:pPr>
      <w:r>
        <w:rPr>
          <w:rFonts w:eastAsia="Aptos"/>
          <w:i/>
          <w:color w:val="4A4A4A"/>
          <w:sz w:val="20"/>
        </w:rPr>
        <w:t>The Version 7 voice time is the moment Ishita starts, not the time to finish every later clause. Version 6’s voice time is the full clip before playback. Speech to text is the same path in both.</w:t>
      </w:r>
    </w:p>
    <w:p w14:paraId="76132597" w14:textId="77777777" w:rsidR="004A4713" w:rsidRDefault="00000000">
      <w:r>
        <w:br w:type="page"/>
      </w:r>
    </w:p>
    <w:p w14:paraId="5796138E" w14:textId="77777777" w:rsidR="004A4713" w:rsidRDefault="00000000">
      <w:pPr>
        <w:spacing w:after="80"/>
      </w:pPr>
      <w:r>
        <w:rPr>
          <w:rFonts w:eastAsia="Aptos"/>
          <w:b/>
          <w:color w:val="1F3A5F"/>
          <w:sz w:val="28"/>
        </w:rPr>
        <w:lastRenderedPageBreak/>
        <w:t>The latency benefit</w:t>
      </w:r>
    </w:p>
    <w:p w14:paraId="3379189C" w14:textId="77777777" w:rsidR="004A4713" w:rsidRDefault="00000000">
      <w:pPr>
        <w:spacing w:after="120" w:line="259" w:lineRule="auto"/>
      </w:pPr>
      <w:r>
        <w:rPr>
          <w:rFonts w:eastAsia="Aptos"/>
          <w:color w:val="1A1A1A"/>
        </w:rPr>
        <w:t>Medians from every saved turn. The mean is in parentheses. Times are seconds.</w:t>
      </w:r>
    </w:p>
    <w:tbl>
      <w:tblPr>
        <w:tblW w:w="10206" w:type="dxa"/>
        <w:jc w:val="center"/>
        <w:tblLayout w:type="fixed"/>
        <w:tblLook w:val="04A0" w:firstRow="1" w:lastRow="0" w:firstColumn="1" w:lastColumn="0" w:noHBand="0" w:noVBand="1"/>
      </w:tblPr>
      <w:tblGrid>
        <w:gridCol w:w="3063"/>
        <w:gridCol w:w="1871"/>
        <w:gridCol w:w="1587"/>
        <w:gridCol w:w="1814"/>
        <w:gridCol w:w="1871"/>
      </w:tblGrid>
      <w:tr w:rsidR="004A4713" w14:paraId="1FA08C68" w14:textId="77777777">
        <w:trPr>
          <w:jc w:val="center"/>
        </w:trPr>
        <w:tc>
          <w:tcPr>
            <w:tcW w:w="3061" w:type="dxa"/>
            <w:tcBorders>
              <w:top w:val="single" w:sz="4" w:space="0" w:color="D0D7E2"/>
              <w:left w:val="single" w:sz="4" w:space="0" w:color="D0D7E2"/>
              <w:bottom w:val="single" w:sz="4" w:space="0" w:color="D0D7E2"/>
              <w:right w:val="single" w:sz="4" w:space="0" w:color="D0D7E2"/>
            </w:tcBorders>
            <w:shd w:val="clear" w:color="auto" w:fill="1F3A5F"/>
            <w:tcMar>
              <w:top w:w="60" w:type="dxa"/>
              <w:left w:w="100" w:type="dxa"/>
              <w:bottom w:w="60" w:type="dxa"/>
              <w:right w:w="100" w:type="dxa"/>
            </w:tcMar>
          </w:tcPr>
          <w:p w14:paraId="47B1F356" w14:textId="77777777" w:rsidR="004A4713" w:rsidRDefault="004A4713">
            <w:pPr>
              <w:spacing w:after="0"/>
            </w:pPr>
          </w:p>
        </w:tc>
        <w:tc>
          <w:tcPr>
            <w:tcW w:w="1871" w:type="dxa"/>
            <w:tcBorders>
              <w:top w:val="single" w:sz="4" w:space="0" w:color="D0D7E2"/>
              <w:left w:val="single" w:sz="4" w:space="0" w:color="D0D7E2"/>
              <w:bottom w:val="single" w:sz="4" w:space="0" w:color="D0D7E2"/>
              <w:right w:val="single" w:sz="4" w:space="0" w:color="D0D7E2"/>
            </w:tcBorders>
            <w:shd w:val="clear" w:color="auto" w:fill="1F3A5F"/>
            <w:tcMar>
              <w:top w:w="60" w:type="dxa"/>
              <w:left w:w="100" w:type="dxa"/>
              <w:bottom w:w="60" w:type="dxa"/>
              <w:right w:w="100" w:type="dxa"/>
            </w:tcMar>
          </w:tcPr>
          <w:p w14:paraId="10D0FBD8" w14:textId="77777777" w:rsidR="004A4713" w:rsidRDefault="00000000">
            <w:pPr>
              <w:spacing w:after="0"/>
            </w:pPr>
            <w:r>
              <w:rPr>
                <w:rFonts w:eastAsia="Aptos"/>
                <w:b/>
                <w:color w:val="FFFFFF"/>
                <w:sz w:val="20"/>
              </w:rPr>
              <w:t>Speech to text</w:t>
            </w:r>
          </w:p>
        </w:tc>
        <w:tc>
          <w:tcPr>
            <w:tcW w:w="1587" w:type="dxa"/>
            <w:tcBorders>
              <w:top w:val="single" w:sz="4" w:space="0" w:color="D0D7E2"/>
              <w:left w:val="single" w:sz="4" w:space="0" w:color="D0D7E2"/>
              <w:bottom w:val="single" w:sz="4" w:space="0" w:color="D0D7E2"/>
              <w:right w:val="single" w:sz="4" w:space="0" w:color="D0D7E2"/>
            </w:tcBorders>
            <w:shd w:val="clear" w:color="auto" w:fill="1F3A5F"/>
            <w:tcMar>
              <w:top w:w="60" w:type="dxa"/>
              <w:left w:w="100" w:type="dxa"/>
              <w:bottom w:w="60" w:type="dxa"/>
              <w:right w:w="100" w:type="dxa"/>
            </w:tcMar>
          </w:tcPr>
          <w:p w14:paraId="3C5A3987" w14:textId="77777777" w:rsidR="004A4713" w:rsidRDefault="00000000">
            <w:pPr>
              <w:spacing w:after="0"/>
            </w:pPr>
            <w:r>
              <w:rPr>
                <w:rFonts w:eastAsia="Aptos"/>
                <w:b/>
                <w:color w:val="FFFFFF"/>
                <w:sz w:val="20"/>
              </w:rPr>
              <w:t>Model</w:t>
            </w:r>
          </w:p>
        </w:tc>
        <w:tc>
          <w:tcPr>
            <w:tcW w:w="1814" w:type="dxa"/>
            <w:tcBorders>
              <w:top w:val="single" w:sz="4" w:space="0" w:color="D0D7E2"/>
              <w:left w:val="single" w:sz="4" w:space="0" w:color="D0D7E2"/>
              <w:bottom w:val="single" w:sz="4" w:space="0" w:color="D0D7E2"/>
              <w:right w:val="single" w:sz="4" w:space="0" w:color="D0D7E2"/>
            </w:tcBorders>
            <w:shd w:val="clear" w:color="auto" w:fill="1F3A5F"/>
            <w:tcMar>
              <w:top w:w="60" w:type="dxa"/>
              <w:left w:w="100" w:type="dxa"/>
              <w:bottom w:w="60" w:type="dxa"/>
              <w:right w:w="100" w:type="dxa"/>
            </w:tcMar>
          </w:tcPr>
          <w:p w14:paraId="6C5DC263" w14:textId="77777777" w:rsidR="004A4713" w:rsidRDefault="00000000">
            <w:pPr>
              <w:spacing w:after="0"/>
            </w:pPr>
            <w:r>
              <w:rPr>
                <w:rFonts w:eastAsia="Aptos"/>
                <w:b/>
                <w:color w:val="FFFFFF"/>
                <w:sz w:val="20"/>
              </w:rPr>
              <w:t>Voice</w:t>
            </w:r>
          </w:p>
        </w:tc>
        <w:tc>
          <w:tcPr>
            <w:tcW w:w="1871" w:type="dxa"/>
            <w:tcBorders>
              <w:top w:val="single" w:sz="4" w:space="0" w:color="D0D7E2"/>
              <w:left w:val="single" w:sz="4" w:space="0" w:color="D0D7E2"/>
              <w:bottom w:val="single" w:sz="4" w:space="0" w:color="D0D7E2"/>
              <w:right w:val="single" w:sz="4" w:space="0" w:color="D0D7E2"/>
            </w:tcBorders>
            <w:shd w:val="clear" w:color="auto" w:fill="1F3A5F"/>
            <w:tcMar>
              <w:top w:w="60" w:type="dxa"/>
              <w:left w:w="100" w:type="dxa"/>
              <w:bottom w:w="60" w:type="dxa"/>
              <w:right w:w="100" w:type="dxa"/>
            </w:tcMar>
          </w:tcPr>
          <w:p w14:paraId="63F741B4" w14:textId="77777777" w:rsidR="004A4713" w:rsidRDefault="00000000">
            <w:pPr>
              <w:spacing w:after="0"/>
            </w:pPr>
            <w:r>
              <w:rPr>
                <w:rFonts w:eastAsia="Aptos"/>
                <w:b/>
                <w:color w:val="FFFFFF"/>
                <w:sz w:val="20"/>
              </w:rPr>
              <w:t>Whole turn</w:t>
            </w:r>
          </w:p>
        </w:tc>
      </w:tr>
      <w:tr w:rsidR="004A4713" w14:paraId="2861E22E" w14:textId="77777777">
        <w:trPr>
          <w:jc w:val="center"/>
        </w:trPr>
        <w:tc>
          <w:tcPr>
            <w:tcW w:w="3061" w:type="dxa"/>
            <w:tcBorders>
              <w:top w:val="single" w:sz="4" w:space="0" w:color="D0D7E2"/>
              <w:left w:val="single" w:sz="4" w:space="0" w:color="D0D7E2"/>
              <w:bottom w:val="single" w:sz="4" w:space="0" w:color="D0D7E2"/>
              <w:right w:val="single" w:sz="4" w:space="0" w:color="D0D7E2"/>
            </w:tcBorders>
            <w:shd w:val="clear" w:color="auto" w:fill="F4F7FB"/>
            <w:tcMar>
              <w:top w:w="60" w:type="dxa"/>
              <w:left w:w="100" w:type="dxa"/>
              <w:bottom w:w="60" w:type="dxa"/>
              <w:right w:w="100" w:type="dxa"/>
            </w:tcMar>
          </w:tcPr>
          <w:p w14:paraId="6D37287A" w14:textId="77777777" w:rsidR="004A4713" w:rsidRDefault="00000000">
            <w:pPr>
              <w:spacing w:after="0"/>
            </w:pPr>
            <w:r>
              <w:rPr>
                <w:rFonts w:eastAsia="Aptos"/>
                <w:b/>
                <w:color w:val="1A1A1A"/>
                <w:sz w:val="20"/>
              </w:rPr>
              <w:t>Version 6, all calls</w:t>
            </w:r>
          </w:p>
        </w:tc>
        <w:tc>
          <w:tcPr>
            <w:tcW w:w="1871" w:type="dxa"/>
            <w:tcBorders>
              <w:top w:val="single" w:sz="4" w:space="0" w:color="D0D7E2"/>
              <w:left w:val="single" w:sz="4" w:space="0" w:color="D0D7E2"/>
              <w:bottom w:val="single" w:sz="4" w:space="0" w:color="D0D7E2"/>
              <w:right w:val="single" w:sz="4" w:space="0" w:color="D0D7E2"/>
            </w:tcBorders>
            <w:shd w:val="clear" w:color="auto" w:fill="F4F7FB"/>
            <w:tcMar>
              <w:top w:w="60" w:type="dxa"/>
              <w:left w:w="100" w:type="dxa"/>
              <w:bottom w:w="60" w:type="dxa"/>
              <w:right w:w="100" w:type="dxa"/>
            </w:tcMar>
          </w:tcPr>
          <w:p w14:paraId="7818C116" w14:textId="77777777" w:rsidR="004A4713" w:rsidRDefault="00000000">
            <w:pPr>
              <w:spacing w:after="0"/>
            </w:pPr>
            <w:r>
              <w:rPr>
                <w:rFonts w:eastAsia="Aptos"/>
                <w:color w:val="1A1A1A"/>
                <w:sz w:val="20"/>
              </w:rPr>
              <w:t>1.03 (1.14)</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Mar>
              <w:top w:w="60" w:type="dxa"/>
              <w:left w:w="100" w:type="dxa"/>
              <w:bottom w:w="60" w:type="dxa"/>
              <w:right w:w="100" w:type="dxa"/>
            </w:tcMar>
          </w:tcPr>
          <w:p w14:paraId="68B45111" w14:textId="77777777" w:rsidR="004A4713" w:rsidRDefault="00000000">
            <w:pPr>
              <w:spacing w:after="0"/>
            </w:pPr>
            <w:r>
              <w:rPr>
                <w:rFonts w:eastAsia="Aptos"/>
                <w:color w:val="1A1A1A"/>
                <w:sz w:val="20"/>
              </w:rPr>
              <w:t>0.84 (0.86)</w:t>
            </w:r>
          </w:p>
        </w:tc>
        <w:tc>
          <w:tcPr>
            <w:tcW w:w="1814" w:type="dxa"/>
            <w:tcBorders>
              <w:top w:val="single" w:sz="4" w:space="0" w:color="D0D7E2"/>
              <w:left w:val="single" w:sz="4" w:space="0" w:color="D0D7E2"/>
              <w:bottom w:val="single" w:sz="4" w:space="0" w:color="D0D7E2"/>
              <w:right w:val="single" w:sz="4" w:space="0" w:color="D0D7E2"/>
            </w:tcBorders>
            <w:shd w:val="clear" w:color="auto" w:fill="F4F7FB"/>
            <w:tcMar>
              <w:top w:w="60" w:type="dxa"/>
              <w:left w:w="100" w:type="dxa"/>
              <w:bottom w:w="60" w:type="dxa"/>
              <w:right w:w="100" w:type="dxa"/>
            </w:tcMar>
          </w:tcPr>
          <w:p w14:paraId="6896DE8D" w14:textId="77777777" w:rsidR="004A4713" w:rsidRDefault="00000000">
            <w:pPr>
              <w:spacing w:after="0"/>
            </w:pPr>
            <w:r>
              <w:rPr>
                <w:rFonts w:eastAsia="Aptos"/>
                <w:color w:val="1A1A1A"/>
                <w:sz w:val="20"/>
              </w:rPr>
              <w:t>3.39 (5.02)</w:t>
            </w:r>
          </w:p>
        </w:tc>
        <w:tc>
          <w:tcPr>
            <w:tcW w:w="1871" w:type="dxa"/>
            <w:tcBorders>
              <w:top w:val="single" w:sz="4" w:space="0" w:color="D0D7E2"/>
              <w:left w:val="single" w:sz="4" w:space="0" w:color="D0D7E2"/>
              <w:bottom w:val="single" w:sz="4" w:space="0" w:color="D0D7E2"/>
              <w:right w:val="single" w:sz="4" w:space="0" w:color="D0D7E2"/>
            </w:tcBorders>
            <w:shd w:val="clear" w:color="auto" w:fill="F4F7FB"/>
            <w:tcMar>
              <w:top w:w="60" w:type="dxa"/>
              <w:left w:w="100" w:type="dxa"/>
              <w:bottom w:w="60" w:type="dxa"/>
              <w:right w:w="100" w:type="dxa"/>
            </w:tcMar>
          </w:tcPr>
          <w:p w14:paraId="7EE4BE35" w14:textId="77777777" w:rsidR="004A4713" w:rsidRDefault="00000000">
            <w:pPr>
              <w:spacing w:after="0"/>
            </w:pPr>
            <w:r>
              <w:rPr>
                <w:rFonts w:eastAsia="Aptos"/>
                <w:color w:val="1A1A1A"/>
                <w:sz w:val="20"/>
              </w:rPr>
              <w:t>4.58 (6.39)</w:t>
            </w:r>
          </w:p>
        </w:tc>
      </w:tr>
      <w:tr w:rsidR="004A4713" w14:paraId="2DE3C39B" w14:textId="77777777">
        <w:trPr>
          <w:jc w:val="center"/>
        </w:trPr>
        <w:tc>
          <w:tcPr>
            <w:tcW w:w="3061" w:type="dxa"/>
            <w:tcBorders>
              <w:top w:val="single" w:sz="4" w:space="0" w:color="D0D7E2"/>
              <w:left w:val="single" w:sz="4" w:space="0" w:color="D0D7E2"/>
              <w:bottom w:val="single" w:sz="4" w:space="0" w:color="D0D7E2"/>
              <w:right w:val="single" w:sz="4" w:space="0" w:color="D0D7E2"/>
            </w:tcBorders>
            <w:shd w:val="clear" w:color="auto" w:fill="FFFFFF"/>
            <w:tcMar>
              <w:top w:w="60" w:type="dxa"/>
              <w:left w:w="100" w:type="dxa"/>
              <w:bottom w:w="60" w:type="dxa"/>
              <w:right w:w="100" w:type="dxa"/>
            </w:tcMar>
          </w:tcPr>
          <w:p w14:paraId="4E2EB9FB" w14:textId="77777777" w:rsidR="004A4713" w:rsidRDefault="00000000">
            <w:pPr>
              <w:spacing w:after="0"/>
            </w:pPr>
            <w:r>
              <w:rPr>
                <w:rFonts w:eastAsia="Aptos"/>
                <w:b/>
                <w:color w:val="1A1A1A"/>
                <w:sz w:val="20"/>
              </w:rPr>
              <w:t>Version 7, all calls</w:t>
            </w:r>
          </w:p>
        </w:tc>
        <w:tc>
          <w:tcPr>
            <w:tcW w:w="1871" w:type="dxa"/>
            <w:tcBorders>
              <w:top w:val="single" w:sz="4" w:space="0" w:color="D0D7E2"/>
              <w:left w:val="single" w:sz="4" w:space="0" w:color="D0D7E2"/>
              <w:bottom w:val="single" w:sz="4" w:space="0" w:color="D0D7E2"/>
              <w:right w:val="single" w:sz="4" w:space="0" w:color="D0D7E2"/>
            </w:tcBorders>
            <w:shd w:val="clear" w:color="auto" w:fill="FFFFFF"/>
            <w:tcMar>
              <w:top w:w="60" w:type="dxa"/>
              <w:left w:w="100" w:type="dxa"/>
              <w:bottom w:w="60" w:type="dxa"/>
              <w:right w:w="100" w:type="dxa"/>
            </w:tcMar>
          </w:tcPr>
          <w:p w14:paraId="71A19FA8" w14:textId="77777777" w:rsidR="004A4713" w:rsidRDefault="00000000">
            <w:pPr>
              <w:spacing w:after="0"/>
            </w:pPr>
            <w:r>
              <w:rPr>
                <w:rFonts w:eastAsia="Aptos"/>
                <w:color w:val="1A1A1A"/>
                <w:sz w:val="20"/>
              </w:rPr>
              <w:t>0.89 (0.90)</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Mar>
              <w:top w:w="60" w:type="dxa"/>
              <w:left w:w="100" w:type="dxa"/>
              <w:bottom w:w="60" w:type="dxa"/>
              <w:right w:w="100" w:type="dxa"/>
            </w:tcMar>
          </w:tcPr>
          <w:p w14:paraId="6076E930" w14:textId="77777777" w:rsidR="004A4713" w:rsidRDefault="00000000">
            <w:pPr>
              <w:spacing w:after="0"/>
            </w:pPr>
            <w:r>
              <w:rPr>
                <w:rFonts w:eastAsia="Aptos"/>
                <w:color w:val="1A1A1A"/>
                <w:sz w:val="20"/>
              </w:rPr>
              <w:t>0.80 (0.84)</w:t>
            </w:r>
          </w:p>
        </w:tc>
        <w:tc>
          <w:tcPr>
            <w:tcW w:w="1814" w:type="dxa"/>
            <w:tcBorders>
              <w:top w:val="single" w:sz="4" w:space="0" w:color="D0D7E2"/>
              <w:left w:val="single" w:sz="4" w:space="0" w:color="D0D7E2"/>
              <w:bottom w:val="single" w:sz="4" w:space="0" w:color="D0D7E2"/>
              <w:right w:val="single" w:sz="4" w:space="0" w:color="D0D7E2"/>
            </w:tcBorders>
            <w:shd w:val="clear" w:color="auto" w:fill="FFFFFF"/>
            <w:tcMar>
              <w:top w:w="60" w:type="dxa"/>
              <w:left w:w="100" w:type="dxa"/>
              <w:bottom w:w="60" w:type="dxa"/>
              <w:right w:w="100" w:type="dxa"/>
            </w:tcMar>
          </w:tcPr>
          <w:p w14:paraId="4CDCCBB3" w14:textId="77777777" w:rsidR="004A4713" w:rsidRDefault="00000000">
            <w:pPr>
              <w:spacing w:after="0"/>
            </w:pPr>
            <w:r>
              <w:rPr>
                <w:rFonts w:eastAsia="Aptos"/>
                <w:color w:val="1A1A1A"/>
                <w:sz w:val="20"/>
              </w:rPr>
              <w:t>1.26 (1.40)</w:t>
            </w:r>
          </w:p>
        </w:tc>
        <w:tc>
          <w:tcPr>
            <w:tcW w:w="1871" w:type="dxa"/>
            <w:tcBorders>
              <w:top w:val="single" w:sz="4" w:space="0" w:color="D0D7E2"/>
              <w:left w:val="single" w:sz="4" w:space="0" w:color="D0D7E2"/>
              <w:bottom w:val="single" w:sz="4" w:space="0" w:color="D0D7E2"/>
              <w:right w:val="single" w:sz="4" w:space="0" w:color="D0D7E2"/>
            </w:tcBorders>
            <w:shd w:val="clear" w:color="auto" w:fill="FFFFFF"/>
            <w:tcMar>
              <w:top w:w="60" w:type="dxa"/>
              <w:left w:w="100" w:type="dxa"/>
              <w:bottom w:w="60" w:type="dxa"/>
              <w:right w:w="100" w:type="dxa"/>
            </w:tcMar>
          </w:tcPr>
          <w:p w14:paraId="4D7F7622" w14:textId="77777777" w:rsidR="004A4713" w:rsidRDefault="00000000">
            <w:pPr>
              <w:spacing w:after="0"/>
            </w:pPr>
            <w:r>
              <w:rPr>
                <w:rFonts w:eastAsia="Aptos"/>
                <w:color w:val="1A1A1A"/>
                <w:sz w:val="20"/>
              </w:rPr>
              <w:t>2.44 (2.56)</w:t>
            </w:r>
          </w:p>
        </w:tc>
      </w:tr>
      <w:tr w:rsidR="004A4713" w14:paraId="3013F2F4" w14:textId="77777777">
        <w:trPr>
          <w:jc w:val="center"/>
        </w:trPr>
        <w:tc>
          <w:tcPr>
            <w:tcW w:w="3061" w:type="dxa"/>
            <w:tcBorders>
              <w:top w:val="single" w:sz="4" w:space="0" w:color="D0D7E2"/>
              <w:left w:val="single" w:sz="4" w:space="0" w:color="D0D7E2"/>
              <w:bottom w:val="single" w:sz="4" w:space="0" w:color="D0D7E2"/>
              <w:right w:val="single" w:sz="4" w:space="0" w:color="D0D7E2"/>
            </w:tcBorders>
            <w:shd w:val="clear" w:color="auto" w:fill="F4F7FB"/>
            <w:tcMar>
              <w:top w:w="60" w:type="dxa"/>
              <w:left w:w="100" w:type="dxa"/>
              <w:bottom w:w="60" w:type="dxa"/>
              <w:right w:w="100" w:type="dxa"/>
            </w:tcMar>
          </w:tcPr>
          <w:p w14:paraId="15D3CF34" w14:textId="77777777" w:rsidR="004A4713" w:rsidRDefault="00000000">
            <w:pPr>
              <w:spacing w:after="0"/>
            </w:pPr>
            <w:r>
              <w:rPr>
                <w:rFonts w:eastAsia="Aptos"/>
                <w:b/>
                <w:color w:val="1A1A1A"/>
                <w:sz w:val="20"/>
              </w:rPr>
              <w:t>Version 6, four turns or more</w:t>
            </w:r>
          </w:p>
        </w:tc>
        <w:tc>
          <w:tcPr>
            <w:tcW w:w="1871" w:type="dxa"/>
            <w:tcBorders>
              <w:top w:val="single" w:sz="4" w:space="0" w:color="D0D7E2"/>
              <w:left w:val="single" w:sz="4" w:space="0" w:color="D0D7E2"/>
              <w:bottom w:val="single" w:sz="4" w:space="0" w:color="D0D7E2"/>
              <w:right w:val="single" w:sz="4" w:space="0" w:color="D0D7E2"/>
            </w:tcBorders>
            <w:shd w:val="clear" w:color="auto" w:fill="F4F7FB"/>
            <w:tcMar>
              <w:top w:w="60" w:type="dxa"/>
              <w:left w:w="100" w:type="dxa"/>
              <w:bottom w:w="60" w:type="dxa"/>
              <w:right w:w="100" w:type="dxa"/>
            </w:tcMar>
          </w:tcPr>
          <w:p w14:paraId="79C0B2B6" w14:textId="77777777" w:rsidR="004A4713" w:rsidRDefault="00000000">
            <w:pPr>
              <w:spacing w:after="0"/>
            </w:pPr>
            <w:r>
              <w:rPr>
                <w:rFonts w:eastAsia="Aptos"/>
                <w:color w:val="1A1A1A"/>
                <w:sz w:val="20"/>
              </w:rPr>
              <w:t>0.99 (1.14)</w:t>
            </w:r>
          </w:p>
        </w:tc>
        <w:tc>
          <w:tcPr>
            <w:tcW w:w="1587" w:type="dxa"/>
            <w:tcBorders>
              <w:top w:val="single" w:sz="4" w:space="0" w:color="D0D7E2"/>
              <w:left w:val="single" w:sz="4" w:space="0" w:color="D0D7E2"/>
              <w:bottom w:val="single" w:sz="4" w:space="0" w:color="D0D7E2"/>
              <w:right w:val="single" w:sz="4" w:space="0" w:color="D0D7E2"/>
            </w:tcBorders>
            <w:shd w:val="clear" w:color="auto" w:fill="F4F7FB"/>
            <w:tcMar>
              <w:top w:w="60" w:type="dxa"/>
              <w:left w:w="100" w:type="dxa"/>
              <w:bottom w:w="60" w:type="dxa"/>
              <w:right w:w="100" w:type="dxa"/>
            </w:tcMar>
          </w:tcPr>
          <w:p w14:paraId="7094F27D" w14:textId="77777777" w:rsidR="004A4713" w:rsidRDefault="00000000">
            <w:pPr>
              <w:spacing w:after="0"/>
            </w:pPr>
            <w:r>
              <w:rPr>
                <w:rFonts w:eastAsia="Aptos"/>
                <w:color w:val="1A1A1A"/>
                <w:sz w:val="20"/>
              </w:rPr>
              <w:t>0.80 (0.82)</w:t>
            </w:r>
          </w:p>
        </w:tc>
        <w:tc>
          <w:tcPr>
            <w:tcW w:w="1814" w:type="dxa"/>
            <w:tcBorders>
              <w:top w:val="single" w:sz="4" w:space="0" w:color="D0D7E2"/>
              <w:left w:val="single" w:sz="4" w:space="0" w:color="D0D7E2"/>
              <w:bottom w:val="single" w:sz="4" w:space="0" w:color="D0D7E2"/>
              <w:right w:val="single" w:sz="4" w:space="0" w:color="D0D7E2"/>
            </w:tcBorders>
            <w:shd w:val="clear" w:color="auto" w:fill="F4F7FB"/>
            <w:tcMar>
              <w:top w:w="60" w:type="dxa"/>
              <w:left w:w="100" w:type="dxa"/>
              <w:bottom w:w="60" w:type="dxa"/>
              <w:right w:w="100" w:type="dxa"/>
            </w:tcMar>
          </w:tcPr>
          <w:p w14:paraId="1D27A7B7" w14:textId="77777777" w:rsidR="004A4713" w:rsidRDefault="00000000">
            <w:pPr>
              <w:spacing w:after="0"/>
            </w:pPr>
            <w:r>
              <w:rPr>
                <w:rFonts w:eastAsia="Aptos"/>
                <w:color w:val="1A1A1A"/>
                <w:sz w:val="20"/>
              </w:rPr>
              <w:t>3.27 (4.75)</w:t>
            </w:r>
          </w:p>
        </w:tc>
        <w:tc>
          <w:tcPr>
            <w:tcW w:w="1871" w:type="dxa"/>
            <w:tcBorders>
              <w:top w:val="single" w:sz="4" w:space="0" w:color="D0D7E2"/>
              <w:left w:val="single" w:sz="4" w:space="0" w:color="D0D7E2"/>
              <w:bottom w:val="single" w:sz="4" w:space="0" w:color="D0D7E2"/>
              <w:right w:val="single" w:sz="4" w:space="0" w:color="D0D7E2"/>
            </w:tcBorders>
            <w:shd w:val="clear" w:color="auto" w:fill="F4F7FB"/>
            <w:tcMar>
              <w:top w:w="60" w:type="dxa"/>
              <w:left w:w="100" w:type="dxa"/>
              <w:bottom w:w="60" w:type="dxa"/>
              <w:right w:w="100" w:type="dxa"/>
            </w:tcMar>
          </w:tcPr>
          <w:p w14:paraId="1559C62A" w14:textId="77777777" w:rsidR="004A4713" w:rsidRDefault="00000000">
            <w:pPr>
              <w:spacing w:after="0"/>
            </w:pPr>
            <w:r>
              <w:rPr>
                <w:rFonts w:eastAsia="Aptos"/>
                <w:color w:val="1A1A1A"/>
                <w:sz w:val="20"/>
              </w:rPr>
              <w:t>4.45 (6.16)</w:t>
            </w:r>
          </w:p>
        </w:tc>
      </w:tr>
      <w:tr w:rsidR="004A4713" w14:paraId="4384336D" w14:textId="77777777">
        <w:trPr>
          <w:jc w:val="center"/>
        </w:trPr>
        <w:tc>
          <w:tcPr>
            <w:tcW w:w="3061" w:type="dxa"/>
            <w:tcBorders>
              <w:top w:val="single" w:sz="4" w:space="0" w:color="D0D7E2"/>
              <w:left w:val="single" w:sz="4" w:space="0" w:color="D0D7E2"/>
              <w:bottom w:val="single" w:sz="4" w:space="0" w:color="D0D7E2"/>
              <w:right w:val="single" w:sz="4" w:space="0" w:color="D0D7E2"/>
            </w:tcBorders>
            <w:shd w:val="clear" w:color="auto" w:fill="FFFFFF"/>
            <w:tcMar>
              <w:top w:w="60" w:type="dxa"/>
              <w:left w:w="100" w:type="dxa"/>
              <w:bottom w:w="60" w:type="dxa"/>
              <w:right w:w="100" w:type="dxa"/>
            </w:tcMar>
          </w:tcPr>
          <w:p w14:paraId="085C4F3D" w14:textId="77777777" w:rsidR="004A4713" w:rsidRDefault="00000000">
            <w:pPr>
              <w:spacing w:after="0"/>
            </w:pPr>
            <w:r>
              <w:rPr>
                <w:rFonts w:eastAsia="Aptos"/>
                <w:b/>
                <w:color w:val="1A1A1A"/>
                <w:sz w:val="20"/>
              </w:rPr>
              <w:t>Version 7, four turns or more</w:t>
            </w:r>
          </w:p>
        </w:tc>
        <w:tc>
          <w:tcPr>
            <w:tcW w:w="1871" w:type="dxa"/>
            <w:tcBorders>
              <w:top w:val="single" w:sz="4" w:space="0" w:color="D0D7E2"/>
              <w:left w:val="single" w:sz="4" w:space="0" w:color="D0D7E2"/>
              <w:bottom w:val="single" w:sz="4" w:space="0" w:color="D0D7E2"/>
              <w:right w:val="single" w:sz="4" w:space="0" w:color="D0D7E2"/>
            </w:tcBorders>
            <w:shd w:val="clear" w:color="auto" w:fill="FFFFFF"/>
            <w:tcMar>
              <w:top w:w="60" w:type="dxa"/>
              <w:left w:w="100" w:type="dxa"/>
              <w:bottom w:w="60" w:type="dxa"/>
              <w:right w:w="100" w:type="dxa"/>
            </w:tcMar>
          </w:tcPr>
          <w:p w14:paraId="58588D68" w14:textId="77777777" w:rsidR="004A4713" w:rsidRDefault="00000000">
            <w:pPr>
              <w:spacing w:after="0"/>
            </w:pPr>
            <w:r>
              <w:rPr>
                <w:rFonts w:eastAsia="Aptos"/>
                <w:color w:val="1A1A1A"/>
                <w:sz w:val="20"/>
              </w:rPr>
              <w:t>0.90 (0.91)</w:t>
            </w:r>
          </w:p>
        </w:tc>
        <w:tc>
          <w:tcPr>
            <w:tcW w:w="1587" w:type="dxa"/>
            <w:tcBorders>
              <w:top w:val="single" w:sz="4" w:space="0" w:color="D0D7E2"/>
              <w:left w:val="single" w:sz="4" w:space="0" w:color="D0D7E2"/>
              <w:bottom w:val="single" w:sz="4" w:space="0" w:color="D0D7E2"/>
              <w:right w:val="single" w:sz="4" w:space="0" w:color="D0D7E2"/>
            </w:tcBorders>
            <w:shd w:val="clear" w:color="auto" w:fill="FFFFFF"/>
            <w:tcMar>
              <w:top w:w="60" w:type="dxa"/>
              <w:left w:w="100" w:type="dxa"/>
              <w:bottom w:w="60" w:type="dxa"/>
              <w:right w:w="100" w:type="dxa"/>
            </w:tcMar>
          </w:tcPr>
          <w:p w14:paraId="5835BC1A" w14:textId="77777777" w:rsidR="004A4713" w:rsidRDefault="00000000">
            <w:pPr>
              <w:spacing w:after="0"/>
            </w:pPr>
            <w:r>
              <w:rPr>
                <w:rFonts w:eastAsia="Aptos"/>
                <w:color w:val="1A1A1A"/>
                <w:sz w:val="20"/>
              </w:rPr>
              <w:t>0.80 (0.85)</w:t>
            </w:r>
          </w:p>
        </w:tc>
        <w:tc>
          <w:tcPr>
            <w:tcW w:w="1814" w:type="dxa"/>
            <w:tcBorders>
              <w:top w:val="single" w:sz="4" w:space="0" w:color="D0D7E2"/>
              <w:left w:val="single" w:sz="4" w:space="0" w:color="D0D7E2"/>
              <w:bottom w:val="single" w:sz="4" w:space="0" w:color="D0D7E2"/>
              <w:right w:val="single" w:sz="4" w:space="0" w:color="D0D7E2"/>
            </w:tcBorders>
            <w:shd w:val="clear" w:color="auto" w:fill="FFFFFF"/>
            <w:tcMar>
              <w:top w:w="60" w:type="dxa"/>
              <w:left w:w="100" w:type="dxa"/>
              <w:bottom w:w="60" w:type="dxa"/>
              <w:right w:w="100" w:type="dxa"/>
            </w:tcMar>
          </w:tcPr>
          <w:p w14:paraId="207E0BD0" w14:textId="77777777" w:rsidR="004A4713" w:rsidRDefault="00000000">
            <w:pPr>
              <w:spacing w:after="0"/>
            </w:pPr>
            <w:r>
              <w:rPr>
                <w:rFonts w:eastAsia="Aptos"/>
                <w:color w:val="1A1A1A"/>
                <w:sz w:val="20"/>
              </w:rPr>
              <w:t>1.23 (1.38)</w:t>
            </w:r>
          </w:p>
        </w:tc>
        <w:tc>
          <w:tcPr>
            <w:tcW w:w="1871" w:type="dxa"/>
            <w:tcBorders>
              <w:top w:val="single" w:sz="4" w:space="0" w:color="D0D7E2"/>
              <w:left w:val="single" w:sz="4" w:space="0" w:color="D0D7E2"/>
              <w:bottom w:val="single" w:sz="4" w:space="0" w:color="D0D7E2"/>
              <w:right w:val="single" w:sz="4" w:space="0" w:color="D0D7E2"/>
            </w:tcBorders>
            <w:shd w:val="clear" w:color="auto" w:fill="FFFFFF"/>
            <w:tcMar>
              <w:top w:w="60" w:type="dxa"/>
              <w:left w:w="100" w:type="dxa"/>
              <w:bottom w:w="60" w:type="dxa"/>
              <w:right w:w="100" w:type="dxa"/>
            </w:tcMar>
          </w:tcPr>
          <w:p w14:paraId="1E97E04A" w14:textId="77777777" w:rsidR="004A4713" w:rsidRDefault="00000000">
            <w:pPr>
              <w:spacing w:after="0"/>
            </w:pPr>
            <w:r>
              <w:rPr>
                <w:rFonts w:eastAsia="Aptos"/>
                <w:color w:val="1A1A1A"/>
                <w:sz w:val="20"/>
              </w:rPr>
              <w:t>2.45 (2.61)</w:t>
            </w:r>
          </w:p>
        </w:tc>
      </w:tr>
    </w:tbl>
    <w:p w14:paraId="41B5AD72" w14:textId="77777777" w:rsidR="004A4713" w:rsidRDefault="00000000">
      <w:pPr>
        <w:spacing w:before="160" w:after="80" w:line="259" w:lineRule="auto"/>
      </w:pPr>
      <w:r>
        <w:rPr>
          <w:rFonts w:eastAsia="Aptos"/>
          <w:color w:val="1A1A1A"/>
        </w:rPr>
        <w:t>The whole turn falls from 4.58 seconds to 2.44 seconds. On calls of four turns or more it falls from 4.45 seconds to 2.45 seconds. The mean for Version 6 is higher because one voice clip on 12 October at 2:31 PM took 22.6 seconds. The median is the figure to use.</w:t>
      </w:r>
    </w:p>
    <w:p w14:paraId="71CBC7E0" w14:textId="77777777" w:rsidR="004A4713" w:rsidRDefault="00000000">
      <w:pPr>
        <w:spacing w:before="240" w:after="80"/>
      </w:pPr>
      <w:r>
        <w:rPr>
          <w:rFonts w:eastAsia="Aptos"/>
          <w:b/>
          <w:color w:val="1F3A5F"/>
          <w:sz w:val="28"/>
        </w:rPr>
        <w:t>What is still open</w:t>
      </w:r>
    </w:p>
    <w:p w14:paraId="31BFD7EF" w14:textId="721CAA44" w:rsidR="004A4713" w:rsidRDefault="00000000" w:rsidP="00094B4F">
      <w:pPr>
        <w:spacing w:after="120" w:line="259" w:lineRule="auto"/>
        <w:jc w:val="both"/>
      </w:pPr>
      <w:r>
        <w:rPr>
          <w:rFonts w:eastAsia="Aptos"/>
          <w:color w:val="1A1A1A"/>
        </w:rPr>
        <w:t>The 5:45 PM call is clean on the conversation checks. Configuration is left open, each reply asks one question, nothing is repeated, and no visit is offered early. Two checks still fail, both on turn 4. After an investment answer, the reply restates Electronic City and names SOBHA Hamptons and SOBHA Madison Heights</w:t>
      </w:r>
      <w:r w:rsidR="00094B4F">
        <w:rPr>
          <w:rFonts w:eastAsia="Aptos"/>
          <w:color w:val="1A1A1A"/>
        </w:rPr>
        <w:t xml:space="preserve">. </w:t>
      </w:r>
    </w:p>
    <w:p w14:paraId="27CBB388" w14:textId="77777777" w:rsidR="004A4713" w:rsidRDefault="00000000" w:rsidP="00094B4F">
      <w:pPr>
        <w:spacing w:after="0" w:line="259" w:lineRule="auto"/>
        <w:jc w:val="both"/>
      </w:pPr>
      <w:r>
        <w:rPr>
          <w:rFonts w:eastAsia="Aptos"/>
          <w:color w:val="1A1A1A"/>
        </w:rPr>
        <w:t>The 5:48 PM call claims 984 residences, which is also not supplied. The 5:35 PM call still repeats a question and offers the visit while an earlier question is open. The latency benefit is already on these calls. The remaining work is keeping the model sentence inside the supplied facts.</w:t>
      </w:r>
    </w:p>
    <w:sectPr w:rsidR="004A4713" w:rsidSect="00034616">
      <w:footerReference w:type="default" r:id="rId8"/>
      <w:pgSz w:w="11906" w:h="16838"/>
      <w:pgMar w:top="794" w:right="850" w:bottom="794" w:left="85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CB2C7" w14:textId="77777777" w:rsidR="00A52F4A" w:rsidRDefault="00A52F4A">
      <w:pPr>
        <w:spacing w:after="0" w:line="240" w:lineRule="auto"/>
      </w:pPr>
      <w:r>
        <w:separator/>
      </w:r>
    </w:p>
  </w:endnote>
  <w:endnote w:type="continuationSeparator" w:id="0">
    <w:p w14:paraId="5F0D1C87" w14:textId="77777777" w:rsidR="00A52F4A" w:rsidRDefault="00A52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0522B" w14:textId="77777777" w:rsidR="004A4713" w:rsidRDefault="00000000">
    <w:pPr>
      <w:pStyle w:val="Footer"/>
    </w:pPr>
    <w:r>
      <w:rPr>
        <w:rFonts w:eastAsia="Aptos"/>
        <w:color w:val="4A4A4A"/>
        <w:sz w:val="16"/>
      </w:rPr>
      <w:t>Saved localhost calls, 12–14 October 2026.  The longer comparison is the Version 6 and Version 7 evaluation of the same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40EE2" w14:textId="77777777" w:rsidR="00A52F4A" w:rsidRDefault="00A52F4A">
      <w:pPr>
        <w:spacing w:after="0" w:line="240" w:lineRule="auto"/>
      </w:pPr>
      <w:r>
        <w:separator/>
      </w:r>
    </w:p>
  </w:footnote>
  <w:footnote w:type="continuationSeparator" w:id="0">
    <w:p w14:paraId="2B752B42" w14:textId="77777777" w:rsidR="00A52F4A" w:rsidRDefault="00A52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78282">
    <w:abstractNumId w:val="8"/>
  </w:num>
  <w:num w:numId="2" w16cid:durableId="1224096572">
    <w:abstractNumId w:val="6"/>
  </w:num>
  <w:num w:numId="3" w16cid:durableId="200047557">
    <w:abstractNumId w:val="5"/>
  </w:num>
  <w:num w:numId="4" w16cid:durableId="1098135687">
    <w:abstractNumId w:val="4"/>
  </w:num>
  <w:num w:numId="5" w16cid:durableId="616644825">
    <w:abstractNumId w:val="7"/>
  </w:num>
  <w:num w:numId="6" w16cid:durableId="593903401">
    <w:abstractNumId w:val="3"/>
  </w:num>
  <w:num w:numId="7" w16cid:durableId="1268542663">
    <w:abstractNumId w:val="2"/>
  </w:num>
  <w:num w:numId="8" w16cid:durableId="986280494">
    <w:abstractNumId w:val="1"/>
  </w:num>
  <w:num w:numId="9" w16cid:durableId="97020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B4F"/>
    <w:rsid w:val="0015074B"/>
    <w:rsid w:val="0029639D"/>
    <w:rsid w:val="00326F90"/>
    <w:rsid w:val="00350600"/>
    <w:rsid w:val="004A4713"/>
    <w:rsid w:val="00722ADB"/>
    <w:rsid w:val="00A52F4A"/>
    <w:rsid w:val="00A65D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31A76"/>
  <w14:defaultImageDpi w14:val="300"/>
  <w15:docId w15:val="{1969A3E1-5A3D-42B8-A49E-A881EB562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607</Words>
  <Characters>2583</Characters>
  <Application>Microsoft Office Word</Application>
  <DocSecurity>0</DocSecurity>
  <Lines>99</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4</cp:revision>
  <cp:lastPrinted>2026-10-14T13:02:00Z</cp:lastPrinted>
  <dcterms:created xsi:type="dcterms:W3CDTF">2013-12-23T23:15:00Z</dcterms:created>
  <dcterms:modified xsi:type="dcterms:W3CDTF">2026-10-14T13:02:00Z</dcterms:modified>
  <cp:category/>
</cp:coreProperties>
</file>