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59" w:lineRule="auto"/>
      </w:pPr>
      <w:r>
        <w:rPr>
          <w:rFonts w:ascii="Aptos" w:hAnsi="Aptos" w:eastAsia="Aptos" w:cs="Aptos"/>
          <w:b/>
          <w:color w:val="1F3A5F"/>
          <w:sz w:val="44"/>
        </w:rPr>
        <w:t>Voice pipelines</w:t>
      </w:r>
    </w:p>
    <w:p>
      <w:pPr>
        <w:spacing w:before="40" w:after="120" w:line="259" w:lineRule="auto"/>
      </w:pPr>
      <w:r>
        <w:rPr>
          <w:rFonts w:ascii="Aptos" w:hAnsi="Aptos" w:eastAsia="Aptos" w:cs="Aptos"/>
          <w:b w:val="0"/>
          <w:color w:val="4A4A4A"/>
          <w:sz w:val="24"/>
        </w:rPr>
        <w:t>DuplexCascade, BayLing-Duplex, and the Version 8 localhost</w:t>
      </w:r>
    </w:p>
    <w:p>
      <w:pPr>
        <w:spacing w:before="0" w:after="80" w:line="259" w:lineRule="auto"/>
      </w:pPr>
      <w:r>
        <w:rPr>
          <w:rFonts w:ascii="Aptos" w:hAnsi="Aptos" w:eastAsia="Aptos" w:cs="Aptos"/>
          <w:b w:val="0"/>
          <w:color w:val="1A1A1A"/>
          <w:sz w:val="22"/>
        </w:rPr>
        <w:t>Each pipeline uses the same four steps: hear, decide, speak, and interrupt. The two research pipelines are drawn from the papers. They are not copies of the paper figures. The Version 8 pipeline is the localhost call on port 8015, as it runs now.</w:t>
      </w:r>
    </w:p>
    <w:p>
      <w:pPr>
        <w:spacing w:before="200" w:after="40" w:line="259" w:lineRule="auto"/>
      </w:pPr>
      <w:r>
        <w:rPr>
          <w:rFonts w:ascii="Aptos" w:hAnsi="Aptos" w:eastAsia="Aptos" w:cs="Aptos"/>
          <w:b/>
          <w:color w:val="1F3A5F"/>
          <w:sz w:val="28"/>
        </w:rPr>
        <w:t>DuplexCascade</w:t>
      </w:r>
    </w:p>
    <w:p>
      <w:pPr>
        <w:spacing w:before="0" w:after="80" w:line="259" w:lineRule="auto"/>
      </w:pPr>
      <w:r>
        <w:rPr>
          <w:rFonts w:ascii="Aptos" w:hAnsi="Aptos" w:eastAsia="Aptos" w:cs="Aptos"/>
          <w:b w:val="0"/>
          <w:color w:val="1A1A1A"/>
          <w:sz w:val="22"/>
        </w:rPr>
        <w:t>This paper keeps a separate speech recognizer, a text model, and a voice. That is the same kind of stack as Version 8. What changes is the turn.</w:t>
      </w:r>
    </w:p>
    <w:tbl>
      <w:tblPr>
        <w:tblW w:type="dxa" w:w="10204"/>
        <w:tblLayout w:type="fixed"/>
        <w:tblLook w:firstColumn="1" w:firstRow="1" w:lastColumn="0" w:lastRow="0" w:noHBand="0" w:noVBand="1" w:val="04A0"/>
        <w:tblBorders>
          <w:top w:val="single" w:sz="4" w:space="0" w:color="D5DDE6"/>
          <w:left w:val="single" w:sz="4" w:space="0" w:color="D5DDE6"/>
          <w:bottom w:val="single" w:sz="4" w:space="0" w:color="D5DDE6"/>
          <w:right w:val="single" w:sz="4" w:space="0" w:color="D5DDE6"/>
          <w:insideH w:val="single" w:sz="4" w:space="0" w:color="D5DDE6"/>
          <w:insideV w:val="single" w:sz="4" w:space="0" w:color="D5DDE6"/>
        </w:tblBorders>
      </w:tblPr>
      <w:tblGrid>
        <w:gridCol w:w="2551"/>
        <w:gridCol w:w="2551"/>
        <w:gridCol w:w="2551"/>
        <w:gridCol w:w="2551"/>
      </w:tblGrid>
      <w:tr>
        <w:trPr>
          <w:cantSplit/>
        </w:trPr>
        <w:tc>
          <w:tcPr>
            <w:tcW w:type="dxa" w:w="2545"/>
            <w:shd w:val="clear" w:color="auto" w:fill="1F3A5F"/>
            <w:tcMar>
              <w:top w:w="50" w:type="dxa"/>
              <w:left w:w="70" w:type="dxa"/>
              <w:bottom w:w="50" w:type="dxa"/>
              <w:right w:w="70" w:type="dxa"/>
            </w:tcMar>
          </w:tcPr>
          <w:p>
            <w:pPr>
              <w:spacing w:before="0" w:after="0" w:line="252" w:lineRule="auto"/>
            </w:pPr>
            <w:r/>
            <w:r>
              <w:rPr>
                <w:rFonts w:ascii="Aptos" w:hAnsi="Aptos" w:eastAsia="Aptos" w:cs="Aptos"/>
                <w:b/>
                <w:color w:val="FFFFFF"/>
                <w:sz w:val="22"/>
              </w:rPr>
              <w:t>Hear</w:t>
            </w:r>
          </w:p>
        </w:tc>
        <w:tc>
          <w:tcPr>
            <w:tcW w:type="dxa" w:w="2545"/>
            <w:shd w:val="clear" w:color="auto" w:fill="1F3A5F"/>
            <w:tcMar>
              <w:top w:w="50" w:type="dxa"/>
              <w:left w:w="70" w:type="dxa"/>
              <w:bottom w:w="50" w:type="dxa"/>
              <w:right w:w="70" w:type="dxa"/>
            </w:tcMar>
          </w:tcPr>
          <w:p>
            <w:pPr>
              <w:spacing w:before="0" w:after="0" w:line="252" w:lineRule="auto"/>
            </w:pPr>
            <w:r/>
            <w:r>
              <w:rPr>
                <w:rFonts w:ascii="Aptos" w:hAnsi="Aptos" w:eastAsia="Aptos" w:cs="Aptos"/>
                <w:b/>
                <w:color w:val="FFFFFF"/>
                <w:sz w:val="22"/>
              </w:rPr>
              <w:t>Decide</w:t>
            </w:r>
          </w:p>
        </w:tc>
        <w:tc>
          <w:tcPr>
            <w:tcW w:type="dxa" w:w="2545"/>
            <w:shd w:val="clear" w:color="auto" w:fill="1F3A5F"/>
            <w:tcMar>
              <w:top w:w="50" w:type="dxa"/>
              <w:left w:w="70" w:type="dxa"/>
              <w:bottom w:w="50" w:type="dxa"/>
              <w:right w:w="70" w:type="dxa"/>
            </w:tcMar>
          </w:tcPr>
          <w:p>
            <w:pPr>
              <w:spacing w:before="0" w:after="0" w:line="252" w:lineRule="auto"/>
            </w:pPr>
            <w:r/>
            <w:r>
              <w:rPr>
                <w:rFonts w:ascii="Aptos" w:hAnsi="Aptos" w:eastAsia="Aptos" w:cs="Aptos"/>
                <w:b/>
                <w:color w:val="FFFFFF"/>
                <w:sz w:val="22"/>
              </w:rPr>
              <w:t>Speak</w:t>
            </w:r>
          </w:p>
        </w:tc>
        <w:tc>
          <w:tcPr>
            <w:tcW w:type="dxa" w:w="2545"/>
            <w:shd w:val="clear" w:color="auto" w:fill="1F3A5F"/>
            <w:tcMar>
              <w:top w:w="50" w:type="dxa"/>
              <w:left w:w="70" w:type="dxa"/>
              <w:bottom w:w="50" w:type="dxa"/>
              <w:right w:w="70" w:type="dxa"/>
            </w:tcMar>
          </w:tcPr>
          <w:p>
            <w:pPr>
              <w:spacing w:before="0" w:after="0" w:line="252" w:lineRule="auto"/>
            </w:pPr>
            <w:r/>
            <w:r>
              <w:rPr>
                <w:rFonts w:ascii="Aptos" w:hAnsi="Aptos" w:eastAsia="Aptos" w:cs="Aptos"/>
                <w:b/>
                <w:color w:val="FFFFFF"/>
                <w:sz w:val="22"/>
              </w:rPr>
              <w:t>Interrupt</w:t>
            </w:r>
          </w:p>
        </w:tc>
      </w:tr>
      <w:tr>
        <w:trPr>
          <w:cantSplit/>
        </w:trPr>
        <w:tc>
          <w:tcPr>
            <w:tcW w:type="dxa" w:w="2545"/>
            <w:shd w:val="clear" w:color="auto" w:fill="F4F7FB"/>
            <w:tcMar>
              <w:top w:w="50" w:type="dxa"/>
              <w:left w:w="70" w:type="dxa"/>
              <w:bottom w:w="50" w:type="dxa"/>
              <w:right w:w="70" w:type="dxa"/>
            </w:tcMar>
          </w:tcPr>
          <w:p>
            <w:pPr>
              <w:spacing w:before="0" w:after="0" w:line="252" w:lineRule="auto"/>
            </w:pPr>
            <w:r/>
            <w:r>
              <w:rPr>
                <w:rFonts w:ascii="Aptos" w:hAnsi="Aptos" w:eastAsia="Aptos" w:cs="Aptos"/>
                <w:b w:val="0"/>
                <w:color w:val="1A1A1A"/>
                <w:sz w:val="18"/>
              </w:rPr>
              <w:t>A streaming recognizer transcribes the audio. It does not wait for silence. The transcript is flushed in short chunks, called micro-turns.</w:t>
            </w:r>
          </w:p>
        </w:tc>
        <w:tc>
          <w:tcPr>
            <w:tcW w:type="dxa" w:w="2545"/>
            <w:shd w:val="clear" w:color="auto" w:fill="FFFFFF"/>
            <w:tcMar>
              <w:top w:w="50" w:type="dxa"/>
              <w:left w:w="70" w:type="dxa"/>
              <w:bottom w:w="50" w:type="dxa"/>
              <w:right w:w="70" w:type="dxa"/>
            </w:tcMar>
          </w:tcPr>
          <w:p>
            <w:pPr>
              <w:spacing w:before="0" w:after="0" w:line="252" w:lineRule="auto"/>
            </w:pPr>
            <w:r/>
            <w:r>
              <w:rPr>
                <w:rFonts w:ascii="Aptos" w:hAnsi="Aptos" w:eastAsia="Aptos" w:cs="Aptos"/>
                <w:b w:val="0"/>
                <w:color w:val="1A1A1A"/>
                <w:sz w:val="18"/>
              </w:rPr>
              <w:t>A text model answers each micro-turn. Control tokens tell it to keep listening, start speaking, wait, or stop.</w:t>
            </w:r>
          </w:p>
        </w:tc>
        <w:tc>
          <w:tcPr>
            <w:tcW w:type="dxa" w:w="2545"/>
            <w:shd w:val="clear" w:color="auto" w:fill="F7F4EC"/>
            <w:tcMar>
              <w:top w:w="50" w:type="dxa"/>
              <w:left w:w="70" w:type="dxa"/>
              <w:bottom w:w="50" w:type="dxa"/>
              <w:right w:w="70" w:type="dxa"/>
            </w:tcMar>
          </w:tcPr>
          <w:p>
            <w:pPr>
              <w:spacing w:before="0" w:after="0" w:line="252" w:lineRule="auto"/>
            </w:pPr>
            <w:r/>
            <w:r>
              <w:rPr>
                <w:rFonts w:ascii="Aptos" w:hAnsi="Aptos" w:eastAsia="Aptos" w:cs="Aptos"/>
                <w:b w:val="0"/>
                <w:color w:val="1A1A1A"/>
                <w:sz w:val="18"/>
              </w:rPr>
              <w:t>A streaming voice starts from that text while later chunks are still arriving.</w:t>
            </w:r>
          </w:p>
        </w:tc>
        <w:tc>
          <w:tcPr>
            <w:tcW w:type="dxa" w:w="2545"/>
            <w:shd w:val="clear" w:color="auto" w:fill="E8F0EA"/>
            <w:tcMar>
              <w:top w:w="50" w:type="dxa"/>
              <w:left w:w="70" w:type="dxa"/>
              <w:bottom w:w="50" w:type="dxa"/>
              <w:right w:w="70" w:type="dxa"/>
            </w:tcMar>
          </w:tcPr>
          <w:p>
            <w:pPr>
              <w:spacing w:before="0" w:after="0" w:line="252" w:lineRule="auto"/>
            </w:pPr>
            <w:r/>
            <w:r>
              <w:rPr>
                <w:rFonts w:ascii="Aptos" w:hAnsi="Aptos" w:eastAsia="Aptos" w:cs="Aptos"/>
                <w:b w:val="0"/>
                <w:color w:val="1A1A1A"/>
                <w:sz w:val="18"/>
              </w:rPr>
              <w:t>Both sides can act in the same stretch of time. The control tokens steer the model under that stream.</w:t>
            </w:r>
          </w:p>
        </w:tc>
      </w:tr>
    </w:tbl>
    <w:p>
      <w:pPr>
        <w:spacing w:before="120" w:after="40" w:line="259" w:lineRule="auto"/>
      </w:pPr>
      <w:r>
        <w:rPr>
          <w:rFonts w:ascii="Aptos" w:hAnsi="Aptos" w:eastAsia="Aptos" w:cs="Aptos"/>
          <w:b w:val="0"/>
          <w:color w:val="1A1A1A"/>
          <w:sz w:val="22"/>
        </w:rPr>
        <w:t>The gain they report is full-duplex turn-taking, with a normal text model still doing the reasoning.</w:t>
      </w:r>
    </w:p>
    <w:p>
      <w:pPr>
        <w:spacing w:before="240" w:after="40" w:line="259" w:lineRule="auto"/>
      </w:pPr>
      <w:r>
        <w:rPr>
          <w:rFonts w:ascii="Aptos" w:hAnsi="Aptos" w:eastAsia="Aptos" w:cs="Aptos"/>
          <w:b/>
          <w:color w:val="1F3A5F"/>
          <w:sz w:val="28"/>
        </w:rPr>
        <w:t>BayLing-Duplex</w:t>
      </w:r>
    </w:p>
    <w:p>
      <w:pPr>
        <w:spacing w:before="0" w:after="80" w:line="259" w:lineRule="auto"/>
      </w:pPr>
      <w:r>
        <w:rPr>
          <w:rFonts w:ascii="Aptos" w:hAnsi="Aptos" w:eastAsia="Aptos" w:cs="Aptos"/>
          <w:b w:val="0"/>
          <w:color w:val="1A1A1A"/>
          <w:sz w:val="22"/>
        </w:rPr>
        <w:t>This paper removes the three separate boxes. One autoregressive model both hears and speaks. Incoming speech and the model’s own speech are tokens in one stream.</w:t>
      </w:r>
    </w:p>
    <w:tbl>
      <w:tblPr>
        <w:tblW w:type="dxa" w:w="10204"/>
        <w:tblLayout w:type="fixed"/>
        <w:tblLook w:firstColumn="1" w:firstRow="1" w:lastColumn="0" w:lastRow="0" w:noHBand="0" w:noVBand="1" w:val="04A0"/>
        <w:tblBorders>
          <w:top w:val="single" w:sz="4" w:space="0" w:color="D5DDE6"/>
          <w:left w:val="single" w:sz="4" w:space="0" w:color="D5DDE6"/>
          <w:bottom w:val="single" w:sz="4" w:space="0" w:color="D5DDE6"/>
          <w:right w:val="single" w:sz="4" w:space="0" w:color="D5DDE6"/>
          <w:insideH w:val="single" w:sz="4" w:space="0" w:color="D5DDE6"/>
          <w:insideV w:val="single" w:sz="4" w:space="0" w:color="D5DDE6"/>
        </w:tblBorders>
      </w:tblPr>
      <w:tblGrid>
        <w:gridCol w:w="2551"/>
        <w:gridCol w:w="2551"/>
        <w:gridCol w:w="2551"/>
        <w:gridCol w:w="2551"/>
      </w:tblGrid>
      <w:tr>
        <w:trPr>
          <w:cantSplit/>
        </w:trPr>
        <w:tc>
          <w:tcPr>
            <w:tcW w:type="dxa" w:w="2545"/>
            <w:shd w:val="clear" w:color="auto" w:fill="1F3A5F"/>
            <w:tcMar>
              <w:top w:w="50" w:type="dxa"/>
              <w:left w:w="70" w:type="dxa"/>
              <w:bottom w:w="50" w:type="dxa"/>
              <w:right w:w="70" w:type="dxa"/>
            </w:tcMar>
          </w:tcPr>
          <w:p>
            <w:pPr>
              <w:spacing w:before="0" w:after="0" w:line="252" w:lineRule="auto"/>
            </w:pPr>
            <w:r/>
            <w:r>
              <w:rPr>
                <w:rFonts w:ascii="Aptos" w:hAnsi="Aptos" w:eastAsia="Aptos" w:cs="Aptos"/>
                <w:b/>
                <w:color w:val="FFFFFF"/>
                <w:sz w:val="22"/>
              </w:rPr>
              <w:t>Hear</w:t>
            </w:r>
          </w:p>
        </w:tc>
        <w:tc>
          <w:tcPr>
            <w:tcW w:type="dxa" w:w="2545"/>
            <w:shd w:val="clear" w:color="auto" w:fill="1F3A5F"/>
            <w:tcMar>
              <w:top w:w="50" w:type="dxa"/>
              <w:left w:w="70" w:type="dxa"/>
              <w:bottom w:w="50" w:type="dxa"/>
              <w:right w:w="70" w:type="dxa"/>
            </w:tcMar>
          </w:tcPr>
          <w:p>
            <w:pPr>
              <w:spacing w:before="0" w:after="0" w:line="252" w:lineRule="auto"/>
            </w:pPr>
            <w:r/>
            <w:r>
              <w:rPr>
                <w:rFonts w:ascii="Aptos" w:hAnsi="Aptos" w:eastAsia="Aptos" w:cs="Aptos"/>
                <w:b/>
                <w:color w:val="FFFFFF"/>
                <w:sz w:val="22"/>
              </w:rPr>
              <w:t>Decide</w:t>
            </w:r>
          </w:p>
        </w:tc>
        <w:tc>
          <w:tcPr>
            <w:tcW w:type="dxa" w:w="2545"/>
            <w:shd w:val="clear" w:color="auto" w:fill="1F3A5F"/>
            <w:tcMar>
              <w:top w:w="50" w:type="dxa"/>
              <w:left w:w="70" w:type="dxa"/>
              <w:bottom w:w="50" w:type="dxa"/>
              <w:right w:w="70" w:type="dxa"/>
            </w:tcMar>
          </w:tcPr>
          <w:p>
            <w:pPr>
              <w:spacing w:before="0" w:after="0" w:line="252" w:lineRule="auto"/>
            </w:pPr>
            <w:r/>
            <w:r>
              <w:rPr>
                <w:rFonts w:ascii="Aptos" w:hAnsi="Aptos" w:eastAsia="Aptos" w:cs="Aptos"/>
                <w:b/>
                <w:color w:val="FFFFFF"/>
                <w:sz w:val="22"/>
              </w:rPr>
              <w:t>Speak</w:t>
            </w:r>
          </w:p>
        </w:tc>
        <w:tc>
          <w:tcPr>
            <w:tcW w:type="dxa" w:w="2545"/>
            <w:shd w:val="clear" w:color="auto" w:fill="1F3A5F"/>
            <w:tcMar>
              <w:top w:w="50" w:type="dxa"/>
              <w:left w:w="70" w:type="dxa"/>
              <w:bottom w:w="50" w:type="dxa"/>
              <w:right w:w="70" w:type="dxa"/>
            </w:tcMar>
          </w:tcPr>
          <w:p>
            <w:pPr>
              <w:spacing w:before="0" w:after="0" w:line="252" w:lineRule="auto"/>
            </w:pPr>
            <w:r/>
            <w:r>
              <w:rPr>
                <w:rFonts w:ascii="Aptos" w:hAnsi="Aptos" w:eastAsia="Aptos" w:cs="Aptos"/>
                <w:b/>
                <w:color w:val="FFFFFF"/>
                <w:sz w:val="22"/>
              </w:rPr>
              <w:t>Interrupt</w:t>
            </w:r>
          </w:p>
        </w:tc>
      </w:tr>
      <w:tr>
        <w:trPr>
          <w:cantSplit/>
        </w:trPr>
        <w:tc>
          <w:tcPr>
            <w:tcW w:type="dxa" w:w="2545"/>
            <w:shd w:val="clear" w:color="auto" w:fill="F4F7FB"/>
            <w:tcMar>
              <w:top w:w="50" w:type="dxa"/>
              <w:left w:w="70" w:type="dxa"/>
              <w:bottom w:w="50" w:type="dxa"/>
              <w:right w:w="70" w:type="dxa"/>
            </w:tcMar>
          </w:tcPr>
          <w:p>
            <w:pPr>
              <w:spacing w:before="0" w:after="0" w:line="252" w:lineRule="auto"/>
            </w:pPr>
            <w:r/>
            <w:r>
              <w:rPr>
                <w:rFonts w:ascii="Aptos" w:hAnsi="Aptos" w:eastAsia="Aptos" w:cs="Aptos"/>
                <w:b w:val="0"/>
                <w:color w:val="1A1A1A"/>
                <w:sz w:val="18"/>
              </w:rPr>
              <w:t>A speech tokenizer turns the audio into tokens. Those tokens sit in the same stream as the model’s own speech.</w:t>
            </w:r>
          </w:p>
        </w:tc>
        <w:tc>
          <w:tcPr>
            <w:tcW w:type="dxa" w:w="2545"/>
            <w:shd w:val="clear" w:color="auto" w:fill="FFFFFF"/>
            <w:tcMar>
              <w:top w:w="50" w:type="dxa"/>
              <w:left w:w="70" w:type="dxa"/>
              <w:bottom w:w="50" w:type="dxa"/>
              <w:right w:w="70" w:type="dxa"/>
            </w:tcMar>
          </w:tcPr>
          <w:p>
            <w:pPr>
              <w:spacing w:before="0" w:after="0" w:line="252" w:lineRule="auto"/>
            </w:pPr>
            <w:r/>
            <w:r>
              <w:rPr>
                <w:rFonts w:ascii="Aptos" w:hAnsi="Aptos" w:eastAsia="Aptos" w:cs="Aptos"/>
                <w:b w:val="0"/>
                <w:color w:val="1A1A1A"/>
                <w:sz w:val="18"/>
              </w:rPr>
              <w:t>One model decides to listen, speak, hesitate, or stop. There is no extra turn-taking module. The added tokens are ignore, input speech, output speech, silence, assistant, pad, and end-of-pad.</w:t>
            </w:r>
          </w:p>
        </w:tc>
        <w:tc>
          <w:tcPr>
            <w:tcW w:type="dxa" w:w="2545"/>
            <w:shd w:val="clear" w:color="auto" w:fill="F7F4EC"/>
            <w:tcMar>
              <w:top w:w="50" w:type="dxa"/>
              <w:left w:w="70" w:type="dxa"/>
              <w:bottom w:w="50" w:type="dxa"/>
              <w:right w:w="70" w:type="dxa"/>
            </w:tcMar>
          </w:tcPr>
          <w:p>
            <w:pPr>
              <w:spacing w:before="0" w:after="0" w:line="252" w:lineRule="auto"/>
            </w:pPr>
            <w:r/>
            <w:r>
              <w:rPr>
                <w:rFonts w:ascii="Aptos" w:hAnsi="Aptos" w:eastAsia="Aptos" w:cs="Aptos"/>
                <w:b w:val="0"/>
                <w:color w:val="1A1A1A"/>
                <w:sz w:val="18"/>
              </w:rPr>
              <w:t>A speech decoder turns the output tokens back into audio.</w:t>
            </w:r>
          </w:p>
        </w:tc>
        <w:tc>
          <w:tcPr>
            <w:tcW w:type="dxa" w:w="2545"/>
            <w:shd w:val="clear" w:color="auto" w:fill="E8F0EA"/>
            <w:tcMar>
              <w:top w:w="50" w:type="dxa"/>
              <w:left w:w="70" w:type="dxa"/>
              <w:bottom w:w="50" w:type="dxa"/>
              <w:right w:w="70" w:type="dxa"/>
            </w:tcMar>
          </w:tcPr>
          <w:p>
            <w:pPr>
              <w:spacing w:before="0" w:after="0" w:line="252" w:lineRule="auto"/>
            </w:pPr>
            <w:r/>
            <w:r>
              <w:rPr>
                <w:rFonts w:ascii="Aptos" w:hAnsi="Aptos" w:eastAsia="Aptos" w:cs="Aptos"/>
                <w:b w:val="0"/>
                <w:color w:val="1A1A1A"/>
                <w:sz w:val="18"/>
              </w:rPr>
              <w:t>The model can be interrupted while it is speaking. In the paper’s figure the user breaks in at about 2.6 seconds, and the model takes the turn back at about 3.6 seconds.</w:t>
            </w:r>
          </w:p>
        </w:tc>
      </w:tr>
    </w:tbl>
    <w:p>
      <w:pPr>
        <w:spacing w:before="120" w:after="40" w:line="259" w:lineRule="auto"/>
      </w:pPr>
      <w:r>
        <w:rPr>
          <w:rFonts w:ascii="Aptos" w:hAnsi="Aptos" w:eastAsia="Aptos" w:cs="Aptos"/>
          <w:b w:val="0"/>
          <w:color w:val="1A1A1A"/>
          <w:sz w:val="22"/>
        </w:rPr>
        <w:t>The gain is that one model listens, speaks, and handles barge-in. They reach that by fine-tuning a public speech model. sarvam-105b-conversations cannot take that step. Its weights are not available to us.</w:t>
      </w:r>
    </w:p>
    <w:p>
      <w:pPr>
        <w:spacing w:before="240" w:after="40" w:line="259" w:lineRule="auto"/>
      </w:pPr>
      <w:r>
        <w:rPr>
          <w:rFonts w:ascii="Aptos" w:hAnsi="Aptos" w:eastAsia="Aptos" w:cs="Aptos"/>
          <w:b/>
          <w:color w:val="1F3A5F"/>
          <w:sz w:val="28"/>
        </w:rPr>
        <w:t>Version 8</w:t>
      </w:r>
    </w:p>
    <w:p>
      <w:pPr>
        <w:spacing w:before="0" w:after="80" w:line="259" w:lineRule="auto"/>
      </w:pPr>
      <w:r>
        <w:rPr>
          <w:rFonts w:ascii="Aptos" w:hAnsi="Aptos" w:eastAsia="Aptos" w:cs="Aptos"/>
          <w:b w:val="0"/>
          <w:color w:val="1A1A1A"/>
          <w:sz w:val="22"/>
        </w:rPr>
        <w:t>The localhost is half-duplex. Each box finishes before the next one starts, except that later clauses of one reply are spoken while the first clause is already playing.</w:t>
      </w:r>
    </w:p>
    <w:tbl>
      <w:tblPr>
        <w:tblW w:type="dxa" w:w="10204"/>
        <w:tblLayout w:type="fixed"/>
        <w:tblLook w:firstColumn="1" w:firstRow="1" w:lastColumn="0" w:lastRow="0" w:noHBand="0" w:noVBand="1" w:val="04A0"/>
        <w:tblBorders>
          <w:top w:val="single" w:sz="4" w:space="0" w:color="D5DDE6"/>
          <w:left w:val="single" w:sz="4" w:space="0" w:color="D5DDE6"/>
          <w:bottom w:val="single" w:sz="4" w:space="0" w:color="D5DDE6"/>
          <w:right w:val="single" w:sz="4" w:space="0" w:color="D5DDE6"/>
          <w:insideH w:val="single" w:sz="4" w:space="0" w:color="D5DDE6"/>
          <w:insideV w:val="single" w:sz="4" w:space="0" w:color="D5DDE6"/>
        </w:tblBorders>
      </w:tblPr>
      <w:tblGrid>
        <w:gridCol w:w="2551"/>
        <w:gridCol w:w="2551"/>
        <w:gridCol w:w="2551"/>
        <w:gridCol w:w="2551"/>
      </w:tblGrid>
      <w:tr>
        <w:trPr>
          <w:cantSplit/>
        </w:trPr>
        <w:tc>
          <w:tcPr>
            <w:tcW w:type="dxa" w:w="2545"/>
            <w:shd w:val="clear" w:color="auto" w:fill="1F3A5F"/>
            <w:tcMar>
              <w:top w:w="50" w:type="dxa"/>
              <w:left w:w="70" w:type="dxa"/>
              <w:bottom w:w="50" w:type="dxa"/>
              <w:right w:w="70" w:type="dxa"/>
            </w:tcMar>
          </w:tcPr>
          <w:p>
            <w:pPr>
              <w:spacing w:before="0" w:after="0" w:line="252" w:lineRule="auto"/>
            </w:pPr>
            <w:r/>
            <w:r>
              <w:rPr>
                <w:rFonts w:ascii="Aptos" w:hAnsi="Aptos" w:eastAsia="Aptos" w:cs="Aptos"/>
                <w:b/>
                <w:color w:val="FFFFFF"/>
                <w:sz w:val="22"/>
              </w:rPr>
              <w:t>Hear</w:t>
            </w:r>
          </w:p>
        </w:tc>
        <w:tc>
          <w:tcPr>
            <w:tcW w:type="dxa" w:w="2545"/>
            <w:shd w:val="clear" w:color="auto" w:fill="1F3A5F"/>
            <w:tcMar>
              <w:top w:w="50" w:type="dxa"/>
              <w:left w:w="70" w:type="dxa"/>
              <w:bottom w:w="50" w:type="dxa"/>
              <w:right w:w="70" w:type="dxa"/>
            </w:tcMar>
          </w:tcPr>
          <w:p>
            <w:pPr>
              <w:spacing w:before="0" w:after="0" w:line="252" w:lineRule="auto"/>
            </w:pPr>
            <w:r/>
            <w:r>
              <w:rPr>
                <w:rFonts w:ascii="Aptos" w:hAnsi="Aptos" w:eastAsia="Aptos" w:cs="Aptos"/>
                <w:b/>
                <w:color w:val="FFFFFF"/>
                <w:sz w:val="22"/>
              </w:rPr>
              <w:t>Decide</w:t>
            </w:r>
          </w:p>
        </w:tc>
        <w:tc>
          <w:tcPr>
            <w:tcW w:type="dxa" w:w="2545"/>
            <w:shd w:val="clear" w:color="auto" w:fill="1F3A5F"/>
            <w:tcMar>
              <w:top w:w="50" w:type="dxa"/>
              <w:left w:w="70" w:type="dxa"/>
              <w:bottom w:w="50" w:type="dxa"/>
              <w:right w:w="70" w:type="dxa"/>
            </w:tcMar>
          </w:tcPr>
          <w:p>
            <w:pPr>
              <w:spacing w:before="0" w:after="0" w:line="252" w:lineRule="auto"/>
            </w:pPr>
            <w:r/>
            <w:r>
              <w:rPr>
                <w:rFonts w:ascii="Aptos" w:hAnsi="Aptos" w:eastAsia="Aptos" w:cs="Aptos"/>
                <w:b/>
                <w:color w:val="FFFFFF"/>
                <w:sz w:val="22"/>
              </w:rPr>
              <w:t>Speak</w:t>
            </w:r>
          </w:p>
        </w:tc>
        <w:tc>
          <w:tcPr>
            <w:tcW w:type="dxa" w:w="2545"/>
            <w:shd w:val="clear" w:color="auto" w:fill="1F3A5F"/>
            <w:tcMar>
              <w:top w:w="50" w:type="dxa"/>
              <w:left w:w="70" w:type="dxa"/>
              <w:bottom w:w="50" w:type="dxa"/>
              <w:right w:w="70" w:type="dxa"/>
            </w:tcMar>
          </w:tcPr>
          <w:p>
            <w:pPr>
              <w:spacing w:before="0" w:after="0" w:line="252" w:lineRule="auto"/>
            </w:pPr>
            <w:r/>
            <w:r>
              <w:rPr>
                <w:rFonts w:ascii="Aptos" w:hAnsi="Aptos" w:eastAsia="Aptos" w:cs="Aptos"/>
                <w:b/>
                <w:color w:val="FFFFFF"/>
                <w:sz w:val="22"/>
              </w:rPr>
              <w:t>Interrupt</w:t>
            </w:r>
          </w:p>
        </w:tc>
      </w:tr>
      <w:tr>
        <w:trPr>
          <w:cantSplit/>
        </w:trPr>
        <w:tc>
          <w:tcPr>
            <w:tcW w:type="dxa" w:w="2545"/>
            <w:shd w:val="clear" w:color="auto" w:fill="F4F7FB"/>
            <w:tcMar>
              <w:top w:w="50" w:type="dxa"/>
              <w:left w:w="70" w:type="dxa"/>
              <w:bottom w:w="50" w:type="dxa"/>
              <w:right w:w="70" w:type="dxa"/>
            </w:tcMar>
          </w:tcPr>
          <w:p>
            <w:pPr>
              <w:spacing w:before="0" w:after="0" w:line="252" w:lineRule="auto"/>
            </w:pPr>
            <w:r/>
            <w:r>
              <w:rPr>
                <w:rFonts w:ascii="Aptos" w:hAnsi="Aptos" w:eastAsia="Aptos" w:cs="Aptos"/>
                <w:b w:val="0"/>
                <w:color w:val="1A1A1A"/>
                <w:sz w:val="18"/>
              </w:rPr>
              <w:t>The page waits until the customer has spoken and then gone quiet. A short noise clip is dropped. One recording is sent to Sarvam saaras:v4 and comes back as one text line.</w:t>
            </w:r>
          </w:p>
        </w:tc>
        <w:tc>
          <w:tcPr>
            <w:tcW w:type="dxa" w:w="2545"/>
            <w:shd w:val="clear" w:color="auto" w:fill="FFFFFF"/>
            <w:tcMar>
              <w:top w:w="50" w:type="dxa"/>
              <w:left w:w="70" w:type="dxa"/>
              <w:bottom w:w="50" w:type="dxa"/>
              <w:right w:w="70" w:type="dxa"/>
            </w:tcMar>
          </w:tcPr>
          <w:p>
            <w:pPr>
              <w:spacing w:before="0" w:after="0" w:line="252" w:lineRule="auto"/>
            </w:pPr>
            <w:r/>
            <w:r>
              <w:rPr>
                <w:rFonts w:ascii="Aptos" w:hAnsi="Aptos" w:eastAsia="Aptos" w:cs="Aptos"/>
                <w:b w:val="0"/>
                <w:color w:val="1A1A1A"/>
                <w:sz w:val="18"/>
              </w:rPr>
              <w:t>A known line is spoken from the script. Anything else is one non-streaming call to sarvam-105b-conversations.</w:t>
            </w:r>
          </w:p>
        </w:tc>
        <w:tc>
          <w:tcPr>
            <w:tcW w:type="dxa" w:w="2545"/>
            <w:shd w:val="clear" w:color="auto" w:fill="F7F4EC"/>
            <w:tcMar>
              <w:top w:w="50" w:type="dxa"/>
              <w:left w:w="70" w:type="dxa"/>
              <w:bottom w:w="50" w:type="dxa"/>
              <w:right w:w="70" w:type="dxa"/>
            </w:tcMar>
          </w:tcPr>
          <w:p>
            <w:pPr>
              <w:spacing w:before="0" w:after="0" w:line="252" w:lineRule="auto"/>
            </w:pPr>
            <w:r/>
            <w:r>
              <w:rPr>
                <w:rFonts w:ascii="Aptos" w:hAnsi="Aptos" w:eastAsia="Aptos" w:cs="Aptos"/>
                <w:b w:val="0"/>
                <w:color w:val="1A1A1A"/>
                <w:sz w:val="18"/>
              </w:rPr>
              <w:t>The reply is split into clauses. Bulbul v3, speaker Ishita, speaks the first clause, then the rest while that clause plays. Pace and temperature follow the clause. Neerja speaks only if Bulbul returns no audio.</w:t>
            </w:r>
          </w:p>
        </w:tc>
        <w:tc>
          <w:tcPr>
            <w:tcW w:type="dxa" w:w="2545"/>
            <w:shd w:val="clear" w:color="auto" w:fill="E8F0EA"/>
            <w:tcMar>
              <w:top w:w="50" w:type="dxa"/>
              <w:left w:w="70" w:type="dxa"/>
              <w:bottom w:w="50" w:type="dxa"/>
              <w:right w:w="70" w:type="dxa"/>
            </w:tcMar>
          </w:tcPr>
          <w:p>
            <w:pPr>
              <w:spacing w:before="0" w:after="0" w:line="252" w:lineRule="auto"/>
            </w:pPr>
            <w:r/>
            <w:r>
              <w:rPr>
                <w:rFonts w:ascii="Aptos" w:hAnsi="Aptos" w:eastAsia="Aptos" w:cs="Aptos"/>
                <w:b w:val="0"/>
                <w:color w:val="1A1A1A"/>
                <w:sz w:val="18"/>
              </w:rPr>
              <w:t>If the customer talks over Ishita for about 0.4 seconds, playback pauses and a new recording starts. The model is not listening while it is speaking.</w:t>
            </w:r>
          </w:p>
        </w:tc>
      </w:tr>
    </w:tbl>
    <w:p>
      <w:pPr>
        <w:spacing w:before="120" w:after="80" w:line="259" w:lineRule="auto"/>
      </w:pPr>
      <w:r>
        <w:rPr>
          <w:rFonts w:ascii="Aptos" w:hAnsi="Aptos" w:eastAsia="Aptos" w:cs="Aptos"/>
          <w:b w:val="0"/>
          <w:color w:val="1A1A1A"/>
          <w:sz w:val="22"/>
        </w:rPr>
        <w:t>The customer must finish, then recognition, then the model when it is called, then the first clause of the voice. On the saved calls of four turns or more, the medians are 0.98 seconds to recognise, 0.80 seconds for the model, and 1.48 seconds until Ishita starts.</w:t>
      </w:r>
    </w:p>
    <w:p>
      <w:pPr>
        <w:spacing w:before="80" w:after="0" w:line="259" w:lineRule="auto"/>
      </w:pPr>
      <w:r>
        <w:rPr>
          <w:rFonts w:ascii="Aptos" w:hAnsi="Aptos" w:eastAsia="Aptos" w:cs="Aptos"/>
          <w:b w:val="0"/>
          <w:color w:val="1A1A1A"/>
          <w:sz w:val="22"/>
        </w:rPr>
        <w:t>This note does not build either paper into the call. DuplexCascade would need streaming recognition, streaming speech, and control tokens our caller does not expose. BayLing-Duplex would need a speech model we can fine-tune.</w:t>
      </w:r>
    </w:p>
    <w:sectPr w:rsidR="00FC693F" w:rsidRPr="0006063C" w:rsidSect="00034616">
      <w:pgSz w:w="11909" w:h="16834"/>
      <w:pgMar w:top="792"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s="Aptos"/>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