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SDIE V6 — Model Flow</w:t>
      </w:r>
    </w:p>
    <w:p>
      <w:r>
        <w:t>Structural Drawing Intelligence Engine: teach from reference projects (INIZIO, TRUST_OFFICE, MANOHAR), then infer and quantify on any raw DXF using GENERIC merged knowledge. Outputs include slab and beam concrete takeoff.</w:t>
      </w:r>
    </w:p>
    <w:p>
      <w:pPr>
        <w:pStyle w:val="Heading1"/>
      </w:pPr>
      <w:r>
        <w:t>1. End-to-End Flow</w:t>
      </w:r>
    </w:p>
    <w:p>
      <w:r>
        <w:t>Two phases: (A) offline teach from tagged reference DXFs, (B) runtime inference on any drawing.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 xml:space="preserve">    │  A · TEACH (offline)                                            │</w:t>
        <w:br/>
        <w:t xml:space="preserve">    │  Tagged DXFs → Atlas + Layer Profiles + Knowledge Base          │</w:t>
        <w:br/>
        <w:t xml:space="preserve">    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    │ merged artifacts</w:t>
        <w:br/>
        <w:t xml:space="preserve">                                 ▼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B · INFER (runtime, project-id GENERIC)                        │</w:t>
        <w:br/>
        <w:t xml:space="preserve">    │                                                                 │</w:t>
        <w:br/>
        <w:t xml:space="preserve">    │  Input DXF                                                      │</w:t>
        <w:br/>
        <w:t xml:space="preserve">    │      → Prepare (layers, floor zone, entities)                   │</w:t>
        <w:br/>
        <w:t xml:space="preserve">    │      → Classify (rules, graph, DeepSeek)                        │</w:t>
        <w:br/>
        <w:t xml:space="preserve">    │      → Quantify (beams + slabs)                                 │</w:t>
        <w:br/>
        <w:t xml:space="preserve">    │      → Export (JSON, overlay, Excel, review queue)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2. Teach Pipeline (Phase A)</w:t>
      </w:r>
    </w:p>
    <w:p>
      <w:pPr>
        <w:pStyle w:val="ListNumber"/>
      </w:pPr>
      <w:r>
        <w:t>1. Read projects_manifest.json</w:t>
      </w:r>
    </w:p>
    <w:p>
      <w:pPr>
        <w:pStyle w:val="ListNumber"/>
      </w:pPr>
      <w:r>
        <w:t>2. Load tagged DXF per reference project</w:t>
      </w:r>
    </w:p>
    <w:p>
      <w:pPr>
        <w:pStyle w:val="ListNumber"/>
      </w:pPr>
      <w:r>
        <w:t>3. build_atlas.py → component_atlas.json</w:t>
      </w:r>
    </w:p>
    <w:p>
      <w:pPr>
        <w:pStyle w:val="ListNumber"/>
      </w:pPr>
      <w:r>
        <w:t>4. build_layer_profiles.py → layer_profiles.json</w:t>
      </w:r>
    </w:p>
    <w:p>
      <w:pPr>
        <w:pStyle w:val="ListNumber"/>
      </w:pPr>
      <w:r>
        <w:t>5. RAG / KB builder → structural_kb.json</w:t>
      </w:r>
    </w:p>
    <w:p>
      <w:pPr>
        <w:pStyle w:val="Heading1"/>
      </w:pPr>
      <w:r>
        <w:t>3. Inference Pipeline (Phase 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4FD" w:val="clear"/>
          </w:tcPr>
          <w:p>
            <w:r>
              <w:t>Step</w:t>
            </w:r>
          </w:p>
        </w:tc>
        <w:tc>
          <w:tcPr>
            <w:tcW w:type="dxa" w:w="4320"/>
            <w:shd w:fill="E8F4FD" w:val="clear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①</w:t>
            </w:r>
          </w:p>
        </w:tc>
        <w:tc>
          <w:tcPr>
            <w:tcW w:type="dxa" w:w="4320"/>
          </w:tcPr>
          <w:p>
            <w:r>
              <w:t>Load DXF — units, scale, extents</w:t>
            </w:r>
          </w:p>
        </w:tc>
      </w:tr>
      <w:tr>
        <w:tc>
          <w:tcPr>
            <w:tcW w:type="dxa" w:w="4320"/>
          </w:tcPr>
          <w:p>
            <w:r>
              <w:t>②</w:t>
            </w:r>
          </w:p>
        </w:tc>
        <w:tc>
          <w:tcPr>
            <w:tcW w:type="dxa" w:w="4320"/>
          </w:tcPr>
          <w:p>
            <w:r>
              <w:t>Auto-discover layers — frame, annotation, void, column</w:t>
            </w:r>
          </w:p>
        </w:tc>
      </w:tr>
      <w:tr>
        <w:tc>
          <w:tcPr>
            <w:tcW w:type="dxa" w:w="4320"/>
          </w:tcPr>
          <w:p>
            <w:r>
              <w:t>③</w:t>
            </w:r>
          </w:p>
        </w:tc>
        <w:tc>
          <w:tcPr>
            <w:tcW w:type="dxa" w:w="4320"/>
          </w:tcPr>
          <w:p>
            <w:r>
              <w:t>Resolve floor zone — THK label clusters</w:t>
            </w:r>
          </w:p>
        </w:tc>
      </w:tr>
      <w:tr>
        <w:tc>
          <w:tcPr>
            <w:tcW w:type="dxa" w:w="4320"/>
          </w:tcPr>
          <w:p>
            <w:r>
              <w:t>④</w:t>
            </w:r>
          </w:p>
        </w:tc>
        <w:tc>
          <w:tcPr>
            <w:tcW w:type="dxa" w:w="4320"/>
          </w:tcPr>
          <w:p>
            <w:r>
              <w:t>Load teach artifacts — Atlas + KB (GENERIC = all projects)</w:t>
            </w:r>
          </w:p>
        </w:tc>
      </w:tr>
      <w:tr>
        <w:tc>
          <w:tcPr>
            <w:tcW w:type="dxa" w:w="4320"/>
          </w:tcPr>
          <w:p>
            <w:r>
              <w:t>⑤</w:t>
            </w:r>
          </w:p>
        </w:tc>
        <w:tc>
          <w:tcPr>
            <w:tcW w:type="dxa" w:w="4320"/>
          </w:tcPr>
          <w:p>
            <w:r>
              <w:t>Extract entities — structural, cutout, hatch void, columns</w:t>
            </w:r>
          </w:p>
        </w:tc>
      </w:tr>
      <w:tr>
        <w:tc>
          <w:tcPr>
            <w:tcW w:type="dxa" w:w="4320"/>
          </w:tcPr>
          <w:p>
            <w:r>
              <w:t>⑥</w:t>
            </w:r>
          </w:p>
        </w:tc>
        <w:tc>
          <w:tcPr>
            <w:tcW w:type="dxa" w:w="4320"/>
          </w:tcPr>
          <w:p>
            <w:r>
              <w:t>Classify components — V5: rules → graph → DeepSeek on ambiguous</w:t>
            </w:r>
          </w:p>
        </w:tc>
      </w:tr>
      <w:tr>
        <w:tc>
          <w:tcPr>
            <w:tcW w:type="dxa" w:w="4320"/>
          </w:tcPr>
          <w:p>
            <w:r>
              <w:t>⑦</w:t>
            </w:r>
          </w:p>
        </w:tc>
        <w:tc>
          <w:tcPr>
            <w:tcW w:type="dxa" w:w="4320"/>
          </w:tcPr>
          <w:p>
            <w:r>
              <w:t>Beam quantities — centerline length × section → concrete m³</w:t>
            </w:r>
          </w:p>
        </w:tc>
      </w:tr>
      <w:tr>
        <w:tc>
          <w:tcPr>
            <w:tcW w:type="dxa" w:w="4320"/>
          </w:tcPr>
          <w:p>
            <w:r>
              <w:t>⑧</w:t>
            </w:r>
          </w:p>
        </w:tc>
        <w:tc>
          <w:tcPr>
            <w:tcW w:type="dxa" w:w="4320"/>
          </w:tcPr>
          <w:p>
            <w:r>
              <w:t>Build structural graph — nodes and topology edges</w:t>
            </w:r>
          </w:p>
        </w:tc>
      </w:tr>
      <w:tr>
        <w:tc>
          <w:tcPr>
            <w:tcW w:type="dxa" w:w="4320"/>
          </w:tcPr>
          <w:p>
            <w:r>
              <w:t>⑨</w:t>
            </w:r>
          </w:p>
        </w:tc>
        <w:tc>
          <w:tcPr>
            <w:tcW w:type="dxa" w:w="4320"/>
          </w:tcPr>
          <w:p>
            <w:r>
              <w:t>Slab detection — exclusions → beam grid → framed bays</w:t>
            </w:r>
          </w:p>
        </w:tc>
      </w:tr>
      <w:tr>
        <w:tc>
          <w:tcPr>
            <w:tcW w:type="dxa" w:w="4320"/>
          </w:tcPr>
          <w:p>
            <w:r>
              <w:t>⑩</w:t>
            </w:r>
          </w:p>
        </w:tc>
        <w:tc>
          <w:tcPr>
            <w:tcW w:type="dxa" w:w="4320"/>
          </w:tcPr>
          <w:p>
            <w:r>
              <w:t>Slab quantities — area × THK → concrete m³</w:t>
            </w:r>
          </w:p>
        </w:tc>
      </w:tr>
      <w:tr>
        <w:tc>
          <w:tcPr>
            <w:tcW w:type="dxa" w:w="4320"/>
          </w:tcPr>
          <w:p>
            <w:r>
              <w:t>⑪</w:t>
            </w:r>
          </w:p>
        </w:tc>
        <w:tc>
          <w:tcPr>
            <w:tcW w:type="dxa" w:w="4320"/>
          </w:tcPr>
          <w:p>
            <w:r>
              <w:t>Export — JSON, overlay, Excel (Slabs + Beams), review queue</w:t>
            </w:r>
          </w:p>
        </w:tc>
      </w:tr>
    </w:tbl>
    <w:p>
      <w:pPr>
        <w:pStyle w:val="Heading1"/>
      </w:pPr>
      <w:r>
        <w:t>4. V5 Classification Logic</w:t>
      </w:r>
    </w:p>
    <w:p>
      <w:pPr>
        <w:pStyle w:val="ListBullet"/>
      </w:pPr>
      <w:r>
        <w:t>Hard global layers → locked type (Opening, Column, Beam, etc.)</w:t>
      </w:r>
    </w:p>
    <w:p>
      <w:pPr>
        <w:pStyle w:val="ListBullet"/>
      </w:pPr>
      <w:r>
        <w:t>Soft layers (S_FRAMES, STR-BEAM) → geometry heuristics first</w:t>
      </w:r>
    </w:p>
    <w:p>
      <w:pPr>
        <w:pStyle w:val="ListBullet"/>
      </w:pPr>
      <w:r>
        <w:t>GENERIC mode → best teach rule per layer across all projects</w:t>
      </w:r>
    </w:p>
    <w:p>
      <w:pPr>
        <w:pStyle w:val="ListBullet"/>
      </w:pPr>
      <w:r>
        <w:t>V5 confidence &lt; 75% → DeepSeek with RAG + graph context</w:t>
      </w:r>
    </w:p>
    <w:p>
      <w:pPr>
        <w:pStyle w:val="ListBullet"/>
      </w:pPr>
      <w:r>
        <w:t>Supporting types excluded from slab area: walls, cores, shafts, openings</w:t>
      </w:r>
    </w:p>
    <w:p>
      <w:pPr>
        <w:pStyle w:val="Heading1"/>
      </w:pPr>
      <w:r>
        <w:t>5. Quantity Engines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F4EA" w:val="clear"/>
          </w:tcPr>
          <w:p>
            <w:r>
              <w:t>Element</w:t>
            </w:r>
          </w:p>
        </w:tc>
        <w:tc>
          <w:tcPr>
            <w:tcW w:type="dxa" w:w="2880"/>
            <w:shd w:fill="E6F4EA" w:val="clear"/>
          </w:tcPr>
          <w:p>
            <w:r>
              <w:t>Inputs</w:t>
            </w:r>
          </w:p>
        </w:tc>
        <w:tc>
          <w:tcPr>
            <w:tcW w:type="dxa" w:w="2880"/>
            <w:shd w:fill="E6F4EA" w:val="clear"/>
          </w:tcPr>
          <w:p>
            <w:r>
              <w:t>Formula</w:t>
            </w:r>
          </w:p>
        </w:tc>
      </w:tr>
      <w:tr>
        <w:tc>
          <w:tcPr>
            <w:tcW w:type="dxa" w:w="2880"/>
          </w:tcPr>
          <w:p>
            <w:r>
              <w:t>Beam</w:t>
            </w:r>
          </w:p>
        </w:tc>
        <w:tc>
          <w:tcPr>
            <w:tcW w:type="dxa" w:w="2880"/>
          </w:tcPr>
          <w:p>
            <w:r>
              <w:t>Classified beam lines, beam-size tags</w:t>
            </w:r>
          </w:p>
        </w:tc>
        <w:tc>
          <w:tcPr>
            <w:tcW w:type="dxa" w:w="2880"/>
          </w:tcPr>
          <w:p>
            <w:r>
              <w:t>length × width × depth → m³</w:t>
            </w:r>
          </w:p>
        </w:tc>
      </w:tr>
      <w:tr>
        <w:tc>
          <w:tcPr>
            <w:tcW w:type="dxa" w:w="2880"/>
          </w:tcPr>
          <w:p>
            <w:r>
              <w:t>Slab</w:t>
            </w:r>
          </w:p>
        </w:tc>
        <w:tc>
          <w:tcPr>
            <w:tcW w:type="dxa" w:w="2880"/>
          </w:tcPr>
          <w:p>
            <w:r>
              <w:t>Framed bays after exclusions, THK labels</w:t>
            </w:r>
          </w:p>
        </w:tc>
        <w:tc>
          <w:tcPr>
            <w:tcW w:type="dxa" w:w="2880"/>
          </w:tcPr>
          <w:p>
            <w:r>
              <w:t>area × thickness → m³</w:t>
            </w:r>
          </w:p>
        </w:tc>
      </w:tr>
      <w:tr>
        <w:tc>
          <w:tcPr>
            <w:tcW w:type="dxa" w:w="2880"/>
          </w:tcPr>
          <w:p>
            <w:r>
              <w:t>Combined</w:t>
            </w:r>
          </w:p>
        </w:tc>
        <w:tc>
          <w:tcPr>
            <w:tcW w:type="dxa" w:w="2880"/>
          </w:tcPr>
          <w:p>
            <w:r>
              <w:t>Slab + beam totals</w:t>
            </w:r>
          </w:p>
        </w:tc>
        <w:tc>
          <w:tcPr>
            <w:tcW w:type="dxa" w:w="2880"/>
          </w:tcPr>
          <w:p>
            <w:r>
              <w:t>Reported in Summary and Excel</w:t>
            </w:r>
          </w:p>
        </w:tc>
      </w:tr>
    </w:tbl>
    <w:p>
      <w:r>
        <w:t>Slab fallback: beam-grid → region polygonize → beam-frame bbox.</w:t>
      </w:r>
    </w:p>
    <w:p>
      <w:pPr>
        <w:pStyle w:val="Heading1"/>
      </w:pPr>
      <w:r>
        <w:t>6. Inference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project-id</w:t>
            </w:r>
          </w:p>
        </w:tc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</w:tr>
      <w:tr>
        <w:tc>
          <w:tcPr>
            <w:tcW w:type="dxa" w:w="2880"/>
          </w:tcPr>
          <w:p>
            <w:r>
              <w:t>GENERIC (default)</w:t>
            </w:r>
          </w:p>
        </w:tc>
        <w:tc>
          <w:tcPr>
            <w:tcW w:type="dxa" w:w="2880"/>
          </w:tcPr>
          <w:p>
            <w:r>
              <w:t>All teach projects merged</w:t>
            </w:r>
          </w:p>
        </w:tc>
        <w:tc>
          <w:tcPr>
            <w:tcW w:type="dxa" w:w="2880"/>
          </w:tcPr>
          <w:p>
            <w:r>
              <w:t>New / unknown drawings</w:t>
            </w:r>
          </w:p>
        </w:tc>
      </w:tr>
      <w:tr>
        <w:tc>
          <w:tcPr>
            <w:tcW w:type="dxa" w:w="2880"/>
          </w:tcPr>
          <w:p>
            <w:r>
              <w:t>INIZIO</w:t>
            </w:r>
          </w:p>
        </w:tc>
        <w:tc>
          <w:tcPr>
            <w:tcW w:type="dxa" w:w="2880"/>
          </w:tcPr>
          <w:p>
            <w:r>
              <w:t>Inizio + GLOBAL</w:t>
            </w:r>
          </w:p>
        </w:tc>
        <w:tc>
          <w:tcPr>
            <w:tcW w:type="dxa" w:w="2880"/>
          </w:tcPr>
          <w:p>
            <w:r>
              <w:t>Teach evaluation</w:t>
            </w:r>
          </w:p>
        </w:tc>
      </w:tr>
      <w:tr>
        <w:tc>
          <w:tcPr>
            <w:tcW w:type="dxa" w:w="2880"/>
          </w:tcPr>
          <w:p>
            <w:r>
              <w:t>TRUST_OFFICE</w:t>
            </w:r>
          </w:p>
        </w:tc>
        <w:tc>
          <w:tcPr>
            <w:tcW w:type="dxa" w:w="2880"/>
          </w:tcPr>
          <w:p>
            <w:r>
              <w:t>Trust + GLOBAL</w:t>
            </w:r>
          </w:p>
        </w:tc>
        <w:tc>
          <w:tcPr>
            <w:tcW w:type="dxa" w:w="2880"/>
          </w:tcPr>
          <w:p>
            <w:r>
              <w:t>Teach evaluation</w:t>
            </w:r>
          </w:p>
        </w:tc>
      </w:tr>
    </w:tbl>
    <w:p>
      <w:pPr>
        <w:pStyle w:val="Heading1"/>
      </w:pPr>
      <w:r>
        <w:t>7. Key CLI Flags</w:t>
      </w:r>
    </w:p>
    <w:p>
      <w:pPr>
        <w:pStyle w:val="ListBullet"/>
      </w:pPr>
      <w:r>
        <w:t>python scripts/run_pipeline.py &lt;dxf&gt; -o &lt;output_dir&gt;</w:t>
      </w:r>
    </w:p>
    <w:p>
      <w:pPr>
        <w:pStyle w:val="ListBullet"/>
      </w:pPr>
      <w:r>
        <w:t>--project-id GENERIC (default)</w:t>
      </w:r>
    </w:p>
    <w:p>
      <w:pPr>
        <w:pStyle w:val="ListBullet"/>
      </w:pPr>
      <w:r>
        <w:t>--no-deepseek — skip DeepSeek reasoning</w:t>
      </w:r>
    </w:p>
    <w:p>
      <w:pPr>
        <w:pStyle w:val="ListBullet"/>
      </w:pPr>
      <w:r>
        <w:t>--no-beam-quantities — skip beam takeoff</w:t>
      </w:r>
    </w:p>
    <w:p>
      <w:pPr>
        <w:pStyle w:val="ListBullet"/>
      </w:pPr>
      <w:r>
        <w:t>DEEPSEEK_API_KEY in Phase2_Concrete_Estimation/.env</w:t>
      </w:r>
    </w:p>
    <w:p>
      <w:pPr>
        <w:pStyle w:val="Heading1"/>
      </w:pPr>
      <w:r>
        <w:t>8. Output Files</w:t>
      </w:r>
    </w:p>
    <w:p>
      <w:pPr>
        <w:pStyle w:val="ListBullet"/>
      </w:pPr>
      <w:r>
        <w:t>{drawing}_results.json</w:t>
      </w:r>
    </w:p>
    <w:p>
      <w:pPr>
        <w:pStyle w:val="ListBullet"/>
      </w:pPr>
      <w:r>
        <w:t>{drawing}_building_model.json</w:t>
      </w:r>
    </w:p>
    <w:p>
      <w:pPr>
        <w:pStyle w:val="ListBullet"/>
      </w:pPr>
      <w:r>
        <w:t>{drawing}_overlay.html / .svg</w:t>
      </w:r>
    </w:p>
    <w:p>
      <w:pPr>
        <w:pStyle w:val="ListBullet"/>
      </w:pPr>
      <w:r>
        <w:t>{drawing}_quantities.xlsx — Summary, Slabs, Beams, Classification</w:t>
      </w:r>
    </w:p>
    <w:p>
      <w:pPr>
        <w:pStyle w:val="ListBullet"/>
      </w:pPr>
      <w:r>
        <w:t>{drawing}_review_queue.json</w:t>
      </w:r>
    </w:p>
    <w:p>
      <w:pPr>
        <w:pStyle w:val="ListBullet"/>
      </w:pPr>
      <w:r>
        <w:t>{drawing}_summary.txt</w:t>
      </w:r>
    </w:p>
    <w:p/>
    <w:p>
      <w:pPr>
        <w:jc w:val="center"/>
      </w:pPr>
      <w:r>
        <w:rPr>
          <w:i/>
          <w:color w:val="666666"/>
          <w:sz w:val="18"/>
        </w:rPr>
        <w:t>SDIE V6 · P2_SlabVersion6 · Teach-then-infer structural estimation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