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eastAsia="Calibri"/>
          <w:b/>
          <w:color w:val="1B365D"/>
          <w:sz w:val="40"/>
        </w:rPr>
        <w:t>STEEL BEAM ESTIMATION</w:t>
      </w:r>
    </w:p>
    <w:p>
      <w:pPr>
        <w:spacing w:after="40"/>
      </w:pPr>
      <w:r>
        <w:rPr>
          <w:rFonts w:ascii="Calibri" w:hAnsi="Calibri" w:eastAsia="Calibri"/>
          <w:b w:val="0"/>
          <w:color w:val="2F5D7C"/>
          <w:sz w:val="24"/>
        </w:rPr>
        <w:t>Current Hybrid Architecture Performance  ·  Second to Sixth Drawing Sets</w:t>
      </w:r>
    </w:p>
    <w:p>
      <w:pPr>
        <w:spacing w:after="160"/>
      </w:pPr>
      <w:r>
        <w:rPr>
          <w:rFonts w:ascii="Calibri" w:hAnsi="Calibri" w:eastAsia="Calibri"/>
          <w:b/>
          <w:color w:val="8A5A00"/>
          <w:sz w:val="18"/>
        </w:rPr>
        <w:t>Version 10  ·  MODEL_VERSION 10.11.24  ·  Gate P2610E3_SECOND_TO_SIXTH_FULL_POPULATION_LIVE_VISION_HYBRID_ACCURACY_BENCHMARK_AND_REPORT_V1_0  ·  Decision PASS_WITH_LIMITATIONS  ·  Benchmark mode LIVE_BENCHMARK</w:t>
      </w:r>
    </w:p>
    <w:tbl>
      <w:tblPr>
        <w:tblW w:type="dxa" w:w="9639"/>
        <w:jc w:val="center"/>
        <w:tblLayout w:type="fixed"/>
        <w:tblLook w:firstColumn="1" w:firstRow="1" w:lastColumn="0" w:lastRow="0" w:noHBand="0" w:noVBand="1" w:val="04A0"/>
      </w:tblPr>
      <w:tblGrid>
        <w:gridCol w:w="9978"/>
      </w:tblGrid>
      <w:tr>
        <w:tc>
          <w:tcPr>
            <w:tcW w:type="dxa" w:w="9638"/>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22"/>
              </w:rPr>
              <w:t>CURRENT HYBRID ARCHITECTURE PERFORMANCE  —  SECOND TO SIXTH SETS</w:t>
            </w:r>
          </w:p>
        </w:tc>
      </w:tr>
    </w:tbl>
    <w:p>
      <w:pPr>
        <w:spacing w:after="60"/>
      </w:pPr>
    </w:p>
    <w:tbl>
      <w:tblPr>
        <w:tblW w:type="dxa" w:w="9639"/>
        <w:jc w:val="center"/>
        <w:tblLayout w:type="fixed"/>
        <w:tblLook w:firstColumn="1" w:firstRow="1" w:lastColumn="0" w:lastRow="0" w:noHBand="0" w:noVBand="1" w:val="04A0"/>
      </w:tblPr>
      <w:tblGrid>
        <w:gridCol w:w="2494"/>
        <w:gridCol w:w="2494"/>
        <w:gridCol w:w="2494"/>
        <w:gridCol w:w="2494"/>
      </w:tblGrid>
      <w:tr>
        <w:tc>
          <w:tcPr>
            <w:tcW w:type="dxa" w:w="2409"/>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Beam identification</w:t>
            </w:r>
          </w:p>
        </w:tc>
        <w:tc>
          <w:tcPr>
            <w:tcW w:type="dxa" w:w="2409"/>
            <w:shd w:fill="2F5D7C"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Bar identification</w:t>
            </w:r>
          </w:p>
        </w:tc>
        <w:tc>
          <w:tcPr>
            <w:tcW w:type="dxa" w:w="2409"/>
            <w:shd w:fill="1F6B3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Correct of detected bars</w:t>
            </w:r>
          </w:p>
        </w:tc>
        <w:tc>
          <w:tcPr>
            <w:tcW w:type="dxa" w:w="2409"/>
            <w:shd w:fill="B88A2E"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Diameter identification</w:t>
            </w:r>
          </w:p>
        </w:tc>
      </w:tr>
      <w:tr>
        <w:tc>
          <w:tcPr>
            <w:tcW w:type="dxa" w:w="2409"/>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1B365D"/>
                <w:sz w:val="24"/>
              </w:rPr>
              <w:t>85.12%</w:t>
            </w:r>
          </w:p>
        </w:tc>
        <w:tc>
          <w:tcPr>
            <w:tcW w:type="dxa" w:w="2409"/>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1B365D"/>
                <w:sz w:val="24"/>
              </w:rPr>
              <w:t>48.17%</w:t>
            </w:r>
          </w:p>
        </w:tc>
        <w:tc>
          <w:tcPr>
            <w:tcW w:type="dxa" w:w="2409"/>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1B365D"/>
                <w:sz w:val="24"/>
              </w:rPr>
              <w:t>36.50%</w:t>
            </w:r>
          </w:p>
        </w:tc>
        <w:tc>
          <w:tcPr>
            <w:tcW w:type="dxa" w:w="2409"/>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1B365D"/>
                <w:sz w:val="24"/>
              </w:rPr>
              <w:t>77.84%</w:t>
            </w:r>
          </w:p>
        </w:tc>
      </w:tr>
    </w:tbl>
    <w:p>
      <w:pPr>
        <w:spacing w:after="160"/>
      </w:pPr>
    </w:p>
    <w:tbl>
      <w:tblPr>
        <w:tblW w:type="dxa" w:w="9639"/>
        <w:jc w:val="center"/>
        <w:tblLayout w:type="fixed"/>
        <w:tblLook w:firstColumn="1" w:firstRow="1" w:lastColumn="0" w:lastRow="0" w:noHBand="0" w:noVBand="1" w:val="04A0"/>
      </w:tblPr>
      <w:tblGrid>
        <w:gridCol w:w="2494"/>
        <w:gridCol w:w="2494"/>
        <w:gridCol w:w="2494"/>
        <w:gridCol w:w="2494"/>
      </w:tblGrid>
      <w:tr>
        <w:tc>
          <w:tcPr>
            <w:tcW w:type="dxa" w:w="2409"/>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Steel / weight accuracy</w:t>
            </w:r>
          </w:p>
        </w:tc>
        <w:tc>
          <w:tcPr>
            <w:tcW w:type="dxa" w:w="2409"/>
            <w:shd w:fill="2F5D7C"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Overall accuracy</w:t>
            </w:r>
          </w:p>
        </w:tc>
        <w:tc>
          <w:tcPr>
            <w:tcW w:type="dxa" w:w="2409"/>
            <w:shd w:fill="1F6B3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HYBRID coverage</w:t>
            </w:r>
          </w:p>
        </w:tc>
        <w:tc>
          <w:tcPr>
            <w:tcW w:type="dxa" w:w="2409"/>
            <w:shd w:fill="B88A2E"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FALLBACK coverage</w:t>
            </w:r>
          </w:p>
        </w:tc>
      </w:tr>
      <w:tr>
        <w:tc>
          <w:tcPr>
            <w:tcW w:type="dxa" w:w="2409"/>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1B365D"/>
                <w:sz w:val="24"/>
              </w:rPr>
              <w:t>60.64%</w:t>
            </w:r>
          </w:p>
        </w:tc>
        <w:tc>
          <w:tcPr>
            <w:tcW w:type="dxa" w:w="2409"/>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1B365D"/>
                <w:sz w:val="24"/>
              </w:rPr>
              <w:t>57.61%</w:t>
            </w:r>
          </w:p>
        </w:tc>
        <w:tc>
          <w:tcPr>
            <w:tcW w:type="dxa" w:w="2409"/>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1B365D"/>
                <w:sz w:val="24"/>
              </w:rPr>
              <w:t>91.70%</w:t>
            </w:r>
          </w:p>
        </w:tc>
        <w:tc>
          <w:tcPr>
            <w:tcW w:type="dxa" w:w="2409"/>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1B365D"/>
                <w:sz w:val="24"/>
              </w:rPr>
              <w:t>8.30%</w:t>
            </w:r>
          </w:p>
        </w:tc>
      </w:tr>
    </w:tbl>
    <w:p>
      <w:pPr>
        <w:spacing w:after="160"/>
      </w:pPr>
    </w:p>
    <w:p>
      <w:pPr>
        <w:spacing w:after="160" w:before="0" w:line="259" w:lineRule="auto"/>
      </w:pPr>
      <w:r>
        <w:rPr>
          <w:rFonts w:ascii="Calibri" w:hAnsi="Calibri" w:eastAsia="Calibri"/>
          <w:b w:val="0"/>
          <w:color w:val="3D4A57"/>
          <w:sz w:val="20"/>
        </w:rPr>
        <w:t>This report measures the current hybrid architecture on Second through Sixth drawing sets. Claude Vision is the preferred semantic interpreter after validation. The deterministic engine remains the engineering calculation authority. First Set is excluded. This is not a historical improvement study and not a production-readiness claim.</w:t>
      </w:r>
    </w:p>
    <w:tbl>
      <w:tblPr>
        <w:tblW w:type="dxa" w:w="9639"/>
        <w:jc w:val="center"/>
        <w:tblLayout w:type="fixed"/>
        <w:tblLook w:firstColumn="1" w:firstRow="1" w:lastColumn="0" w:lastRow="0" w:noHBand="0" w:noVBand="1" w:val="04A0"/>
      </w:tblPr>
      <w:tblGrid>
        <w:gridCol w:w="9978"/>
      </w:tblGrid>
      <w:tr>
        <w:tc>
          <w:tcPr>
            <w:tcW w:type="dxa" w:w="9638"/>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22"/>
              </w:rPr>
              <w:t>1.  Executive summary</w:t>
            </w:r>
          </w:p>
        </w:tc>
      </w:tr>
    </w:tbl>
    <w:p>
      <w:pPr>
        <w:spacing w:after="60"/>
      </w:pPr>
    </w:p>
    <w:p>
      <w:pPr>
        <w:spacing w:after="120" w:before="0" w:line="259" w:lineRule="auto"/>
      </w:pPr>
      <w:r>
        <w:rPr>
          <w:rFonts w:ascii="Calibri" w:hAnsi="Calibri" w:eastAsia="Calibri"/>
          <w:b w:val="0"/>
          <w:color w:val="3D4A57"/>
          <w:sz w:val="20"/>
        </w:rPr>
        <w:t>Five drawing sets were discovered dynamically and scored with the QA.2A / QA.3.0 methodology. Model beams: 530. Ground-truth beams: 605. Matched IDs: 515. Vision usable (HYBRID): 486. Deterministic fallback: 44. Pooled overall accuracy is the mean of pooled beam identification, bar identification, correct-of-detected, and kg-pooled steel/weight accuracy. Diameter is reported separately.</w:t>
      </w:r>
    </w:p>
    <w:tbl>
      <w:tblPr>
        <w:tblW w:type="dxa" w:w="9639"/>
        <w:jc w:val="center"/>
        <w:tblLayout w:type="fixed"/>
        <w:tblLook w:firstColumn="1" w:firstRow="1" w:lastColumn="0" w:lastRow="0" w:noHBand="0" w:noVBand="1" w:val="04A0"/>
      </w:tblPr>
      <w:tblGrid>
        <w:gridCol w:w="9978"/>
      </w:tblGrid>
      <w:tr>
        <w:tc>
          <w:tcPr>
            <w:tcW w:type="dxa" w:w="9638"/>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22"/>
              </w:rPr>
              <w:t>2.  Current hybrid architecture</w:t>
            </w:r>
          </w:p>
        </w:tc>
      </w:tr>
    </w:tbl>
    <w:p>
      <w:pPr>
        <w:spacing w:after="60"/>
      </w:pPr>
    </w:p>
    <w:p>
      <w:pPr>
        <w:spacing w:after="80" w:before="0" w:line="259" w:lineRule="auto"/>
      </w:pPr>
      <w:r>
        <w:rPr>
          <w:rFonts w:ascii="Calibri" w:hAnsi="Calibri" w:eastAsia="Calibri"/>
          <w:b/>
          <w:color w:val="3D4A57"/>
          <w:sz w:val="20"/>
        </w:rPr>
        <w:t>DXF → Beam discovery → Deterministic geometry context → Claude Vision semantic interpretation → D.1 semantic authority contract → D.2 hybrid resolution → D.3 engineering binding → D.4 shadow engineering calculation → accuracy benchmark versus estimator truth.</w:t>
      </w:r>
    </w:p>
    <w:p>
      <w:pPr>
        <w:spacing w:after="120" w:before="0" w:line="259" w:lineRule="auto"/>
      </w:pPr>
      <w:r>
        <w:rPr>
          <w:rFonts w:ascii="Calibri" w:hAnsi="Calibri" w:eastAsia="Calibri"/>
          <w:b w:val="0"/>
          <w:color w:val="3D4A57"/>
          <w:sz w:val="19"/>
        </w:rPr>
        <w:t>VISION SEMANTICS (preferred after validation): target identity, layer, physical group detection, bar count, diameter, specification, MAIN/EXTRA role, support scope, stirrup identification. DETERMINISTIC ENGINEERING: spacers, geometry, cut length, development length, anchorage, hooks/bends, stirrup geometry/zones/spacing/quantity, piece generation, weight, BBS, workbook generation. Vision-preferred does not mean blindly accepted. Ambiguous matches are withheld, not forced.</w:t>
      </w:r>
    </w:p>
    <w:tbl>
      <w:tblPr>
        <w:tblW w:type="dxa" w:w="9639"/>
        <w:jc w:val="center"/>
        <w:tblLayout w:type="fixed"/>
        <w:tblLook w:firstColumn="1" w:firstRow="1" w:lastColumn="0" w:lastRow="0" w:noHBand="0" w:noVBand="1" w:val="04A0"/>
      </w:tblPr>
      <w:tblGrid>
        <w:gridCol w:w="9978"/>
      </w:tblGrid>
      <w:tr>
        <w:tc>
          <w:tcPr>
            <w:tcW w:type="dxa" w:w="9638"/>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22"/>
              </w:rPr>
              <w:t>3.  Benchmark scope and population</w:t>
            </w:r>
          </w:p>
        </w:tc>
      </w:tr>
    </w:tbl>
    <w:p>
      <w:pPr>
        <w:spacing w:after="60"/>
      </w:pPr>
    </w:p>
    <w:tbl>
      <w:tblPr>
        <w:tblW w:type="dxa" w:w="8505"/>
        <w:jc w:val="center"/>
        <w:tblLayout w:type="fixed"/>
        <w:tblLook w:firstColumn="1" w:firstRow="1" w:lastColumn="0" w:lastRow="0" w:noHBand="0" w:noVBand="1" w:val="04A0"/>
      </w:tblPr>
      <w:tblGrid>
        <w:gridCol w:w="1425"/>
        <w:gridCol w:w="1425"/>
        <w:gridCol w:w="1425"/>
        <w:gridCol w:w="1425"/>
        <w:gridCol w:w="1425"/>
        <w:gridCol w:w="1425"/>
        <w:gridCol w:w="1425"/>
      </w:tblGrid>
      <w:tr>
        <w:tc>
          <w:tcPr>
            <w:tcW w:type="dxa" w:w="1361"/>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Drawing set</w:t>
            </w:r>
          </w:p>
        </w:tc>
        <w:tc>
          <w:tcPr>
            <w:tcW w:type="dxa" w:w="1191"/>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Model beams</w:t>
            </w:r>
          </w:p>
        </w:tc>
        <w:tc>
          <w:tcPr>
            <w:tcW w:type="dxa" w:w="1077"/>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GT beams</w:t>
            </w:r>
          </w:p>
        </w:tc>
        <w:tc>
          <w:tcPr>
            <w:tcW w:type="dxa" w:w="1020"/>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Matched</w:t>
            </w:r>
          </w:p>
        </w:tc>
        <w:tc>
          <w:tcPr>
            <w:tcW w:type="dxa" w:w="1361"/>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Unmatched model</w:t>
            </w:r>
          </w:p>
        </w:tc>
        <w:tc>
          <w:tcPr>
            <w:tcW w:type="dxa" w:w="1247"/>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Unmatched GT</w:t>
            </w:r>
          </w:p>
        </w:tc>
        <w:tc>
          <w:tcPr>
            <w:tcW w:type="dxa" w:w="1247"/>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Truth source</w:t>
            </w:r>
          </w:p>
        </w:tc>
      </w:tr>
      <w:tr>
        <w:tc>
          <w:tcPr>
            <w:tcW w:type="dxa" w:w="1361"/>
            <w:shd w:fill="FFFFFF"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Second Set</w:t>
            </w:r>
          </w:p>
        </w:tc>
        <w:tc>
          <w:tcPr>
            <w:tcW w:type="dxa" w:w="1191"/>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65</w:t>
            </w:r>
          </w:p>
        </w:tc>
        <w:tc>
          <w:tcPr>
            <w:tcW w:type="dxa" w:w="107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67</w:t>
            </w:r>
          </w:p>
        </w:tc>
        <w:tc>
          <w:tcPr>
            <w:tcW w:type="dxa" w:w="1020"/>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64</w:t>
            </w:r>
          </w:p>
        </w:tc>
        <w:tc>
          <w:tcPr>
            <w:tcW w:type="dxa" w:w="1361"/>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w:t>
            </w:r>
          </w:p>
        </w:tc>
        <w:tc>
          <w:tcPr>
            <w:tcW w:type="dxa" w:w="124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2</w:t>
            </w:r>
          </w:p>
        </w:tc>
        <w:tc>
          <w:tcPr>
            <w:tcW w:type="dxa" w:w="124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ESTIMATOR_EXCEL</w:t>
            </w:r>
          </w:p>
        </w:tc>
      </w:tr>
      <w:tr>
        <w:tc>
          <w:tcPr>
            <w:tcW w:type="dxa" w:w="1361"/>
            <w:shd w:fill="F4F7FA"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Third Set</w:t>
            </w:r>
          </w:p>
        </w:tc>
        <w:tc>
          <w:tcPr>
            <w:tcW w:type="dxa" w:w="1191"/>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61</w:t>
            </w:r>
          </w:p>
        </w:tc>
        <w:tc>
          <w:tcPr>
            <w:tcW w:type="dxa" w:w="107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63</w:t>
            </w:r>
          </w:p>
        </w:tc>
        <w:tc>
          <w:tcPr>
            <w:tcW w:type="dxa" w:w="1020"/>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57</w:t>
            </w:r>
          </w:p>
        </w:tc>
        <w:tc>
          <w:tcPr>
            <w:tcW w:type="dxa" w:w="1361"/>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4</w:t>
            </w:r>
          </w:p>
        </w:tc>
        <w:tc>
          <w:tcPr>
            <w:tcW w:type="dxa" w:w="124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4</w:t>
            </w:r>
          </w:p>
        </w:tc>
        <w:tc>
          <w:tcPr>
            <w:tcW w:type="dxa" w:w="124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ESTIMATOR_EXCEL</w:t>
            </w:r>
          </w:p>
        </w:tc>
      </w:tr>
      <w:tr>
        <w:tc>
          <w:tcPr>
            <w:tcW w:type="dxa" w:w="1361"/>
            <w:shd w:fill="FFFFFF"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Fourth Set</w:t>
            </w:r>
          </w:p>
        </w:tc>
        <w:tc>
          <w:tcPr>
            <w:tcW w:type="dxa" w:w="1191"/>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118</w:t>
            </w:r>
          </w:p>
        </w:tc>
        <w:tc>
          <w:tcPr>
            <w:tcW w:type="dxa" w:w="107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143</w:t>
            </w:r>
          </w:p>
        </w:tc>
        <w:tc>
          <w:tcPr>
            <w:tcW w:type="dxa" w:w="1020"/>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112</w:t>
            </w:r>
          </w:p>
        </w:tc>
        <w:tc>
          <w:tcPr>
            <w:tcW w:type="dxa" w:w="1361"/>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6</w:t>
            </w:r>
          </w:p>
        </w:tc>
        <w:tc>
          <w:tcPr>
            <w:tcW w:type="dxa" w:w="124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22</w:t>
            </w:r>
          </w:p>
        </w:tc>
        <w:tc>
          <w:tcPr>
            <w:tcW w:type="dxa" w:w="124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ESTIMATOR_EXCEL</w:t>
            </w:r>
          </w:p>
        </w:tc>
      </w:tr>
      <w:tr>
        <w:tc>
          <w:tcPr>
            <w:tcW w:type="dxa" w:w="1361"/>
            <w:shd w:fill="F4F7FA"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Fifth Set</w:t>
            </w:r>
          </w:p>
        </w:tc>
        <w:tc>
          <w:tcPr>
            <w:tcW w:type="dxa" w:w="1191"/>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143</w:t>
            </w:r>
          </w:p>
        </w:tc>
        <w:tc>
          <w:tcPr>
            <w:tcW w:type="dxa" w:w="107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187</w:t>
            </w:r>
          </w:p>
        </w:tc>
        <w:tc>
          <w:tcPr>
            <w:tcW w:type="dxa" w:w="1020"/>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143</w:t>
            </w:r>
          </w:p>
        </w:tc>
        <w:tc>
          <w:tcPr>
            <w:tcW w:type="dxa" w:w="1361"/>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0</w:t>
            </w:r>
          </w:p>
        </w:tc>
        <w:tc>
          <w:tcPr>
            <w:tcW w:type="dxa" w:w="124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42</w:t>
            </w:r>
          </w:p>
        </w:tc>
        <w:tc>
          <w:tcPr>
            <w:tcW w:type="dxa" w:w="124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ESTIMATOR_EXCEL</w:t>
            </w:r>
          </w:p>
        </w:tc>
      </w:tr>
      <w:tr>
        <w:tc>
          <w:tcPr>
            <w:tcW w:type="dxa" w:w="1361"/>
            <w:shd w:fill="FFFFFF"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Sixth Set</w:t>
            </w:r>
          </w:p>
        </w:tc>
        <w:tc>
          <w:tcPr>
            <w:tcW w:type="dxa" w:w="1191"/>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143</w:t>
            </w:r>
          </w:p>
        </w:tc>
        <w:tc>
          <w:tcPr>
            <w:tcW w:type="dxa" w:w="107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145</w:t>
            </w:r>
          </w:p>
        </w:tc>
        <w:tc>
          <w:tcPr>
            <w:tcW w:type="dxa" w:w="1020"/>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139</w:t>
            </w:r>
          </w:p>
        </w:tc>
        <w:tc>
          <w:tcPr>
            <w:tcW w:type="dxa" w:w="1361"/>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4</w:t>
            </w:r>
          </w:p>
        </w:tc>
        <w:tc>
          <w:tcPr>
            <w:tcW w:type="dxa" w:w="124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6</w:t>
            </w:r>
          </w:p>
        </w:tc>
        <w:tc>
          <w:tcPr>
            <w:tcW w:type="dxa" w:w="124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ESTIMATOR_EXCEL</w:t>
            </w:r>
          </w:p>
        </w:tc>
      </w:tr>
    </w:tbl>
    <w:p>
      <w:pPr>
        <w:spacing w:after="120"/>
      </w:pPr>
    </w:p>
    <w:p>
      <w:pPr>
        <w:spacing w:after="120" w:before="0" w:line="259" w:lineRule="auto"/>
      </w:pPr>
      <w:r>
        <w:rPr>
          <w:rFonts w:ascii="Calibri" w:hAnsi="Calibri" w:eastAsia="Calibri"/>
          <w:b w:val="0"/>
          <w:color w:val="2F5D7C"/>
          <w:sz w:val="18"/>
        </w:rPr>
        <w:t>First Set is excluded from all aggregate KPIs. Unmatched beams are recorded, not silently dropped.</w:t>
      </w:r>
    </w:p>
    <w:tbl>
      <w:tblPr>
        <w:tblW w:type="dxa" w:w="9639"/>
        <w:jc w:val="center"/>
        <w:tblLayout w:type="fixed"/>
        <w:tblLook w:firstColumn="1" w:firstRow="1" w:lastColumn="0" w:lastRow="0" w:noHBand="0" w:noVBand="1" w:val="04A0"/>
      </w:tblPr>
      <w:tblGrid>
        <w:gridCol w:w="9978"/>
      </w:tblGrid>
      <w:tr>
        <w:tc>
          <w:tcPr>
            <w:tcW w:type="dxa" w:w="9638"/>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22"/>
              </w:rPr>
              <w:t>4.  Vision execution and hybrid coverage</w:t>
            </w:r>
          </w:p>
        </w:tc>
      </w:tr>
    </w:tbl>
    <w:p>
      <w:pPr>
        <w:spacing w:after="60"/>
      </w:pPr>
    </w:p>
    <w:tbl>
      <w:tblPr>
        <w:tblW w:type="dxa" w:w="8845"/>
        <w:jc w:val="center"/>
        <w:tblLayout w:type="fixed"/>
        <w:tblLook w:firstColumn="1" w:firstRow="1" w:lastColumn="0" w:lastRow="0" w:noHBand="0" w:noVBand="1" w:val="04A0"/>
      </w:tblPr>
      <w:tblGrid>
        <w:gridCol w:w="907"/>
        <w:gridCol w:w="907"/>
        <w:gridCol w:w="907"/>
        <w:gridCol w:w="907"/>
        <w:gridCol w:w="907"/>
        <w:gridCol w:w="907"/>
        <w:gridCol w:w="907"/>
        <w:gridCol w:w="907"/>
        <w:gridCol w:w="907"/>
        <w:gridCol w:w="907"/>
        <w:gridCol w:w="907"/>
      </w:tblGrid>
      <w:tr>
        <w:tc>
          <w:tcPr>
            <w:tcW w:type="dxa" w:w="964"/>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Set</w:t>
            </w:r>
          </w:p>
        </w:tc>
        <w:tc>
          <w:tcPr>
            <w:tcW w:type="dxa" w:w="794"/>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Eligible</w:t>
            </w:r>
          </w:p>
        </w:tc>
        <w:tc>
          <w:tcPr>
            <w:tcW w:type="dxa" w:w="907"/>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Attempted</w:t>
            </w:r>
          </w:p>
        </w:tc>
        <w:tc>
          <w:tcPr>
            <w:tcW w:type="dxa" w:w="794"/>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New live</w:t>
            </w:r>
          </w:p>
        </w:tc>
        <w:tc>
          <w:tcPr>
            <w:tcW w:type="dxa" w:w="737"/>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Reused</w:t>
            </w:r>
          </w:p>
        </w:tc>
        <w:tc>
          <w:tcPr>
            <w:tcW w:type="dxa" w:w="737"/>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Retried</w:t>
            </w:r>
          </w:p>
        </w:tc>
        <w:tc>
          <w:tcPr>
            <w:tcW w:type="dxa" w:w="737"/>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API ok</w:t>
            </w:r>
          </w:p>
        </w:tc>
        <w:tc>
          <w:tcPr>
            <w:tcW w:type="dxa" w:w="737"/>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Schema</w:t>
            </w:r>
          </w:p>
        </w:tc>
        <w:tc>
          <w:tcPr>
            <w:tcW w:type="dxa" w:w="737"/>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Usable</w:t>
            </w:r>
          </w:p>
        </w:tc>
        <w:tc>
          <w:tcPr>
            <w:tcW w:type="dxa" w:w="794"/>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HYBRID</w:t>
            </w:r>
          </w:p>
        </w:tc>
        <w:tc>
          <w:tcPr>
            <w:tcW w:type="dxa" w:w="907"/>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FALLBACK</w:t>
            </w:r>
          </w:p>
        </w:tc>
      </w:tr>
      <w:tr>
        <w:tc>
          <w:tcPr>
            <w:tcW w:type="dxa" w:w="964"/>
            <w:shd w:fill="FFFFFF"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Second Set</w:t>
            </w:r>
          </w:p>
        </w:tc>
        <w:tc>
          <w:tcPr>
            <w:tcW w:type="dxa" w:w="794"/>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63</w:t>
            </w:r>
          </w:p>
        </w:tc>
        <w:tc>
          <w:tcPr>
            <w:tcW w:type="dxa" w:w="90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63</w:t>
            </w:r>
          </w:p>
        </w:tc>
        <w:tc>
          <w:tcPr>
            <w:tcW w:type="dxa" w:w="794"/>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63</w:t>
            </w:r>
          </w:p>
        </w:tc>
        <w:tc>
          <w:tcPr>
            <w:tcW w:type="dxa" w:w="73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0</w:t>
            </w:r>
          </w:p>
        </w:tc>
        <w:tc>
          <w:tcPr>
            <w:tcW w:type="dxa" w:w="73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0</w:t>
            </w:r>
          </w:p>
        </w:tc>
        <w:tc>
          <w:tcPr>
            <w:tcW w:type="dxa" w:w="73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63</w:t>
            </w:r>
          </w:p>
        </w:tc>
        <w:tc>
          <w:tcPr>
            <w:tcW w:type="dxa" w:w="73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63</w:t>
            </w:r>
          </w:p>
        </w:tc>
        <w:tc>
          <w:tcPr>
            <w:tcW w:type="dxa" w:w="73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63</w:t>
            </w:r>
          </w:p>
        </w:tc>
        <w:tc>
          <w:tcPr>
            <w:tcW w:type="dxa" w:w="794"/>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63</w:t>
            </w:r>
          </w:p>
        </w:tc>
        <w:tc>
          <w:tcPr>
            <w:tcW w:type="dxa" w:w="90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2</w:t>
            </w:r>
          </w:p>
        </w:tc>
      </w:tr>
      <w:tr>
        <w:tc>
          <w:tcPr>
            <w:tcW w:type="dxa" w:w="964"/>
            <w:shd w:fill="F4F7FA"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Third Set</w:t>
            </w:r>
          </w:p>
        </w:tc>
        <w:tc>
          <w:tcPr>
            <w:tcW w:type="dxa" w:w="794"/>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61</w:t>
            </w:r>
          </w:p>
        </w:tc>
        <w:tc>
          <w:tcPr>
            <w:tcW w:type="dxa" w:w="90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61</w:t>
            </w:r>
          </w:p>
        </w:tc>
        <w:tc>
          <w:tcPr>
            <w:tcW w:type="dxa" w:w="794"/>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61</w:t>
            </w:r>
          </w:p>
        </w:tc>
        <w:tc>
          <w:tcPr>
            <w:tcW w:type="dxa" w:w="73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0</w:t>
            </w:r>
          </w:p>
        </w:tc>
        <w:tc>
          <w:tcPr>
            <w:tcW w:type="dxa" w:w="73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0</w:t>
            </w:r>
          </w:p>
        </w:tc>
        <w:tc>
          <w:tcPr>
            <w:tcW w:type="dxa" w:w="73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61</w:t>
            </w:r>
          </w:p>
        </w:tc>
        <w:tc>
          <w:tcPr>
            <w:tcW w:type="dxa" w:w="73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61</w:t>
            </w:r>
          </w:p>
        </w:tc>
        <w:tc>
          <w:tcPr>
            <w:tcW w:type="dxa" w:w="73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61</w:t>
            </w:r>
          </w:p>
        </w:tc>
        <w:tc>
          <w:tcPr>
            <w:tcW w:type="dxa" w:w="794"/>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61</w:t>
            </w:r>
          </w:p>
        </w:tc>
        <w:tc>
          <w:tcPr>
            <w:tcW w:type="dxa" w:w="90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0</w:t>
            </w:r>
          </w:p>
        </w:tc>
      </w:tr>
      <w:tr>
        <w:tc>
          <w:tcPr>
            <w:tcW w:type="dxa" w:w="964"/>
            <w:shd w:fill="FFFFFF"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Fourth Set</w:t>
            </w:r>
          </w:p>
        </w:tc>
        <w:tc>
          <w:tcPr>
            <w:tcW w:type="dxa" w:w="794"/>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76</w:t>
            </w:r>
          </w:p>
        </w:tc>
        <w:tc>
          <w:tcPr>
            <w:tcW w:type="dxa" w:w="90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76</w:t>
            </w:r>
          </w:p>
        </w:tc>
        <w:tc>
          <w:tcPr>
            <w:tcW w:type="dxa" w:w="794"/>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76</w:t>
            </w:r>
          </w:p>
        </w:tc>
        <w:tc>
          <w:tcPr>
            <w:tcW w:type="dxa" w:w="73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0</w:t>
            </w:r>
          </w:p>
        </w:tc>
        <w:tc>
          <w:tcPr>
            <w:tcW w:type="dxa" w:w="73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0</w:t>
            </w:r>
          </w:p>
        </w:tc>
        <w:tc>
          <w:tcPr>
            <w:tcW w:type="dxa" w:w="73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76</w:t>
            </w:r>
          </w:p>
        </w:tc>
        <w:tc>
          <w:tcPr>
            <w:tcW w:type="dxa" w:w="73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76</w:t>
            </w:r>
          </w:p>
        </w:tc>
        <w:tc>
          <w:tcPr>
            <w:tcW w:type="dxa" w:w="73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76</w:t>
            </w:r>
          </w:p>
        </w:tc>
        <w:tc>
          <w:tcPr>
            <w:tcW w:type="dxa" w:w="794"/>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76</w:t>
            </w:r>
          </w:p>
        </w:tc>
        <w:tc>
          <w:tcPr>
            <w:tcW w:type="dxa" w:w="90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42</w:t>
            </w:r>
          </w:p>
        </w:tc>
      </w:tr>
      <w:tr>
        <w:tc>
          <w:tcPr>
            <w:tcW w:type="dxa" w:w="964"/>
            <w:shd w:fill="F4F7FA"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Fifth Set</w:t>
            </w:r>
          </w:p>
        </w:tc>
        <w:tc>
          <w:tcPr>
            <w:tcW w:type="dxa" w:w="794"/>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143</w:t>
            </w:r>
          </w:p>
        </w:tc>
        <w:tc>
          <w:tcPr>
            <w:tcW w:type="dxa" w:w="90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0</w:t>
            </w:r>
          </w:p>
        </w:tc>
        <w:tc>
          <w:tcPr>
            <w:tcW w:type="dxa" w:w="794"/>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0</w:t>
            </w:r>
          </w:p>
        </w:tc>
        <w:tc>
          <w:tcPr>
            <w:tcW w:type="dxa" w:w="73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143</w:t>
            </w:r>
          </w:p>
        </w:tc>
        <w:tc>
          <w:tcPr>
            <w:tcW w:type="dxa" w:w="73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0</w:t>
            </w:r>
          </w:p>
        </w:tc>
        <w:tc>
          <w:tcPr>
            <w:tcW w:type="dxa" w:w="73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143</w:t>
            </w:r>
          </w:p>
        </w:tc>
        <w:tc>
          <w:tcPr>
            <w:tcW w:type="dxa" w:w="73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143</w:t>
            </w:r>
          </w:p>
        </w:tc>
        <w:tc>
          <w:tcPr>
            <w:tcW w:type="dxa" w:w="73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143</w:t>
            </w:r>
          </w:p>
        </w:tc>
        <w:tc>
          <w:tcPr>
            <w:tcW w:type="dxa" w:w="794"/>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143</w:t>
            </w:r>
          </w:p>
        </w:tc>
        <w:tc>
          <w:tcPr>
            <w:tcW w:type="dxa" w:w="90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0</w:t>
            </w:r>
          </w:p>
        </w:tc>
      </w:tr>
      <w:tr>
        <w:tc>
          <w:tcPr>
            <w:tcW w:type="dxa" w:w="964"/>
            <w:shd w:fill="FFFFFF"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Sixth Set</w:t>
            </w:r>
          </w:p>
        </w:tc>
        <w:tc>
          <w:tcPr>
            <w:tcW w:type="dxa" w:w="794"/>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143</w:t>
            </w:r>
          </w:p>
        </w:tc>
        <w:tc>
          <w:tcPr>
            <w:tcW w:type="dxa" w:w="90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143</w:t>
            </w:r>
          </w:p>
        </w:tc>
        <w:tc>
          <w:tcPr>
            <w:tcW w:type="dxa" w:w="794"/>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143</w:t>
            </w:r>
          </w:p>
        </w:tc>
        <w:tc>
          <w:tcPr>
            <w:tcW w:type="dxa" w:w="73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0</w:t>
            </w:r>
          </w:p>
        </w:tc>
        <w:tc>
          <w:tcPr>
            <w:tcW w:type="dxa" w:w="73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0</w:t>
            </w:r>
          </w:p>
        </w:tc>
        <w:tc>
          <w:tcPr>
            <w:tcW w:type="dxa" w:w="73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143</w:t>
            </w:r>
          </w:p>
        </w:tc>
        <w:tc>
          <w:tcPr>
            <w:tcW w:type="dxa" w:w="73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143</w:t>
            </w:r>
          </w:p>
        </w:tc>
        <w:tc>
          <w:tcPr>
            <w:tcW w:type="dxa" w:w="73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143</w:t>
            </w:r>
          </w:p>
        </w:tc>
        <w:tc>
          <w:tcPr>
            <w:tcW w:type="dxa" w:w="794"/>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143</w:t>
            </w:r>
          </w:p>
        </w:tc>
        <w:tc>
          <w:tcPr>
            <w:tcW w:type="dxa" w:w="90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0</w:t>
            </w:r>
          </w:p>
        </w:tc>
      </w:tr>
    </w:tbl>
    <w:p>
      <w:pPr>
        <w:spacing w:after="120"/>
      </w:pPr>
    </w:p>
    <w:p>
      <w:pPr>
        <w:spacing w:after="120" w:before="0" w:line="259" w:lineRule="auto"/>
      </w:pPr>
      <w:r>
        <w:rPr>
          <w:rFonts w:ascii="Calibri" w:hAnsi="Calibri" w:eastAsia="Calibri"/>
          <w:b w:val="0"/>
          <w:color w:val="3D4A57"/>
          <w:sz w:val="19"/>
        </w:rPr>
        <w:t>Fifth Set valid E.2 live Vision artefacts are reused when the current semantic contract, schema, source fingerprints and population match (VISION_REUSED_CURRENT_ARCHITECTURE). Second, Third, Fourth and Sixth use current live Claude (claude-sonnet-4-5) where a valid render exists. Individual Vision failures apply the D.1 fallback policy and are labelled FALLBACK, never HYBRID.</w:t>
      </w:r>
    </w:p>
    <w:p>
      <w:pPr>
        <w:spacing w:after="160"/>
        <w:jc w:val="center"/>
      </w:pPr>
      <w:r>
        <w:drawing>
          <wp:inline xmlns:a="http://schemas.openxmlformats.org/drawingml/2006/main" xmlns:pic="http://schemas.openxmlformats.org/drawingml/2006/picture">
            <wp:extent cx="5852160" cy="2878194"/>
            <wp:docPr id="1" name="Picture 1"/>
            <wp:cNvGraphicFramePr>
              <a:graphicFrameLocks noChangeAspect="1"/>
            </wp:cNvGraphicFramePr>
            <a:graphic>
              <a:graphicData uri="http://schemas.openxmlformats.org/drawingml/2006/picture">
                <pic:pic>
                  <pic:nvPicPr>
                    <pic:cNvPr id="0" name="hybrid_fallback_coverage.png"/>
                    <pic:cNvPicPr/>
                  </pic:nvPicPr>
                  <pic:blipFill>
                    <a:blip r:embed="rId11"/>
                    <a:stretch>
                      <a:fillRect/>
                    </a:stretch>
                  </pic:blipFill>
                  <pic:spPr>
                    <a:xfrm>
                      <a:off x="0" y="0"/>
                      <a:ext cx="5852160" cy="2878194"/>
                    </a:xfrm>
                    <a:prstGeom prst="rect"/>
                  </pic:spPr>
                </pic:pic>
              </a:graphicData>
            </a:graphic>
          </wp:inline>
        </w:drawing>
      </w:r>
    </w:p>
    <w:tbl>
      <w:tblPr>
        <w:tblW w:type="dxa" w:w="9639"/>
        <w:jc w:val="center"/>
        <w:tblLayout w:type="fixed"/>
        <w:tblLook w:firstColumn="1" w:firstRow="1" w:lastColumn="0" w:lastRow="0" w:noHBand="0" w:noVBand="1" w:val="04A0"/>
      </w:tblPr>
      <w:tblGrid>
        <w:gridCol w:w="9978"/>
      </w:tblGrid>
      <w:tr>
        <w:tc>
          <w:tcPr>
            <w:tcW w:type="dxa" w:w="9638"/>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22"/>
              </w:rPr>
              <w:t>5.  Accuracy by drawing set</w:t>
            </w:r>
          </w:p>
        </w:tc>
      </w:tr>
    </w:tbl>
    <w:p>
      <w:pPr>
        <w:spacing w:after="60"/>
      </w:pPr>
    </w:p>
    <w:tbl>
      <w:tblPr>
        <w:tblW w:type="dxa" w:w="9072"/>
        <w:jc w:val="center"/>
        <w:tblLayout w:type="fixed"/>
        <w:tblLook w:firstColumn="1" w:firstRow="1" w:lastColumn="0" w:lastRow="0" w:noHBand="0" w:noVBand="1" w:val="04A0"/>
      </w:tblPr>
      <w:tblGrid>
        <w:gridCol w:w="1425"/>
        <w:gridCol w:w="1425"/>
        <w:gridCol w:w="1425"/>
        <w:gridCol w:w="1425"/>
        <w:gridCol w:w="1425"/>
        <w:gridCol w:w="1425"/>
        <w:gridCol w:w="1425"/>
      </w:tblGrid>
      <w:tr>
        <w:tc>
          <w:tcPr>
            <w:tcW w:type="dxa" w:w="1474"/>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Drawing set</w:t>
            </w:r>
          </w:p>
        </w:tc>
        <w:tc>
          <w:tcPr>
            <w:tcW w:type="dxa" w:w="1134"/>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Beam ID</w:t>
            </w:r>
          </w:p>
        </w:tc>
        <w:tc>
          <w:tcPr>
            <w:tcW w:type="dxa" w:w="1134"/>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Bar ID</w:t>
            </w:r>
          </w:p>
        </w:tc>
        <w:tc>
          <w:tcPr>
            <w:tcW w:type="dxa" w:w="1587"/>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Correct of detected</w:t>
            </w:r>
          </w:p>
        </w:tc>
        <w:tc>
          <w:tcPr>
            <w:tcW w:type="dxa" w:w="1361"/>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Diameter ID</w:t>
            </w:r>
          </w:p>
        </w:tc>
        <w:tc>
          <w:tcPr>
            <w:tcW w:type="dxa" w:w="1134"/>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Steel</w:t>
            </w:r>
          </w:p>
        </w:tc>
        <w:tc>
          <w:tcPr>
            <w:tcW w:type="dxa" w:w="1247"/>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Overall</w:t>
            </w:r>
          </w:p>
        </w:tc>
      </w:tr>
      <w:tr>
        <w:tc>
          <w:tcPr>
            <w:tcW w:type="dxa" w:w="1474"/>
            <w:shd w:fill="FFFFFF"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Second Set</w:t>
            </w:r>
          </w:p>
        </w:tc>
        <w:tc>
          <w:tcPr>
            <w:tcW w:type="dxa" w:w="1134"/>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95.52%</w:t>
            </w:r>
          </w:p>
        </w:tc>
        <w:tc>
          <w:tcPr>
            <w:tcW w:type="dxa" w:w="1134"/>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65.28%</w:t>
            </w:r>
          </w:p>
        </w:tc>
        <w:tc>
          <w:tcPr>
            <w:tcW w:type="dxa" w:w="158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31.35%</w:t>
            </w:r>
          </w:p>
        </w:tc>
        <w:tc>
          <w:tcPr>
            <w:tcW w:type="dxa" w:w="1361"/>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78.97%</w:t>
            </w:r>
          </w:p>
        </w:tc>
        <w:tc>
          <w:tcPr>
            <w:tcW w:type="dxa" w:w="1134"/>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87.95%</w:t>
            </w:r>
          </w:p>
        </w:tc>
        <w:tc>
          <w:tcPr>
            <w:tcW w:type="dxa" w:w="124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70.03%</w:t>
            </w:r>
          </w:p>
        </w:tc>
      </w:tr>
      <w:tr>
        <w:tc>
          <w:tcPr>
            <w:tcW w:type="dxa" w:w="1474"/>
            <w:shd w:fill="F4F7FA"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Third Set</w:t>
            </w:r>
          </w:p>
        </w:tc>
        <w:tc>
          <w:tcPr>
            <w:tcW w:type="dxa" w:w="1134"/>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90.48%</w:t>
            </w:r>
          </w:p>
        </w:tc>
        <w:tc>
          <w:tcPr>
            <w:tcW w:type="dxa" w:w="1134"/>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54.29%</w:t>
            </w:r>
          </w:p>
        </w:tc>
        <w:tc>
          <w:tcPr>
            <w:tcW w:type="dxa" w:w="158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27.27%</w:t>
            </w:r>
          </w:p>
        </w:tc>
        <w:tc>
          <w:tcPr>
            <w:tcW w:type="dxa" w:w="1361"/>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74.31%</w:t>
            </w:r>
          </w:p>
        </w:tc>
        <w:tc>
          <w:tcPr>
            <w:tcW w:type="dxa" w:w="1134"/>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68.25%</w:t>
            </w:r>
          </w:p>
        </w:tc>
        <w:tc>
          <w:tcPr>
            <w:tcW w:type="dxa" w:w="124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60.07%</w:t>
            </w:r>
          </w:p>
        </w:tc>
      </w:tr>
      <w:tr>
        <w:tc>
          <w:tcPr>
            <w:tcW w:type="dxa" w:w="1474"/>
            <w:shd w:fill="FFFFFF"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Fourth Set</w:t>
            </w:r>
          </w:p>
        </w:tc>
        <w:tc>
          <w:tcPr>
            <w:tcW w:type="dxa" w:w="1134"/>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78.32%</w:t>
            </w:r>
          </w:p>
        </w:tc>
        <w:tc>
          <w:tcPr>
            <w:tcW w:type="dxa" w:w="1134"/>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40.43%</w:t>
            </w:r>
          </w:p>
        </w:tc>
        <w:tc>
          <w:tcPr>
            <w:tcW w:type="dxa" w:w="158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41.32%</w:t>
            </w:r>
          </w:p>
        </w:tc>
        <w:tc>
          <w:tcPr>
            <w:tcW w:type="dxa" w:w="1361"/>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75.26%</w:t>
            </w:r>
          </w:p>
        </w:tc>
        <w:tc>
          <w:tcPr>
            <w:tcW w:type="dxa" w:w="1134"/>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54.29%</w:t>
            </w:r>
          </w:p>
        </w:tc>
        <w:tc>
          <w:tcPr>
            <w:tcW w:type="dxa" w:w="124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53.59%</w:t>
            </w:r>
          </w:p>
        </w:tc>
      </w:tr>
      <w:tr>
        <w:tc>
          <w:tcPr>
            <w:tcW w:type="dxa" w:w="1474"/>
            <w:shd w:fill="F4F7FA"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Fifth Set</w:t>
            </w:r>
          </w:p>
        </w:tc>
        <w:tc>
          <w:tcPr>
            <w:tcW w:type="dxa" w:w="1134"/>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76.47%</w:t>
            </w:r>
          </w:p>
        </w:tc>
        <w:tc>
          <w:tcPr>
            <w:tcW w:type="dxa" w:w="1134"/>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39.29%</w:t>
            </w:r>
          </w:p>
        </w:tc>
        <w:tc>
          <w:tcPr>
            <w:tcW w:type="dxa" w:w="158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36.89%</w:t>
            </w:r>
          </w:p>
        </w:tc>
        <w:tc>
          <w:tcPr>
            <w:tcW w:type="dxa" w:w="1361"/>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76.75%</w:t>
            </w:r>
          </w:p>
        </w:tc>
        <w:tc>
          <w:tcPr>
            <w:tcW w:type="dxa" w:w="1134"/>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47.58%</w:t>
            </w:r>
          </w:p>
        </w:tc>
        <w:tc>
          <w:tcPr>
            <w:tcW w:type="dxa" w:w="124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50.06%</w:t>
            </w:r>
          </w:p>
        </w:tc>
      </w:tr>
      <w:tr>
        <w:tc>
          <w:tcPr>
            <w:tcW w:type="dxa" w:w="1474"/>
            <w:shd w:fill="FFFFFF"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Sixth Set</w:t>
            </w:r>
          </w:p>
        </w:tc>
        <w:tc>
          <w:tcPr>
            <w:tcW w:type="dxa" w:w="1134"/>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95.86%</w:t>
            </w:r>
          </w:p>
        </w:tc>
        <w:tc>
          <w:tcPr>
            <w:tcW w:type="dxa" w:w="1134"/>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59.83%</w:t>
            </w:r>
          </w:p>
        </w:tc>
        <w:tc>
          <w:tcPr>
            <w:tcW w:type="dxa" w:w="158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39.38%</w:t>
            </w:r>
          </w:p>
        </w:tc>
        <w:tc>
          <w:tcPr>
            <w:tcW w:type="dxa" w:w="1361"/>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81.85%</w:t>
            </w:r>
          </w:p>
        </w:tc>
        <w:tc>
          <w:tcPr>
            <w:tcW w:type="dxa" w:w="1134"/>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83.18%</w:t>
            </w:r>
          </w:p>
        </w:tc>
        <w:tc>
          <w:tcPr>
            <w:tcW w:type="dxa" w:w="124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69.56%</w:t>
            </w:r>
          </w:p>
        </w:tc>
      </w:tr>
    </w:tbl>
    <w:p>
      <w:pPr>
        <w:spacing w:after="120"/>
      </w:pPr>
    </w:p>
    <w:p>
      <w:pPr>
        <w:spacing w:after="160"/>
        <w:jc w:val="center"/>
      </w:pPr>
      <w:r>
        <w:drawing>
          <wp:inline xmlns:a="http://schemas.openxmlformats.org/drawingml/2006/main" xmlns:pic="http://schemas.openxmlformats.org/drawingml/2006/picture">
            <wp:extent cx="5852160" cy="2878194"/>
            <wp:docPr id="2" name="Picture 2"/>
            <wp:cNvGraphicFramePr>
              <a:graphicFrameLocks noChangeAspect="1"/>
            </wp:cNvGraphicFramePr>
            <a:graphic>
              <a:graphicData uri="http://schemas.openxmlformats.org/drawingml/2006/picture">
                <pic:pic>
                  <pic:nvPicPr>
                    <pic:cNvPr id="0" name="per_set_overall_accuracy.png"/>
                    <pic:cNvPicPr/>
                  </pic:nvPicPr>
                  <pic:blipFill>
                    <a:blip r:embed="rId12"/>
                    <a:stretch>
                      <a:fillRect/>
                    </a:stretch>
                  </pic:blipFill>
                  <pic:spPr>
                    <a:xfrm>
                      <a:off x="0" y="0"/>
                      <a:ext cx="5852160" cy="2878194"/>
                    </a:xfrm>
                    <a:prstGeom prst="rect"/>
                  </pic:spPr>
                </pic:pic>
              </a:graphicData>
            </a:graphic>
          </wp:inline>
        </w:drawing>
      </w:r>
    </w:p>
    <w:p>
      <w:pPr>
        <w:spacing w:after="160"/>
        <w:jc w:val="center"/>
      </w:pPr>
      <w:r>
        <w:drawing>
          <wp:inline xmlns:a="http://schemas.openxmlformats.org/drawingml/2006/main" xmlns:pic="http://schemas.openxmlformats.org/drawingml/2006/picture">
            <wp:extent cx="5852160" cy="2753687"/>
            <wp:docPr id="3" name="Picture 3"/>
            <wp:cNvGraphicFramePr>
              <a:graphicFrameLocks noChangeAspect="1"/>
            </wp:cNvGraphicFramePr>
            <a:graphic>
              <a:graphicData uri="http://schemas.openxmlformats.org/drawingml/2006/picture">
                <pic:pic>
                  <pic:nvPicPr>
                    <pic:cNvPr id="0" name="per_set_kpi_comparison.png"/>
                    <pic:cNvPicPr/>
                  </pic:nvPicPr>
                  <pic:blipFill>
                    <a:blip r:embed="rId13"/>
                    <a:stretch>
                      <a:fillRect/>
                    </a:stretch>
                  </pic:blipFill>
                  <pic:spPr>
                    <a:xfrm>
                      <a:off x="0" y="0"/>
                      <a:ext cx="5852160" cy="2753687"/>
                    </a:xfrm>
                    <a:prstGeom prst="rect"/>
                  </pic:spPr>
                </pic:pic>
              </a:graphicData>
            </a:graphic>
          </wp:inline>
        </w:drawing>
      </w:r>
    </w:p>
    <w:tbl>
      <w:tblPr>
        <w:tblW w:type="dxa" w:w="9639"/>
        <w:jc w:val="center"/>
        <w:tblLayout w:type="fixed"/>
        <w:tblLook w:firstColumn="1" w:firstRow="1" w:lastColumn="0" w:lastRow="0" w:noHBand="0" w:noVBand="1" w:val="04A0"/>
      </w:tblPr>
      <w:tblGrid>
        <w:gridCol w:w="9978"/>
      </w:tblGrid>
      <w:tr>
        <w:tc>
          <w:tcPr>
            <w:tcW w:type="dxa" w:w="9638"/>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22"/>
              </w:rPr>
              <w:t>6.  Pooled Second-to-Sixth performance</w:t>
            </w:r>
          </w:p>
        </w:tc>
      </w:tr>
    </w:tbl>
    <w:p>
      <w:pPr>
        <w:spacing w:after="60"/>
      </w:pPr>
    </w:p>
    <w:tbl>
      <w:tblPr>
        <w:tblW w:type="dxa" w:w="9639"/>
        <w:jc w:val="center"/>
        <w:tblLayout w:type="fixed"/>
        <w:tblLook w:firstColumn="1" w:firstRow="1" w:lastColumn="0" w:lastRow="0" w:noHBand="0" w:noVBand="1" w:val="04A0"/>
      </w:tblPr>
      <w:tblGrid>
        <w:gridCol w:w="3326"/>
        <w:gridCol w:w="3326"/>
        <w:gridCol w:w="3326"/>
      </w:tblGrid>
      <w:tr>
        <w:tc>
          <w:tcPr>
            <w:tcW w:type="dxa" w:w="2835"/>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KPI</w:t>
            </w:r>
          </w:p>
        </w:tc>
        <w:tc>
          <w:tcPr>
            <w:tcW w:type="dxa" w:w="2041"/>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Pooled result</w:t>
            </w:r>
          </w:p>
        </w:tc>
        <w:tc>
          <w:tcPr>
            <w:tcW w:type="dxa" w:w="4762"/>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Raw counts</w:t>
            </w:r>
          </w:p>
        </w:tc>
      </w:tr>
      <w:tr>
        <w:tc>
          <w:tcPr>
            <w:tcW w:type="dxa" w:w="2835"/>
            <w:shd w:fill="FFFFFF"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Beam identification</w:t>
            </w:r>
          </w:p>
        </w:tc>
        <w:tc>
          <w:tcPr>
            <w:tcW w:type="dxa" w:w="2041"/>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85.12%</w:t>
            </w:r>
          </w:p>
        </w:tc>
        <w:tc>
          <w:tcPr>
            <w:tcW w:type="dxa" w:w="4762"/>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515.0 / 605.0</w:t>
            </w:r>
          </w:p>
        </w:tc>
      </w:tr>
      <w:tr>
        <w:tc>
          <w:tcPr>
            <w:tcW w:type="dxa" w:w="2835"/>
            <w:shd w:fill="F4F7FA"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Bar identification</w:t>
            </w:r>
          </w:p>
        </w:tc>
        <w:tc>
          <w:tcPr>
            <w:tcW w:type="dxa" w:w="2041"/>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48.17%</w:t>
            </w:r>
          </w:p>
        </w:tc>
        <w:tc>
          <w:tcPr>
            <w:tcW w:type="dxa" w:w="4762"/>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2008.0 / 4169.0</w:t>
            </w:r>
          </w:p>
        </w:tc>
      </w:tr>
      <w:tr>
        <w:tc>
          <w:tcPr>
            <w:tcW w:type="dxa" w:w="2835"/>
            <w:shd w:fill="FFFFFF"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Correct of detected bars</w:t>
            </w:r>
          </w:p>
        </w:tc>
        <w:tc>
          <w:tcPr>
            <w:tcW w:type="dxa" w:w="2041"/>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36.50%</w:t>
            </w:r>
          </w:p>
        </w:tc>
        <w:tc>
          <w:tcPr>
            <w:tcW w:type="dxa" w:w="4762"/>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733.0 / 2008.0</w:t>
            </w:r>
          </w:p>
        </w:tc>
      </w:tr>
      <w:tr>
        <w:tc>
          <w:tcPr>
            <w:tcW w:type="dxa" w:w="2835"/>
            <w:shd w:fill="F4F7FA"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Diameter identification</w:t>
            </w:r>
          </w:p>
        </w:tc>
        <w:tc>
          <w:tcPr>
            <w:tcW w:type="dxa" w:w="2041"/>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77.84%</w:t>
            </w:r>
          </w:p>
        </w:tc>
        <w:tc>
          <w:tcPr>
            <w:tcW w:type="dxa" w:w="4762"/>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1563.0 / 2008.0</w:t>
            </w:r>
          </w:p>
        </w:tc>
      </w:tr>
      <w:tr>
        <w:tc>
          <w:tcPr>
            <w:tcW w:type="dxa" w:w="2835"/>
            <w:shd w:fill="FFFFFF"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Steel / weight accuracy</w:t>
            </w:r>
          </w:p>
        </w:tc>
        <w:tc>
          <w:tcPr>
            <w:tcW w:type="dxa" w:w="2041"/>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60.64%</w:t>
            </w:r>
          </w:p>
        </w:tc>
        <w:tc>
          <w:tcPr>
            <w:tcW w:type="dxa" w:w="4762"/>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90305.121 / 148910.644 kg</w:t>
            </w:r>
          </w:p>
        </w:tc>
      </w:tr>
      <w:tr>
        <w:tc>
          <w:tcPr>
            <w:tcW w:type="dxa" w:w="2835"/>
            <w:shd w:fill="F4F7FA"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Overall accuracy</w:t>
            </w:r>
          </w:p>
        </w:tc>
        <w:tc>
          <w:tcPr>
            <w:tcW w:type="dxa" w:w="2041"/>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57.61%</w:t>
            </w:r>
          </w:p>
        </w:tc>
        <w:tc>
          <w:tcPr>
            <w:tcW w:type="dxa" w:w="4762"/>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Mean of four pooled KPIs; diameter excluded</w:t>
            </w:r>
          </w:p>
        </w:tc>
      </w:tr>
    </w:tbl>
    <w:p>
      <w:pPr>
        <w:spacing w:after="120"/>
      </w:pPr>
    </w:p>
    <w:p>
      <w:pPr>
        <w:spacing w:after="120" w:before="0" w:line="259" w:lineRule="auto"/>
      </w:pPr>
      <w:r>
        <w:rPr>
          <w:rFonts w:ascii="Calibri" w:hAnsi="Calibri" w:eastAsia="Calibri"/>
          <w:b w:val="0"/>
          <w:color w:val="2F5D7C"/>
          <w:sz w:val="18"/>
        </w:rPr>
        <w:t>Headline pooled results sum raw numerators and denominators. Steel accuracy is computed after pooling kg. Set percentages are not averaged for the headline overall score.</w:t>
      </w:r>
    </w:p>
    <w:p>
      <w:pPr>
        <w:spacing w:after="160"/>
        <w:jc w:val="center"/>
      </w:pPr>
      <w:r>
        <w:drawing>
          <wp:inline xmlns:a="http://schemas.openxmlformats.org/drawingml/2006/main" xmlns:pic="http://schemas.openxmlformats.org/drawingml/2006/picture">
            <wp:extent cx="5852160" cy="2878194"/>
            <wp:docPr id="4" name="Picture 4"/>
            <wp:cNvGraphicFramePr>
              <a:graphicFrameLocks noChangeAspect="1"/>
            </wp:cNvGraphicFramePr>
            <a:graphic>
              <a:graphicData uri="http://schemas.openxmlformats.org/drawingml/2006/picture">
                <pic:pic>
                  <pic:nvPicPr>
                    <pic:cNvPr id="0" name="model_vs_benchmark_steel_kg.png"/>
                    <pic:cNvPicPr/>
                  </pic:nvPicPr>
                  <pic:blipFill>
                    <a:blip r:embed="rId14"/>
                    <a:stretch>
                      <a:fillRect/>
                    </a:stretch>
                  </pic:blipFill>
                  <pic:spPr>
                    <a:xfrm>
                      <a:off x="0" y="0"/>
                      <a:ext cx="5852160" cy="2878194"/>
                    </a:xfrm>
                    <a:prstGeom prst="rect"/>
                  </pic:spPr>
                </pic:pic>
              </a:graphicData>
            </a:graphic>
          </wp:inline>
        </w:drawing>
      </w:r>
    </w:p>
    <w:tbl>
      <w:tblPr>
        <w:tblW w:type="dxa" w:w="9639"/>
        <w:jc w:val="center"/>
        <w:tblLayout w:type="fixed"/>
        <w:tblLook w:firstColumn="1" w:firstRow="1" w:lastColumn="0" w:lastRow="0" w:noHBand="0" w:noVBand="1" w:val="04A0"/>
      </w:tblPr>
      <w:tblGrid>
        <w:gridCol w:w="9978"/>
      </w:tblGrid>
      <w:tr>
        <w:tc>
          <w:tcPr>
            <w:tcW w:type="dxa" w:w="9638"/>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22"/>
              </w:rPr>
              <w:t>7.  Diameter identification (detected bar lines)</w:t>
            </w:r>
          </w:p>
        </w:tc>
      </w:tr>
    </w:tbl>
    <w:p>
      <w:pPr>
        <w:spacing w:after="60"/>
      </w:pPr>
    </w:p>
    <w:p>
      <w:pPr>
        <w:spacing w:after="100" w:before="0" w:line="259" w:lineRule="auto"/>
      </w:pPr>
      <w:r>
        <w:rPr>
          <w:rFonts w:ascii="Calibri" w:hAnsi="Calibri" w:eastAsia="Calibri"/>
          <w:b w:val="0"/>
          <w:color w:val="3D4A57"/>
          <w:sz w:val="18"/>
        </w:rPr>
        <w:t>QA.2A’s published field diameter_accuracy_pct is an alias of bar matching accuracy (MATCH / detected) and is not used here. Diameter identification below is counted from Bar Matching rows: a detected bar is diameter-correct unless status is WRONG_DIAMETER. GT diameter is the estimator line diameter. Percentages are pooled from raw counts across Second–Sixth; set percentages are not averaged. Diameter remains excluded from overall.</w:t>
      </w:r>
    </w:p>
    <w:tbl>
      <w:tblPr>
        <w:tblW w:type="dxa" w:w="9639"/>
        <w:jc w:val="center"/>
        <w:tblLayout w:type="fixed"/>
        <w:tblLook w:firstColumn="1" w:firstRow="1" w:lastColumn="0" w:lastRow="0" w:noHBand="0" w:noVBand="1" w:val="04A0"/>
      </w:tblPr>
      <w:tblGrid>
        <w:gridCol w:w="1425"/>
        <w:gridCol w:w="1425"/>
        <w:gridCol w:w="1425"/>
        <w:gridCol w:w="1425"/>
        <w:gridCol w:w="1425"/>
        <w:gridCol w:w="1425"/>
        <w:gridCol w:w="1425"/>
      </w:tblGrid>
      <w:tr>
        <w:tc>
          <w:tcPr>
            <w:tcW w:type="dxa" w:w="1361"/>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Diameter</w:t>
            </w:r>
          </w:p>
        </w:tc>
        <w:tc>
          <w:tcPr>
            <w:tcW w:type="dxa" w:w="1247"/>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GT bar lines</w:t>
            </w:r>
          </w:p>
        </w:tc>
        <w:tc>
          <w:tcPr>
            <w:tcW w:type="dxa" w:w="1020"/>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Detected</w:t>
            </w:r>
          </w:p>
        </w:tc>
        <w:tc>
          <w:tcPr>
            <w:tcW w:type="dxa" w:w="907"/>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MATCH</w:t>
            </w:r>
          </w:p>
        </w:tc>
        <w:tc>
          <w:tcPr>
            <w:tcW w:type="dxa" w:w="1134"/>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WRONG_DIA</w:t>
            </w:r>
          </w:p>
        </w:tc>
        <w:tc>
          <w:tcPr>
            <w:tcW w:type="dxa" w:w="1247"/>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Diameter ID</w:t>
            </w:r>
          </w:p>
        </w:tc>
        <w:tc>
          <w:tcPr>
            <w:tcW w:type="dxa" w:w="2721"/>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Note</w:t>
            </w:r>
          </w:p>
        </w:tc>
      </w:tr>
      <w:tr>
        <w:tc>
          <w:tcPr>
            <w:tcW w:type="dxa" w:w="1361"/>
            <w:shd w:fill="FFFFFF"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Ø8</w:t>
            </w:r>
          </w:p>
        </w:tc>
        <w:tc>
          <w:tcPr>
            <w:tcW w:type="dxa" w:w="124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358</w:t>
            </w:r>
          </w:p>
        </w:tc>
        <w:tc>
          <w:tcPr>
            <w:tcW w:type="dxa" w:w="1020"/>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152</w:t>
            </w:r>
          </w:p>
        </w:tc>
        <w:tc>
          <w:tcPr>
            <w:tcW w:type="dxa" w:w="90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32</w:t>
            </w:r>
          </w:p>
        </w:tc>
        <w:tc>
          <w:tcPr>
            <w:tcW w:type="dxa" w:w="1134"/>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3</w:t>
            </w:r>
          </w:p>
        </w:tc>
        <w:tc>
          <w:tcPr>
            <w:tcW w:type="dxa" w:w="124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98.03%</w:t>
            </w:r>
          </w:p>
        </w:tc>
        <w:tc>
          <w:tcPr>
            <w:tcW w:type="dxa" w:w="2721"/>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Usually right when found; many missing</w:t>
            </w:r>
          </w:p>
        </w:tc>
      </w:tr>
      <w:tr>
        <w:tc>
          <w:tcPr>
            <w:tcW w:type="dxa" w:w="1361"/>
            <w:shd w:fill="F4F7FA"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Ø10</w:t>
            </w:r>
          </w:p>
        </w:tc>
        <w:tc>
          <w:tcPr>
            <w:tcW w:type="dxa" w:w="124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714</w:t>
            </w:r>
          </w:p>
        </w:tc>
        <w:tc>
          <w:tcPr>
            <w:tcW w:type="dxa" w:w="1020"/>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214</w:t>
            </w:r>
          </w:p>
        </w:tc>
        <w:tc>
          <w:tcPr>
            <w:tcW w:type="dxa" w:w="90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56</w:t>
            </w:r>
          </w:p>
        </w:tc>
        <w:tc>
          <w:tcPr>
            <w:tcW w:type="dxa" w:w="1134"/>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11</w:t>
            </w:r>
          </w:p>
        </w:tc>
        <w:tc>
          <w:tcPr>
            <w:tcW w:type="dxa" w:w="124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94.86%</w:t>
            </w:r>
          </w:p>
        </w:tc>
        <w:tc>
          <w:tcPr>
            <w:tcW w:type="dxa" w:w="2721"/>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Usually right when found; many missing</w:t>
            </w:r>
          </w:p>
        </w:tc>
      </w:tr>
      <w:tr>
        <w:tc>
          <w:tcPr>
            <w:tcW w:type="dxa" w:w="1361"/>
            <w:shd w:fill="FFFFFF"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Ø12</w:t>
            </w:r>
          </w:p>
        </w:tc>
        <w:tc>
          <w:tcPr>
            <w:tcW w:type="dxa" w:w="124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573</w:t>
            </w:r>
          </w:p>
        </w:tc>
        <w:tc>
          <w:tcPr>
            <w:tcW w:type="dxa" w:w="1020"/>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207</w:t>
            </w:r>
          </w:p>
        </w:tc>
        <w:tc>
          <w:tcPr>
            <w:tcW w:type="dxa" w:w="90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68</w:t>
            </w:r>
          </w:p>
        </w:tc>
        <w:tc>
          <w:tcPr>
            <w:tcW w:type="dxa" w:w="1134"/>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28</w:t>
            </w:r>
          </w:p>
        </w:tc>
        <w:tc>
          <w:tcPr>
            <w:tcW w:type="dxa" w:w="124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86.47%</w:t>
            </w:r>
          </w:p>
        </w:tc>
        <w:tc>
          <w:tcPr>
            <w:tcW w:type="dxa" w:w="2721"/>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Usually right when found; many missing</w:t>
            </w:r>
          </w:p>
        </w:tc>
      </w:tr>
      <w:tr>
        <w:tc>
          <w:tcPr>
            <w:tcW w:type="dxa" w:w="1361"/>
            <w:shd w:fill="F4F7FA"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Ø16</w:t>
            </w:r>
          </w:p>
        </w:tc>
        <w:tc>
          <w:tcPr>
            <w:tcW w:type="dxa" w:w="124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588</w:t>
            </w:r>
          </w:p>
        </w:tc>
        <w:tc>
          <w:tcPr>
            <w:tcW w:type="dxa" w:w="1020"/>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372</w:t>
            </w:r>
          </w:p>
        </w:tc>
        <w:tc>
          <w:tcPr>
            <w:tcW w:type="dxa" w:w="90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169</w:t>
            </w:r>
          </w:p>
        </w:tc>
        <w:tc>
          <w:tcPr>
            <w:tcW w:type="dxa" w:w="1134"/>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112</w:t>
            </w:r>
          </w:p>
        </w:tc>
        <w:tc>
          <w:tcPr>
            <w:tcW w:type="dxa" w:w="124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69.89%</w:t>
            </w:r>
          </w:p>
        </w:tc>
        <w:tc>
          <w:tcPr>
            <w:tcW w:type="dxa" w:w="2721"/>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Frequent diameter swaps</w:t>
            </w:r>
          </w:p>
        </w:tc>
      </w:tr>
      <w:tr>
        <w:tc>
          <w:tcPr>
            <w:tcW w:type="dxa" w:w="1361"/>
            <w:shd w:fill="FFFFFF"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Ø20</w:t>
            </w:r>
          </w:p>
        </w:tc>
        <w:tc>
          <w:tcPr>
            <w:tcW w:type="dxa" w:w="124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784</w:t>
            </w:r>
          </w:p>
        </w:tc>
        <w:tc>
          <w:tcPr>
            <w:tcW w:type="dxa" w:w="1020"/>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436</w:t>
            </w:r>
          </w:p>
        </w:tc>
        <w:tc>
          <w:tcPr>
            <w:tcW w:type="dxa" w:w="90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193</w:t>
            </w:r>
          </w:p>
        </w:tc>
        <w:tc>
          <w:tcPr>
            <w:tcW w:type="dxa" w:w="1134"/>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155</w:t>
            </w:r>
          </w:p>
        </w:tc>
        <w:tc>
          <w:tcPr>
            <w:tcW w:type="dxa" w:w="124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64.45%</w:t>
            </w:r>
          </w:p>
        </w:tc>
        <w:tc>
          <w:tcPr>
            <w:tcW w:type="dxa" w:w="2721"/>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Frequent diameter swaps</w:t>
            </w:r>
          </w:p>
        </w:tc>
      </w:tr>
      <w:tr>
        <w:tc>
          <w:tcPr>
            <w:tcW w:type="dxa" w:w="1361"/>
            <w:shd w:fill="F4F7FA"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Ø25</w:t>
            </w:r>
          </w:p>
        </w:tc>
        <w:tc>
          <w:tcPr>
            <w:tcW w:type="dxa" w:w="124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1,097</w:t>
            </w:r>
          </w:p>
        </w:tc>
        <w:tc>
          <w:tcPr>
            <w:tcW w:type="dxa" w:w="1020"/>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616</w:t>
            </w:r>
          </w:p>
        </w:tc>
        <w:tc>
          <w:tcPr>
            <w:tcW w:type="dxa" w:w="90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210</w:t>
            </w:r>
          </w:p>
        </w:tc>
        <w:tc>
          <w:tcPr>
            <w:tcW w:type="dxa" w:w="1134"/>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130</w:t>
            </w:r>
          </w:p>
        </w:tc>
        <w:tc>
          <w:tcPr>
            <w:tcW w:type="dxa" w:w="124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78.90%</w:t>
            </w:r>
          </w:p>
        </w:tc>
        <w:tc>
          <w:tcPr>
            <w:tcW w:type="dxa" w:w="2721"/>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r>
          </w:p>
        </w:tc>
      </w:tr>
      <w:tr>
        <w:tc>
          <w:tcPr>
            <w:tcW w:type="dxa" w:w="1361"/>
            <w:shd w:fill="FFFFFF"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Ø32</w:t>
            </w:r>
          </w:p>
        </w:tc>
        <w:tc>
          <w:tcPr>
            <w:tcW w:type="dxa" w:w="124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26</w:t>
            </w:r>
          </w:p>
        </w:tc>
        <w:tc>
          <w:tcPr>
            <w:tcW w:type="dxa" w:w="1020"/>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11</w:t>
            </w:r>
          </w:p>
        </w:tc>
        <w:tc>
          <w:tcPr>
            <w:tcW w:type="dxa" w:w="90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5</w:t>
            </w:r>
          </w:p>
        </w:tc>
        <w:tc>
          <w:tcPr>
            <w:tcW w:type="dxa" w:w="1134"/>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6</w:t>
            </w:r>
          </w:p>
        </w:tc>
        <w:tc>
          <w:tcPr>
            <w:tcW w:type="dxa" w:w="124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45.45%</w:t>
            </w:r>
          </w:p>
        </w:tc>
        <w:tc>
          <w:tcPr>
            <w:tcW w:type="dxa" w:w="2721"/>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Low volume - percentage unstable</w:t>
            </w:r>
          </w:p>
        </w:tc>
      </w:tr>
      <w:tr>
        <w:tc>
          <w:tcPr>
            <w:tcW w:type="dxa" w:w="1361"/>
            <w:shd w:fill="E8EEF4"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TOTAL scored Ø8-Ø32</w:t>
            </w:r>
          </w:p>
        </w:tc>
        <w:tc>
          <w:tcPr>
            <w:tcW w:type="dxa" w:w="1247"/>
            <w:shd w:fill="E8EEF4"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3D4A57"/>
                <w:sz w:val="16"/>
              </w:rPr>
              <w:t>4,140</w:t>
            </w:r>
          </w:p>
        </w:tc>
        <w:tc>
          <w:tcPr>
            <w:tcW w:type="dxa" w:w="1020"/>
            <w:shd w:fill="E8EEF4"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3D4A57"/>
                <w:sz w:val="16"/>
              </w:rPr>
              <w:t>2,008</w:t>
            </w:r>
          </w:p>
        </w:tc>
        <w:tc>
          <w:tcPr>
            <w:tcW w:type="dxa" w:w="907"/>
            <w:shd w:fill="E8EEF4"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3D4A57"/>
                <w:sz w:val="16"/>
              </w:rPr>
              <w:t>733</w:t>
            </w:r>
          </w:p>
        </w:tc>
        <w:tc>
          <w:tcPr>
            <w:tcW w:type="dxa" w:w="1134"/>
            <w:shd w:fill="E8EEF4"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3D4A57"/>
                <w:sz w:val="16"/>
              </w:rPr>
              <w:t>445</w:t>
            </w:r>
          </w:p>
        </w:tc>
        <w:tc>
          <w:tcPr>
            <w:tcW w:type="dxa" w:w="1247"/>
            <w:shd w:fill="E8EEF4"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3D4A57"/>
                <w:sz w:val="16"/>
              </w:rPr>
              <w:t>77.84%</w:t>
            </w:r>
          </w:p>
        </w:tc>
        <w:tc>
          <w:tcPr>
            <w:tcW w:type="dxa" w:w="2721"/>
            <w:shd w:fill="E8EEF4"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3D4A57"/>
                <w:sz w:val="16"/>
              </w:rPr>
              <w:t>Pooled headline from raw counts</w:t>
            </w:r>
          </w:p>
        </w:tc>
      </w:tr>
    </w:tbl>
    <w:p>
      <w:pPr>
        <w:spacing w:after="120"/>
      </w:pPr>
    </w:p>
    <w:tbl>
      <w:tblPr>
        <w:tblW w:type="dxa" w:w="9639"/>
        <w:jc w:val="center"/>
        <w:tblLayout w:type="fixed"/>
        <w:tblLook w:firstColumn="1" w:firstRow="1" w:lastColumn="0" w:lastRow="0" w:noHBand="0" w:noVBand="1" w:val="04A0"/>
      </w:tblPr>
      <w:tblGrid>
        <w:gridCol w:w="9978"/>
      </w:tblGrid>
      <w:tr>
        <w:tc>
          <w:tcPr>
            <w:tcW w:type="dxa" w:w="9638"/>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22"/>
              </w:rPr>
              <w:t>8.  Diameter-wise steel quantity  —  not the same as diameter identification</w:t>
            </w:r>
          </w:p>
        </w:tc>
      </w:tr>
    </w:tbl>
    <w:p>
      <w:pPr>
        <w:spacing w:after="60"/>
      </w:pPr>
    </w:p>
    <w:p>
      <w:pPr>
        <w:spacing w:after="100" w:before="0" w:line="259" w:lineRule="auto"/>
      </w:pPr>
      <w:r>
        <w:rPr>
          <w:rFonts w:ascii="Calibri" w:hAnsi="Calibri" w:eastAsia="Calibri"/>
          <w:b w:val="0"/>
          <w:color w:val="3D4A57"/>
          <w:sz w:val="18"/>
        </w:rPr>
        <w:t>Quantity ratio = automated kg / estimated kg × 100. It is not accuracy. A ratio above 100% is an overestimate. This table pools kilogram totals by diameter before computing difference and ratio. It is not diameter identification.</w:t>
      </w:r>
    </w:p>
    <w:tbl>
      <w:tblPr>
        <w:tblW w:type="dxa" w:w="9639"/>
        <w:jc w:val="center"/>
        <w:tblLayout w:type="fixed"/>
        <w:tblLook w:firstColumn="1" w:firstRow="1" w:lastColumn="0" w:lastRow="0" w:noHBand="0" w:noVBand="1" w:val="04A0"/>
      </w:tblPr>
      <w:tblGrid>
        <w:gridCol w:w="1663"/>
        <w:gridCol w:w="1663"/>
        <w:gridCol w:w="1663"/>
        <w:gridCol w:w="1663"/>
        <w:gridCol w:w="1663"/>
        <w:gridCol w:w="1663"/>
      </w:tblGrid>
      <w:tr>
        <w:tc>
          <w:tcPr>
            <w:tcW w:type="dxa" w:w="1361"/>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Diameter</w:t>
            </w:r>
          </w:p>
        </w:tc>
        <w:tc>
          <w:tcPr>
            <w:tcW w:type="dxa" w:w="1701"/>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Estimated kg</w:t>
            </w:r>
          </w:p>
        </w:tc>
        <w:tc>
          <w:tcPr>
            <w:tcW w:type="dxa" w:w="1701"/>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Automated kg</w:t>
            </w:r>
          </w:p>
        </w:tc>
        <w:tc>
          <w:tcPr>
            <w:tcW w:type="dxa" w:w="1587"/>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Difference kg</w:t>
            </w:r>
          </w:p>
        </w:tc>
        <w:tc>
          <w:tcPr>
            <w:tcW w:type="dxa" w:w="1361"/>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Abs % diff</w:t>
            </w:r>
          </w:p>
        </w:tc>
        <w:tc>
          <w:tcPr>
            <w:tcW w:type="dxa" w:w="1928"/>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Quantity ratio</w:t>
            </w:r>
          </w:p>
        </w:tc>
      </w:tr>
      <w:tr>
        <w:tc>
          <w:tcPr>
            <w:tcW w:type="dxa" w:w="1361"/>
            <w:shd w:fill="FFFFFF"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Ø8</w:t>
            </w:r>
          </w:p>
        </w:tc>
        <w:tc>
          <w:tcPr>
            <w:tcW w:type="dxa" w:w="1701"/>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6,515</w:t>
            </w:r>
          </w:p>
        </w:tc>
        <w:tc>
          <w:tcPr>
            <w:tcW w:type="dxa" w:w="1701"/>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5,051</w:t>
            </w:r>
          </w:p>
        </w:tc>
        <w:tc>
          <w:tcPr>
            <w:tcW w:type="dxa" w:w="158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−1,464</w:t>
            </w:r>
          </w:p>
        </w:tc>
        <w:tc>
          <w:tcPr>
            <w:tcW w:type="dxa" w:w="1361"/>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22.5%</w:t>
            </w:r>
          </w:p>
        </w:tc>
        <w:tc>
          <w:tcPr>
            <w:tcW w:type="dxa" w:w="1928"/>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78%</w:t>
            </w:r>
          </w:p>
        </w:tc>
      </w:tr>
      <w:tr>
        <w:tc>
          <w:tcPr>
            <w:tcW w:type="dxa" w:w="1361"/>
            <w:shd w:fill="F4F7FA"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Ø10</w:t>
            </w:r>
          </w:p>
        </w:tc>
        <w:tc>
          <w:tcPr>
            <w:tcW w:type="dxa" w:w="1701"/>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24,555</w:t>
            </w:r>
          </w:p>
        </w:tc>
        <w:tc>
          <w:tcPr>
            <w:tcW w:type="dxa" w:w="1701"/>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14,163</w:t>
            </w:r>
          </w:p>
        </w:tc>
        <w:tc>
          <w:tcPr>
            <w:tcW w:type="dxa" w:w="158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−10,393</w:t>
            </w:r>
          </w:p>
        </w:tc>
        <w:tc>
          <w:tcPr>
            <w:tcW w:type="dxa" w:w="1361"/>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42.3%</w:t>
            </w:r>
          </w:p>
        </w:tc>
        <w:tc>
          <w:tcPr>
            <w:tcW w:type="dxa" w:w="1928"/>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58%</w:t>
            </w:r>
          </w:p>
        </w:tc>
      </w:tr>
      <w:tr>
        <w:tc>
          <w:tcPr>
            <w:tcW w:type="dxa" w:w="1361"/>
            <w:shd w:fill="FFFFFF"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Ø12</w:t>
            </w:r>
          </w:p>
        </w:tc>
        <w:tc>
          <w:tcPr>
            <w:tcW w:type="dxa" w:w="1701"/>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22,253</w:t>
            </w:r>
          </w:p>
        </w:tc>
        <w:tc>
          <w:tcPr>
            <w:tcW w:type="dxa" w:w="1701"/>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12,722</w:t>
            </w:r>
          </w:p>
        </w:tc>
        <w:tc>
          <w:tcPr>
            <w:tcW w:type="dxa" w:w="158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−9,531</w:t>
            </w:r>
          </w:p>
        </w:tc>
        <w:tc>
          <w:tcPr>
            <w:tcW w:type="dxa" w:w="1361"/>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42.8%</w:t>
            </w:r>
          </w:p>
        </w:tc>
        <w:tc>
          <w:tcPr>
            <w:tcW w:type="dxa" w:w="1928"/>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57%</w:t>
            </w:r>
          </w:p>
        </w:tc>
      </w:tr>
      <w:tr>
        <w:tc>
          <w:tcPr>
            <w:tcW w:type="dxa" w:w="1361"/>
            <w:shd w:fill="F4F7FA"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Ø16</w:t>
            </w:r>
          </w:p>
        </w:tc>
        <w:tc>
          <w:tcPr>
            <w:tcW w:type="dxa" w:w="1701"/>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11,598</w:t>
            </w:r>
          </w:p>
        </w:tc>
        <w:tc>
          <w:tcPr>
            <w:tcW w:type="dxa" w:w="1701"/>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7,678</w:t>
            </w:r>
          </w:p>
        </w:tc>
        <w:tc>
          <w:tcPr>
            <w:tcW w:type="dxa" w:w="158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−3,920</w:t>
            </w:r>
          </w:p>
        </w:tc>
        <w:tc>
          <w:tcPr>
            <w:tcW w:type="dxa" w:w="1361"/>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33.8%</w:t>
            </w:r>
          </w:p>
        </w:tc>
        <w:tc>
          <w:tcPr>
            <w:tcW w:type="dxa" w:w="1928"/>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66%</w:t>
            </w:r>
          </w:p>
        </w:tc>
      </w:tr>
      <w:tr>
        <w:tc>
          <w:tcPr>
            <w:tcW w:type="dxa" w:w="1361"/>
            <w:shd w:fill="FFFFFF"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Ø20</w:t>
            </w:r>
          </w:p>
        </w:tc>
        <w:tc>
          <w:tcPr>
            <w:tcW w:type="dxa" w:w="1701"/>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35,888</w:t>
            </w:r>
          </w:p>
        </w:tc>
        <w:tc>
          <w:tcPr>
            <w:tcW w:type="dxa" w:w="1701"/>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20,506</w:t>
            </w:r>
          </w:p>
        </w:tc>
        <w:tc>
          <w:tcPr>
            <w:tcW w:type="dxa" w:w="158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−15,382</w:t>
            </w:r>
          </w:p>
        </w:tc>
        <w:tc>
          <w:tcPr>
            <w:tcW w:type="dxa" w:w="1361"/>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42.9%</w:t>
            </w:r>
          </w:p>
        </w:tc>
        <w:tc>
          <w:tcPr>
            <w:tcW w:type="dxa" w:w="1928"/>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57%</w:t>
            </w:r>
          </w:p>
        </w:tc>
      </w:tr>
      <w:tr>
        <w:tc>
          <w:tcPr>
            <w:tcW w:type="dxa" w:w="1361"/>
            <w:shd w:fill="F4F7FA"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Ø25</w:t>
            </w:r>
          </w:p>
        </w:tc>
        <w:tc>
          <w:tcPr>
            <w:tcW w:type="dxa" w:w="1701"/>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45,294</w:t>
            </w:r>
          </w:p>
        </w:tc>
        <w:tc>
          <w:tcPr>
            <w:tcW w:type="dxa" w:w="1701"/>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28,282</w:t>
            </w:r>
          </w:p>
        </w:tc>
        <w:tc>
          <w:tcPr>
            <w:tcW w:type="dxa" w:w="158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−17,011</w:t>
            </w:r>
          </w:p>
        </w:tc>
        <w:tc>
          <w:tcPr>
            <w:tcW w:type="dxa" w:w="1361"/>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37.6%</w:t>
            </w:r>
          </w:p>
        </w:tc>
        <w:tc>
          <w:tcPr>
            <w:tcW w:type="dxa" w:w="1928"/>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62%</w:t>
            </w:r>
          </w:p>
        </w:tc>
      </w:tr>
      <w:tr>
        <w:tc>
          <w:tcPr>
            <w:tcW w:type="dxa" w:w="1361"/>
            <w:shd w:fill="FFFFFF"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Ø32</w:t>
            </w:r>
          </w:p>
        </w:tc>
        <w:tc>
          <w:tcPr>
            <w:tcW w:type="dxa" w:w="1701"/>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2,808</w:t>
            </w:r>
          </w:p>
        </w:tc>
        <w:tc>
          <w:tcPr>
            <w:tcW w:type="dxa" w:w="1701"/>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1,901</w:t>
            </w:r>
          </w:p>
        </w:tc>
        <w:tc>
          <w:tcPr>
            <w:tcW w:type="dxa" w:w="158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−906</w:t>
            </w:r>
          </w:p>
        </w:tc>
        <w:tc>
          <w:tcPr>
            <w:tcW w:type="dxa" w:w="1361"/>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32.3%</w:t>
            </w:r>
          </w:p>
        </w:tc>
        <w:tc>
          <w:tcPr>
            <w:tcW w:type="dxa" w:w="1928"/>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68%</w:t>
            </w:r>
          </w:p>
        </w:tc>
      </w:tr>
      <w:tr>
        <w:tc>
          <w:tcPr>
            <w:tcW w:type="dxa" w:w="1361"/>
            <w:shd w:fill="E8EEF4"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TOTAL</w:t>
            </w:r>
          </w:p>
        </w:tc>
        <w:tc>
          <w:tcPr>
            <w:tcW w:type="dxa" w:w="1701"/>
            <w:shd w:fill="E8EEF4"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3D4A57"/>
                <w:sz w:val="16"/>
              </w:rPr>
              <w:t>148,911</w:t>
            </w:r>
          </w:p>
        </w:tc>
        <w:tc>
          <w:tcPr>
            <w:tcW w:type="dxa" w:w="1701"/>
            <w:shd w:fill="E8EEF4"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3D4A57"/>
                <w:sz w:val="16"/>
              </w:rPr>
              <w:t>90,303</w:t>
            </w:r>
          </w:p>
        </w:tc>
        <w:tc>
          <w:tcPr>
            <w:tcW w:type="dxa" w:w="1587"/>
            <w:shd w:fill="E8EEF4"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3D4A57"/>
                <w:sz w:val="16"/>
              </w:rPr>
              <w:t>−58,607</w:t>
            </w:r>
          </w:p>
        </w:tc>
        <w:tc>
          <w:tcPr>
            <w:tcW w:type="dxa" w:w="1361"/>
            <w:shd w:fill="E8EEF4"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3D4A57"/>
                <w:sz w:val="16"/>
              </w:rPr>
              <w:t>39.4%</w:t>
            </w:r>
          </w:p>
        </w:tc>
        <w:tc>
          <w:tcPr>
            <w:tcW w:type="dxa" w:w="1928"/>
            <w:shd w:fill="E8EEF4"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3D4A57"/>
                <w:sz w:val="16"/>
              </w:rPr>
              <w:t>61%</w:t>
            </w:r>
          </w:p>
        </w:tc>
      </w:tr>
    </w:tbl>
    <w:p>
      <w:pPr>
        <w:spacing w:after="120"/>
      </w:pPr>
    </w:p>
    <w:tbl>
      <w:tblPr>
        <w:tblW w:type="dxa" w:w="9639"/>
        <w:jc w:val="center"/>
        <w:tblLayout w:type="fixed"/>
        <w:tblLook w:firstColumn="1" w:firstRow="1" w:lastColumn="0" w:lastRow="0" w:noHBand="0" w:noVBand="1" w:val="04A0"/>
      </w:tblPr>
      <w:tblGrid>
        <w:gridCol w:w="9978"/>
      </w:tblGrid>
      <w:tr>
        <w:tc>
          <w:tcPr>
            <w:tcW w:type="dxa" w:w="9638"/>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22"/>
              </w:rPr>
              <w:t>9.  Semantic error profile</w:t>
            </w:r>
          </w:p>
        </w:tc>
      </w:tr>
    </w:tbl>
    <w:p>
      <w:pPr>
        <w:spacing w:after="60"/>
      </w:pPr>
    </w:p>
    <w:tbl>
      <w:tblPr>
        <w:tblW w:type="dxa" w:w="9639"/>
        <w:jc w:val="center"/>
        <w:tblLayout w:type="fixed"/>
        <w:tblLook w:firstColumn="1" w:firstRow="1" w:lastColumn="0" w:lastRow="0" w:noHBand="0" w:noVBand="1" w:val="04A0"/>
      </w:tblPr>
      <w:tblGrid>
        <w:gridCol w:w="4989"/>
        <w:gridCol w:w="4989"/>
      </w:tblGrid>
      <w:tr>
        <w:tc>
          <w:tcPr>
            <w:tcW w:type="dxa" w:w="5669"/>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Matcher taxonomy</w:t>
            </w:r>
          </w:p>
        </w:tc>
        <w:tc>
          <w:tcPr>
            <w:tcW w:type="dxa" w:w="3969"/>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Pooled count</w:t>
            </w:r>
          </w:p>
        </w:tc>
      </w:tr>
      <w:tr>
        <w:tc>
          <w:tcPr>
            <w:tcW w:type="dxa" w:w="5669"/>
            <w:shd w:fill="FFFFFF"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MISSING</w:t>
            </w:r>
          </w:p>
        </w:tc>
        <w:tc>
          <w:tcPr>
            <w:tcW w:type="dxa" w:w="3969"/>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2161</w:t>
            </w:r>
          </w:p>
        </w:tc>
      </w:tr>
      <w:tr>
        <w:tc>
          <w:tcPr>
            <w:tcW w:type="dxa" w:w="5669"/>
            <w:shd w:fill="F4F7FA"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MATCH</w:t>
            </w:r>
          </w:p>
        </w:tc>
        <w:tc>
          <w:tcPr>
            <w:tcW w:type="dxa" w:w="3969"/>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733</w:t>
            </w:r>
          </w:p>
        </w:tc>
      </w:tr>
      <w:tr>
        <w:tc>
          <w:tcPr>
            <w:tcW w:type="dxa" w:w="5669"/>
            <w:shd w:fill="FFFFFF"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WRONG_QUANTITY</w:t>
            </w:r>
          </w:p>
        </w:tc>
        <w:tc>
          <w:tcPr>
            <w:tcW w:type="dxa" w:w="3969"/>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593</w:t>
            </w:r>
          </w:p>
        </w:tc>
      </w:tr>
      <w:tr>
        <w:tc>
          <w:tcPr>
            <w:tcW w:type="dxa" w:w="5669"/>
            <w:shd w:fill="F4F7FA"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WRONG_DIAMETER</w:t>
            </w:r>
          </w:p>
        </w:tc>
        <w:tc>
          <w:tcPr>
            <w:tcW w:type="dxa" w:w="3969"/>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445</w:t>
            </w:r>
          </w:p>
        </w:tc>
      </w:tr>
      <w:tr>
        <w:tc>
          <w:tcPr>
            <w:tcW w:type="dxa" w:w="5669"/>
            <w:shd w:fill="FFFFFF"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EXTRA</w:t>
            </w:r>
          </w:p>
        </w:tc>
        <w:tc>
          <w:tcPr>
            <w:tcW w:type="dxa" w:w="3969"/>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183</w:t>
            </w:r>
          </w:p>
        </w:tc>
      </w:tr>
      <w:tr>
        <w:tc>
          <w:tcPr>
            <w:tcW w:type="dxa" w:w="5669"/>
            <w:shd w:fill="F4F7FA"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WRONG_ROLE</w:t>
            </w:r>
          </w:p>
        </w:tc>
        <w:tc>
          <w:tcPr>
            <w:tcW w:type="dxa" w:w="3969"/>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134</w:t>
            </w:r>
          </w:p>
        </w:tc>
      </w:tr>
      <w:tr>
        <w:tc>
          <w:tcPr>
            <w:tcW w:type="dxa" w:w="5669"/>
            <w:shd w:fill="FFFFFF"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PARTIAL_MATCH</w:t>
            </w:r>
          </w:p>
        </w:tc>
        <w:tc>
          <w:tcPr>
            <w:tcW w:type="dxa" w:w="3969"/>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103</w:t>
            </w:r>
          </w:p>
        </w:tc>
      </w:tr>
      <w:tr>
        <w:tc>
          <w:tcPr>
            <w:tcW w:type="dxa" w:w="5669"/>
            <w:shd w:fill="F4F7FA"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ACCEPTABLE_EXTRA</w:t>
            </w:r>
          </w:p>
        </w:tc>
        <w:tc>
          <w:tcPr>
            <w:tcW w:type="dxa" w:w="3969"/>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89</w:t>
            </w:r>
          </w:p>
        </w:tc>
      </w:tr>
    </w:tbl>
    <w:p>
      <w:pPr>
        <w:spacing w:after="120"/>
      </w:pPr>
    </w:p>
    <w:p>
      <w:pPr>
        <w:spacing w:after="120" w:before="0" w:line="259" w:lineRule="auto"/>
      </w:pPr>
      <w:r>
        <w:rPr>
          <w:rFonts w:ascii="Calibri" w:hAnsi="Calibri" w:eastAsia="Calibri"/>
          <w:b w:val="0"/>
          <w:color w:val="3D4A57"/>
          <w:sz w:val="19"/>
        </w:rPr>
        <w:t>MISSING bars are ground-truth lines the model did not identify. MATCH / WRONG_QUANTITY / WRONG_DIAMETER / WRONG_ROLE / PARTIAL_MATCH describe detected bars. EXTRA is a model line without a GT pair. Deterministic disagreement is not treated as proof that Vision is wrong.</w:t>
      </w:r>
    </w:p>
    <w:p>
      <w:pPr>
        <w:spacing w:after="160"/>
        <w:jc w:val="center"/>
      </w:pPr>
      <w:r>
        <w:drawing>
          <wp:inline xmlns:a="http://schemas.openxmlformats.org/drawingml/2006/main" xmlns:pic="http://schemas.openxmlformats.org/drawingml/2006/picture">
            <wp:extent cx="5852160" cy="2813357"/>
            <wp:docPr id="5" name="Picture 5"/>
            <wp:cNvGraphicFramePr>
              <a:graphicFrameLocks noChangeAspect="1"/>
            </wp:cNvGraphicFramePr>
            <a:graphic>
              <a:graphicData uri="http://schemas.openxmlformats.org/drawingml/2006/picture">
                <pic:pic>
                  <pic:nvPicPr>
                    <pic:cNvPr id="0" name="semantic_error_distribution.png"/>
                    <pic:cNvPicPr/>
                  </pic:nvPicPr>
                  <pic:blipFill>
                    <a:blip r:embed="rId15"/>
                    <a:stretch>
                      <a:fillRect/>
                    </a:stretch>
                  </pic:blipFill>
                  <pic:spPr>
                    <a:xfrm>
                      <a:off x="0" y="0"/>
                      <a:ext cx="5852160" cy="2813357"/>
                    </a:xfrm>
                    <a:prstGeom prst="rect"/>
                  </pic:spPr>
                </pic:pic>
              </a:graphicData>
            </a:graphic>
          </wp:inline>
        </w:drawing>
      </w:r>
    </w:p>
    <w:tbl>
      <w:tblPr>
        <w:tblW w:type="dxa" w:w="9639"/>
        <w:jc w:val="center"/>
        <w:tblLayout w:type="fixed"/>
        <w:tblLook w:firstColumn="1" w:firstRow="1" w:lastColumn="0" w:lastRow="0" w:noHBand="0" w:noVBand="1" w:val="04A0"/>
      </w:tblPr>
      <w:tblGrid>
        <w:gridCol w:w="9978"/>
      </w:tblGrid>
      <w:tr>
        <w:tc>
          <w:tcPr>
            <w:tcW w:type="dxa" w:w="9638"/>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22"/>
              </w:rPr>
              <w:t>10.  Engineering calculation profile</w:t>
            </w:r>
          </w:p>
        </w:tc>
      </w:tr>
    </w:tbl>
    <w:p>
      <w:pPr>
        <w:spacing w:after="60"/>
      </w:pPr>
    </w:p>
    <w:tbl>
      <w:tblPr>
        <w:tblW w:type="dxa" w:w="9639"/>
        <w:jc w:val="center"/>
        <w:tblLayout w:type="fixed"/>
        <w:tblLook w:firstColumn="1" w:firstRow="1" w:lastColumn="0" w:lastRow="0" w:noHBand="0" w:noVBand="1" w:val="04A0"/>
      </w:tblPr>
      <w:tblGrid>
        <w:gridCol w:w="4989"/>
        <w:gridCol w:w="4989"/>
      </w:tblGrid>
      <w:tr>
        <w:tc>
          <w:tcPr>
            <w:tcW w:type="dxa" w:w="6803"/>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Engineering condition</w:t>
            </w:r>
          </w:p>
        </w:tc>
        <w:tc>
          <w:tcPr>
            <w:tcW w:type="dxa" w:w="2835"/>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Count</w:t>
            </w:r>
          </w:p>
        </w:tc>
      </w:tr>
      <w:tr>
        <w:tc>
          <w:tcPr>
            <w:tcW w:type="dxa" w:w="6803"/>
            <w:shd w:fill="FFFFFF"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CUT_LENGTH_DERIVED_FALLBACK</w:t>
            </w:r>
          </w:p>
        </w:tc>
        <w:tc>
          <w:tcPr>
            <w:tcW w:type="dxa" w:w="2835"/>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188</w:t>
            </w:r>
          </w:p>
        </w:tc>
      </w:tr>
      <w:tr>
        <w:tc>
          <w:tcPr>
            <w:tcW w:type="dxa" w:w="6803"/>
            <w:shd w:fill="F4F7FA"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CUT_LENGTH_UNAVAILABLE</w:t>
            </w:r>
          </w:p>
        </w:tc>
        <w:tc>
          <w:tcPr>
            <w:tcW w:type="dxa" w:w="2835"/>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0</w:t>
            </w:r>
          </w:p>
        </w:tc>
      </w:tr>
      <w:tr>
        <w:tc>
          <w:tcPr>
            <w:tcW w:type="dxa" w:w="6803"/>
            <w:shd w:fill="FFFFFF"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STIRRUP_ENGINEERING_UNAVAILABLE</w:t>
            </w:r>
          </w:p>
        </w:tc>
        <w:tc>
          <w:tcPr>
            <w:tcW w:type="dxa" w:w="2835"/>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69</w:t>
            </w:r>
          </w:p>
        </w:tc>
      </w:tr>
      <w:tr>
        <w:tc>
          <w:tcPr>
            <w:tcW w:type="dxa" w:w="6803"/>
            <w:shd w:fill="F4F7FA"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PARTIAL_CALCULATION</w:t>
            </w:r>
          </w:p>
        </w:tc>
        <w:tc>
          <w:tcPr>
            <w:tcW w:type="dxa" w:w="2835"/>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82</w:t>
            </w:r>
          </w:p>
        </w:tc>
      </w:tr>
      <w:tr>
        <w:tc>
          <w:tcPr>
            <w:tcW w:type="dxa" w:w="6803"/>
            <w:shd w:fill="FFFFFF"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INCOMPATIBLE</w:t>
            </w:r>
          </w:p>
        </w:tc>
        <w:tc>
          <w:tcPr>
            <w:tcW w:type="dxa" w:w="2835"/>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0</w:t>
            </w:r>
          </w:p>
        </w:tc>
      </w:tr>
      <w:tr>
        <w:tc>
          <w:tcPr>
            <w:tcW w:type="dxa" w:w="6803"/>
            <w:shd w:fill="F4F7FA"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SPACER_ZERO</w:t>
            </w:r>
          </w:p>
        </w:tc>
        <w:tc>
          <w:tcPr>
            <w:tcW w:type="dxa" w:w="2835"/>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242</w:t>
            </w:r>
          </w:p>
        </w:tc>
      </w:tr>
    </w:tbl>
    <w:p>
      <w:pPr>
        <w:spacing w:after="120"/>
      </w:pPr>
    </w:p>
    <w:p>
      <w:pPr>
        <w:spacing w:after="120" w:before="0" w:line="259" w:lineRule="auto"/>
      </w:pPr>
      <w:r>
        <w:rPr>
          <w:rFonts w:ascii="Calibri" w:hAnsi="Calibri" w:eastAsia="Calibri"/>
          <w:b w:val="0"/>
          <w:color w:val="3D4A57"/>
          <w:sz w:val="19"/>
        </w:rPr>
        <w:t>Spacers remain deterministic-only. Stirrup identification may come from Vision; stirrup geometry, legs, zones, spacing, quantity, hooks, cut length and weight remain deterministic. Vision never invents stirrup engineering quantities. Semantic/engineering stirrup conflicts are recorded, not silently overwritten.</w:t>
      </w:r>
    </w:p>
    <w:tbl>
      <w:tblPr>
        <w:tblW w:type="dxa" w:w="9639"/>
        <w:jc w:val="center"/>
        <w:tblLayout w:type="fixed"/>
        <w:tblLook w:firstColumn="1" w:firstRow="1" w:lastColumn="0" w:lastRow="0" w:noHBand="0" w:noVBand="1" w:val="04A0"/>
      </w:tblPr>
      <w:tblGrid>
        <w:gridCol w:w="9978"/>
      </w:tblGrid>
      <w:tr>
        <w:tc>
          <w:tcPr>
            <w:tcW w:type="dxa" w:w="9638"/>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22"/>
              </w:rPr>
              <w:t>11.  HYBRID / FALLBACK coverage</w:t>
            </w:r>
          </w:p>
        </w:tc>
      </w:tr>
    </w:tbl>
    <w:p>
      <w:pPr>
        <w:spacing w:after="60"/>
      </w:pPr>
    </w:p>
    <w:p>
      <w:pPr>
        <w:spacing w:after="120" w:before="0" w:line="259" w:lineRule="auto"/>
      </w:pPr>
      <w:r>
        <w:rPr>
          <w:rFonts w:ascii="Calibri" w:hAnsi="Calibri" w:eastAsia="Calibri"/>
          <w:b w:val="0"/>
          <w:color w:val="3D4A57"/>
          <w:sz w:val="19"/>
        </w:rPr>
        <w:t>HYBRID_ONLY scores use the valid matched benchmark subset for Vision-usable beams. FALLBACK_ONLY uses beams that applied the D.1 deterministic fallback. Full-population scores are not replaced by HYBRID_ONLY steel accuracy. A zero cohort is reported as NOT APPLICABLE.</w:t>
      </w:r>
    </w:p>
    <w:tbl>
      <w:tblPr>
        <w:tblW w:type="dxa" w:w="9298"/>
        <w:jc w:val="center"/>
        <w:tblLayout w:type="fixed"/>
        <w:tblLook w:firstColumn="1" w:firstRow="1" w:lastColumn="0" w:lastRow="0" w:noHBand="0" w:noVBand="1" w:val="04A0"/>
      </w:tblPr>
      <w:tblGrid>
        <w:gridCol w:w="1425"/>
        <w:gridCol w:w="1425"/>
        <w:gridCol w:w="1425"/>
        <w:gridCol w:w="1425"/>
        <w:gridCol w:w="1425"/>
        <w:gridCol w:w="1425"/>
        <w:gridCol w:w="1425"/>
      </w:tblGrid>
      <w:tr>
        <w:tc>
          <w:tcPr>
            <w:tcW w:type="dxa" w:w="1814"/>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Cohort</w:t>
            </w:r>
          </w:p>
        </w:tc>
        <w:tc>
          <w:tcPr>
            <w:tcW w:type="dxa" w:w="1247"/>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Beam ID</w:t>
            </w:r>
          </w:p>
        </w:tc>
        <w:tc>
          <w:tcPr>
            <w:tcW w:type="dxa" w:w="1247"/>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Bar ID</w:t>
            </w:r>
          </w:p>
        </w:tc>
        <w:tc>
          <w:tcPr>
            <w:tcW w:type="dxa" w:w="1247"/>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Correct</w:t>
            </w:r>
          </w:p>
        </w:tc>
        <w:tc>
          <w:tcPr>
            <w:tcW w:type="dxa" w:w="1247"/>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Diameter</w:t>
            </w:r>
          </w:p>
        </w:tc>
        <w:tc>
          <w:tcPr>
            <w:tcW w:type="dxa" w:w="1247"/>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Steel</w:t>
            </w:r>
          </w:p>
        </w:tc>
        <w:tc>
          <w:tcPr>
            <w:tcW w:type="dxa" w:w="1247"/>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15"/>
              </w:rPr>
              <w:t>Overall</w:t>
            </w:r>
          </w:p>
        </w:tc>
      </w:tr>
      <w:tr>
        <w:tc>
          <w:tcPr>
            <w:tcW w:type="dxa" w:w="1814"/>
            <w:shd w:fill="FFFFFF"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HYBRID_ONLY</w:t>
            </w:r>
          </w:p>
        </w:tc>
        <w:tc>
          <w:tcPr>
            <w:tcW w:type="dxa" w:w="124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97.52%</w:t>
            </w:r>
          </w:p>
        </w:tc>
        <w:tc>
          <w:tcPr>
            <w:tcW w:type="dxa" w:w="124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57.03%</w:t>
            </w:r>
          </w:p>
        </w:tc>
        <w:tc>
          <w:tcPr>
            <w:tcW w:type="dxa" w:w="124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36.39%</w:t>
            </w:r>
          </w:p>
        </w:tc>
        <w:tc>
          <w:tcPr>
            <w:tcW w:type="dxa" w:w="124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78.46%</w:t>
            </w:r>
          </w:p>
        </w:tc>
        <w:tc>
          <w:tcPr>
            <w:tcW w:type="dxa" w:w="124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75.22%</w:t>
            </w:r>
          </w:p>
        </w:tc>
        <w:tc>
          <w:tcPr>
            <w:tcW w:type="dxa" w:w="124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66.54%</w:t>
            </w:r>
          </w:p>
        </w:tc>
      </w:tr>
      <w:tr>
        <w:tc>
          <w:tcPr>
            <w:tcW w:type="dxa" w:w="1814"/>
            <w:shd w:fill="F4F7FA"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FALLBACK_ONLY</w:t>
            </w:r>
          </w:p>
        </w:tc>
        <w:tc>
          <w:tcPr>
            <w:tcW w:type="dxa" w:w="124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97.73%</w:t>
            </w:r>
          </w:p>
        </w:tc>
        <w:tc>
          <w:tcPr>
            <w:tcW w:type="dxa" w:w="124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48.43%</w:t>
            </w:r>
          </w:p>
        </w:tc>
        <w:tc>
          <w:tcPr>
            <w:tcW w:type="dxa" w:w="124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38.21%</w:t>
            </w:r>
          </w:p>
        </w:tc>
        <w:tc>
          <w:tcPr>
            <w:tcW w:type="dxa" w:w="124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68.29%</w:t>
            </w:r>
          </w:p>
        </w:tc>
        <w:tc>
          <w:tcPr>
            <w:tcW w:type="dxa" w:w="124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71.00%</w:t>
            </w:r>
          </w:p>
        </w:tc>
        <w:tc>
          <w:tcPr>
            <w:tcW w:type="dxa" w:w="1247"/>
            <w:shd w:fill="F4F7FA"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63.84%</w:t>
            </w:r>
          </w:p>
        </w:tc>
      </w:tr>
      <w:tr>
        <w:tc>
          <w:tcPr>
            <w:tcW w:type="dxa" w:w="1814"/>
            <w:shd w:fill="FFFFFF" w:val="clear"/>
            <w:tcBorders>
              <w:top w:val="single" w:sz="4" w:space="0" w:color="C5CDD6"/>
              <w:left w:val="single" w:sz="4" w:space="0" w:color="C5CDD6"/>
              <w:bottom w:val="single" w:sz="4" w:space="0" w:color="C5CDD6"/>
              <w:right w:val="single" w:sz="4" w:space="0" w:color="C5CDD6"/>
            </w:tcBorders>
          </w:tcPr>
          <w:p>
            <w:pPr>
              <w:spacing w:before="20" w:after="20"/>
              <w:jc w:val="left"/>
            </w:pPr>
            <w:r/>
            <w:r>
              <w:rPr>
                <w:rFonts w:ascii="Calibri" w:hAnsi="Calibri" w:eastAsia="Calibri"/>
                <w:b/>
                <w:color w:val="1B365D"/>
                <w:sz w:val="16"/>
              </w:rPr>
              <w:t>FULL_POPULATION</w:t>
            </w:r>
          </w:p>
        </w:tc>
        <w:tc>
          <w:tcPr>
            <w:tcW w:type="dxa" w:w="124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85.12%</w:t>
            </w:r>
          </w:p>
        </w:tc>
        <w:tc>
          <w:tcPr>
            <w:tcW w:type="dxa" w:w="124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48.17%</w:t>
            </w:r>
          </w:p>
        </w:tc>
        <w:tc>
          <w:tcPr>
            <w:tcW w:type="dxa" w:w="124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36.50%</w:t>
            </w:r>
          </w:p>
        </w:tc>
        <w:tc>
          <w:tcPr>
            <w:tcW w:type="dxa" w:w="124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77.84%</w:t>
            </w:r>
          </w:p>
        </w:tc>
        <w:tc>
          <w:tcPr>
            <w:tcW w:type="dxa" w:w="124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60.64%</w:t>
            </w:r>
          </w:p>
        </w:tc>
        <w:tc>
          <w:tcPr>
            <w:tcW w:type="dxa" w:w="1247"/>
            <w:shd w:fill="FFFFFF"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val="0"/>
                <w:color w:val="3D4A57"/>
                <w:sz w:val="16"/>
              </w:rPr>
              <w:t>57.61%</w:t>
            </w:r>
          </w:p>
        </w:tc>
      </w:tr>
    </w:tbl>
    <w:p>
      <w:pPr>
        <w:spacing w:after="120"/>
      </w:pPr>
    </w:p>
    <w:tbl>
      <w:tblPr>
        <w:tblW w:type="dxa" w:w="9639"/>
        <w:jc w:val="center"/>
        <w:tblLayout w:type="fixed"/>
        <w:tblLook w:firstColumn="1" w:firstRow="1" w:lastColumn="0" w:lastRow="0" w:noHBand="0" w:noVBand="1" w:val="04A0"/>
      </w:tblPr>
      <w:tblGrid>
        <w:gridCol w:w="9978"/>
      </w:tblGrid>
      <w:tr>
        <w:tc>
          <w:tcPr>
            <w:tcW w:type="dxa" w:w="9638"/>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22"/>
              </w:rPr>
              <w:t>12.  Current workflow value</w:t>
            </w:r>
          </w:p>
        </w:tc>
      </w:tr>
    </w:tbl>
    <w:p>
      <w:pPr>
        <w:spacing w:after="60"/>
      </w:pPr>
    </w:p>
    <w:p>
      <w:pPr>
        <w:spacing w:after="120" w:before="0" w:line="259" w:lineRule="auto"/>
      </w:pPr>
      <w:r>
        <w:rPr>
          <w:rFonts w:ascii="Calibri" w:hAnsi="Calibri" w:eastAsia="Calibri"/>
          <w:b w:val="0"/>
          <w:color w:val="3D4A57"/>
          <w:sz w:val="20"/>
        </w:rPr>
        <w:t>Positioning: model-assisted estimation. Estimator verification is required. No current time-and-motion study exists in this phase, so accuracy is not equivalent to time saved. Vision API success is not engineering accuracy. Fallback coverage is part of the measured system, not hidden Vision performance.</w:t>
      </w:r>
    </w:p>
    <w:tbl>
      <w:tblPr>
        <w:tblW w:type="dxa" w:w="9639"/>
        <w:jc w:val="center"/>
        <w:tblLayout w:type="fixed"/>
        <w:tblLook w:firstColumn="1" w:firstRow="1" w:lastColumn="0" w:lastRow="0" w:noHBand="0" w:noVBand="1" w:val="04A0"/>
      </w:tblPr>
      <w:tblGrid>
        <w:gridCol w:w="9978"/>
      </w:tblGrid>
      <w:tr>
        <w:tc>
          <w:tcPr>
            <w:tcW w:type="dxa" w:w="9638"/>
            <w:shd w:fill="1B365D" w:val="clear"/>
            <w:tcBorders>
              <w:top w:val="single" w:sz="4" w:space="0" w:color="C5CDD6"/>
              <w:left w:val="single" w:sz="4" w:space="0" w:color="C5CDD6"/>
              <w:bottom w:val="single" w:sz="4" w:space="0" w:color="C5CDD6"/>
              <w:right w:val="single" w:sz="4" w:space="0" w:color="C5CDD6"/>
            </w:tcBorders>
          </w:tcPr>
          <w:p>
            <w:pPr>
              <w:spacing w:before="20" w:after="20"/>
              <w:jc w:val="center"/>
            </w:pPr>
            <w:r/>
            <w:r>
              <w:rPr>
                <w:rFonts w:ascii="Calibri" w:hAnsi="Calibri" w:eastAsia="Calibri"/>
                <w:b/>
                <w:color w:val="FFFFFF"/>
                <w:sz w:val="22"/>
              </w:rPr>
              <w:t>13.  Methodology, sources and limitations</w:t>
            </w:r>
          </w:p>
        </w:tc>
      </w:tr>
    </w:tbl>
    <w:p>
      <w:pPr>
        <w:spacing w:after="60"/>
      </w:pPr>
    </w:p>
    <w:p>
      <w:pPr>
        <w:spacing w:after="40" w:before="0" w:line="259" w:lineRule="auto"/>
      </w:pPr>
      <w:r>
        <w:rPr>
          <w:rFonts w:ascii="Calibri" w:hAnsi="Calibri" w:eastAsia="Calibri"/>
          <w:b w:val="0"/>
          <w:color w:val="2F5D7C"/>
          <w:sz w:val="17"/>
        </w:rPr>
        <w:t>P2.6.10-E.3 uses QA.2A BeamMatcher / BarMatcher / MetricsEngine metric8 and the QA.3.0 four-KPI overall mean. Ground truth is evaluation-only (estimator Excel; Second–Third also have a validated QA.2B.1 context path where discovered). Truth is never used in runtime semantic resolution. Limitations: ESTIMATOR_WORKBOOK_MAPPING_LIMITATION, FIRST_SET_EXCLUDED, SHADOW_ONLY_NOT_PRODUCTION, FALLBACK_POPULATION_PRESENT. PRODUCTION_WRITE = false. ENGINEERING_CHANGES = NONE. Shadow-only; not production routing.</w:t>
      </w:r>
    </w:p>
    <w:sectPr w:rsidR="00FC693F" w:rsidRPr="0006063C" w:rsidSect="00034616">
      <w:headerReference w:type="default" r:id="rId9"/>
      <w:footerReference w:type="default" r:id="rId10"/>
      <w:pgSz w:w="11906" w:h="16838"/>
      <w:pgMar w:top="737"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color w:val="2F5D7C"/>
        <w:sz w:val="15"/>
      </w:rPr>
      <w:t>Confidential / internal use  ·  Vision semantics are diagnostic/shadow inputs  ·  Not a production promotion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Calibri"/>
        <w:b/>
        <w:color w:val="2F5D7C"/>
        <w:sz w:val="16"/>
      </w:rPr>
      <w:t>SteelBeam Estimator  ·  Version 10  ·  Current hybrid architecture</w:t>
    </w:r>
    <w:r>
      <w:rPr>
        <w:rFonts w:ascii="Calibri" w:hAnsi="Calibri" w:eastAsia="Calibri"/>
        <w:b w:val="0"/>
        <w:color w:val="8A5A00"/>
        <w:sz w:val="16"/>
      </w:rPr>
      <w:t xml:space="preserve">     Second–Sixth Sets  ·  First Set excluded  ·  Shadow benchmark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