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c9c773c127905070f43b745fdccb19abb8b044c"/>
    <w:p>
      <w:pPr>
        <w:pStyle w:val="Heading1"/>
      </w:pPr>
      <w:r>
        <w:t xml:space="preserve">Model Explanation — Hybrid Engineering Intelligence Model</w:t>
      </w:r>
    </w:p>
    <w:bookmarkStart w:id="11" w:name="model-philosophy"/>
    <w:p>
      <w:pPr>
        <w:pStyle w:val="Heading2"/>
      </w:pPr>
      <w:r>
        <w:t xml:space="preserve">1. Model Philosophy</w:t>
      </w:r>
    </w:p>
    <w:p>
      <w:pPr>
        <w:pStyle w:val="FirstParagraph"/>
      </w:pPr>
      <w:r>
        <w:t xml:space="preserve">The Steel Beam Estimation system is a</w:t>
      </w:r>
      <w:r>
        <w:t xml:space="preserve"> </w:t>
      </w:r>
      <w:r>
        <w:rPr>
          <w:b/>
          <w:bCs/>
        </w:rPr>
        <w:t xml:space="preserve">hybrid engineering intelligence model</w:t>
      </w:r>
      <w:r>
        <w:t xml:space="preserve"> </w:t>
      </w:r>
      <w:r>
        <w:t xml:space="preserve">that combines deterministic engineering computation with AI-based visual interpretation.</w:t>
      </w:r>
    </w:p>
    <w:p>
      <w:pPr>
        <w:pStyle w:val="BodyText"/>
      </w:pPr>
      <w:r>
        <w:t xml:space="preserve">The model separates the problem into two fundamentally different tasks:</w:t>
      </w:r>
    </w:p>
    <w:bookmarkStart w:id="9" w:name="perception"/>
    <w:p>
      <w:pPr>
        <w:pStyle w:val="Heading3"/>
      </w:pPr>
      <w:r>
        <w:t xml:space="preserve">Perception</w:t>
      </w:r>
    </w:p>
    <w:p>
      <w:pPr>
        <w:pStyle w:val="FirstParagraph"/>
      </w:pPr>
      <w:r>
        <w:t xml:space="preserve">Understanding what the drawing represents.</w:t>
      </w:r>
    </w:p>
    <w:bookmarkEnd w:id="9"/>
    <w:bookmarkStart w:id="10" w:name="engineering"/>
    <w:p>
      <w:pPr>
        <w:pStyle w:val="Heading3"/>
      </w:pPr>
      <w:r>
        <w:t xml:space="preserve">Engineering</w:t>
      </w:r>
    </w:p>
    <w:p>
      <w:pPr>
        <w:pStyle w:val="FirstParagraph"/>
      </w:pPr>
      <w:r>
        <w:t xml:space="preserve">Determining how the identified reinforcement should be engineered and quantified.</w:t>
      </w:r>
    </w:p>
    <w:p>
      <w:pPr>
        <w:pStyle w:val="BodyText"/>
      </w:pPr>
      <w:r>
        <w:t xml:space="preserve">AI Vision is used primarily for perception, while deterministic engineering logic remains authoritative for engineering calculations.</w:t>
      </w:r>
    </w:p>
    <w:p>
      <w:r>
        <w:pict>
          <v:rect style="width:0;height:1.5pt" o:hralign="center" o:hrstd="t" o:hr="t"/>
        </w:pict>
      </w:r>
    </w:p>
    <w:bookmarkEnd w:id="10"/>
    <w:bookmarkEnd w:id="11"/>
    <w:bookmarkStart w:id="12" w:name="deterministic-engineering-model"/>
    <w:p>
      <w:pPr>
        <w:pStyle w:val="Heading2"/>
      </w:pPr>
      <w:r>
        <w:t xml:space="preserve">2. Deterministic Engineering Model</w:t>
      </w:r>
    </w:p>
    <w:p>
      <w:pPr>
        <w:pStyle w:val="FirstParagraph"/>
      </w:pPr>
      <w:r>
        <w:t xml:space="preserve">The deterministic layer encodes:</w:t>
      </w:r>
    </w:p>
    <w:p>
      <w:pPr>
        <w:pStyle w:val="Compact"/>
        <w:numPr>
          <w:ilvl w:val="0"/>
          <w:numId w:val="1001"/>
        </w:numPr>
      </w:pPr>
      <w:r>
        <w:t xml:space="preserve">CAD geometry</w:t>
      </w:r>
    </w:p>
    <w:p>
      <w:pPr>
        <w:pStyle w:val="Compact"/>
        <w:numPr>
          <w:ilvl w:val="0"/>
          <w:numId w:val="1001"/>
        </w:numPr>
      </w:pPr>
      <w:r>
        <w:t xml:space="preserve">Structural drawing relationships</w:t>
      </w:r>
    </w:p>
    <w:p>
      <w:pPr>
        <w:pStyle w:val="Compact"/>
        <w:numPr>
          <w:ilvl w:val="0"/>
          <w:numId w:val="1001"/>
        </w:numPr>
      </w:pPr>
      <w:r>
        <w:t xml:space="preserve">Engineering rules</w:t>
      </w:r>
    </w:p>
    <w:p>
      <w:pPr>
        <w:pStyle w:val="Compact"/>
        <w:numPr>
          <w:ilvl w:val="0"/>
          <w:numId w:val="1001"/>
        </w:numPr>
      </w:pPr>
      <w:r>
        <w:t xml:space="preserve">Project-specific knowledge</w:t>
      </w:r>
    </w:p>
    <w:p>
      <w:pPr>
        <w:pStyle w:val="Compact"/>
        <w:numPr>
          <w:ilvl w:val="0"/>
          <w:numId w:val="1001"/>
        </w:numPr>
      </w:pPr>
      <w:r>
        <w:t xml:space="preserve">Estimator practices</w:t>
      </w:r>
    </w:p>
    <w:p>
      <w:pPr>
        <w:pStyle w:val="Compact"/>
        <w:numPr>
          <w:ilvl w:val="0"/>
          <w:numId w:val="1001"/>
        </w:numPr>
      </w:pPr>
      <w:r>
        <w:t xml:space="preserve">Development Length rules</w:t>
      </w:r>
    </w:p>
    <w:p>
      <w:pPr>
        <w:pStyle w:val="Compact"/>
        <w:numPr>
          <w:ilvl w:val="0"/>
          <w:numId w:val="1001"/>
        </w:numPr>
      </w:pPr>
      <w:r>
        <w:t xml:space="preserve">Cover requirements</w:t>
      </w:r>
    </w:p>
    <w:p>
      <w:pPr>
        <w:pStyle w:val="Compact"/>
        <w:numPr>
          <w:ilvl w:val="0"/>
          <w:numId w:val="1001"/>
        </w:numPr>
      </w:pPr>
      <w:r>
        <w:t xml:space="preserve">Material information</w:t>
      </w:r>
    </w:p>
    <w:p>
      <w:pPr>
        <w:pStyle w:val="Compact"/>
        <w:numPr>
          <w:ilvl w:val="0"/>
          <w:numId w:val="1001"/>
        </w:numPr>
      </w:pPr>
      <w:r>
        <w:t xml:space="preserve">Bar geometry</w:t>
      </w:r>
    </w:p>
    <w:p>
      <w:pPr>
        <w:pStyle w:val="Compact"/>
        <w:numPr>
          <w:ilvl w:val="0"/>
          <w:numId w:val="1001"/>
        </w:numPr>
      </w:pPr>
      <w:r>
        <w:t xml:space="preserve">Cutting-length logic</w:t>
      </w:r>
    </w:p>
    <w:p>
      <w:pPr>
        <w:pStyle w:val="Compact"/>
        <w:numPr>
          <w:ilvl w:val="0"/>
          <w:numId w:val="1001"/>
        </w:numPr>
      </w:pPr>
      <w:r>
        <w:t xml:space="preserve">Stirrup engineering</w:t>
      </w:r>
    </w:p>
    <w:p>
      <w:pPr>
        <w:pStyle w:val="Compact"/>
        <w:numPr>
          <w:ilvl w:val="0"/>
          <w:numId w:val="1001"/>
        </w:numPr>
      </w:pPr>
      <w:r>
        <w:t xml:space="preserve">Quantity calculations</w:t>
      </w:r>
    </w:p>
    <w:p>
      <w:pPr>
        <w:pStyle w:val="Compact"/>
        <w:numPr>
          <w:ilvl w:val="0"/>
          <w:numId w:val="1001"/>
        </w:numPr>
      </w:pPr>
      <w:r>
        <w:t xml:space="preserve">BBS generation</w:t>
      </w:r>
    </w:p>
    <w:p>
      <w:pPr>
        <w:pStyle w:val="FirstParagraph"/>
      </w:pPr>
      <w:r>
        <w:t xml:space="preserve">The deterministic pipeline can be represented as:</w:t>
      </w:r>
    </w:p>
    <w:p>
      <w:pPr>
        <w:pStyle w:val="SourceCode"/>
      </w:pPr>
      <w:r>
        <w:rPr>
          <w:rStyle w:val="VerbatimChar"/>
        </w:rPr>
        <w:t xml:space="preserve">DXF Drawing</w:t>
      </w:r>
      <w:r>
        <w:br/>
      </w:r>
      <w:r>
        <w:rPr>
          <w:rStyle w:val="VerbatimChar"/>
        </w:rPr>
        <w:t xml:space="preserve">     │</w:t>
      </w:r>
      <w:r>
        <w:br/>
      </w:r>
      <w:r>
        <w:rPr>
          <w:rStyle w:val="VerbatimChar"/>
        </w:rPr>
        <w:t xml:space="preserve">     ▼</w:t>
      </w:r>
      <w:r>
        <w:br/>
      </w:r>
      <w:r>
        <w:rPr>
          <w:rStyle w:val="VerbatimChar"/>
        </w:rPr>
        <w:t xml:space="preserve">CAD Entities</w:t>
      </w:r>
      <w:r>
        <w:br/>
      </w:r>
      <w:r>
        <w:rPr>
          <w:rStyle w:val="VerbatimChar"/>
        </w:rPr>
        <w:t xml:space="preserve">     │</w:t>
      </w:r>
      <w:r>
        <w:br/>
      </w:r>
      <w:r>
        <w:rPr>
          <w:rStyle w:val="VerbatimChar"/>
        </w:rPr>
        <w:t xml:space="preserve">     ▼</w:t>
      </w:r>
      <w:r>
        <w:br/>
      </w:r>
      <w:r>
        <w:rPr>
          <w:rStyle w:val="VerbatimChar"/>
        </w:rPr>
        <w:t xml:space="preserve">Layers / Text / Geometry</w:t>
      </w:r>
      <w:r>
        <w:br/>
      </w:r>
      <w:r>
        <w:rPr>
          <w:rStyle w:val="VerbatimChar"/>
        </w:rPr>
        <w:t xml:space="preserve">     │</w:t>
      </w:r>
      <w:r>
        <w:br/>
      </w:r>
      <w:r>
        <w:rPr>
          <w:rStyle w:val="VerbatimChar"/>
        </w:rPr>
        <w:t xml:space="preserve">     ▼</w:t>
      </w:r>
      <w:r>
        <w:br/>
      </w:r>
      <w:r>
        <w:rPr>
          <w:rStyle w:val="VerbatimChar"/>
        </w:rPr>
        <w:t xml:space="preserve">Engineering Objects</w:t>
      </w:r>
      <w:r>
        <w:br/>
      </w:r>
      <w:r>
        <w:rPr>
          <w:rStyle w:val="VerbatimChar"/>
        </w:rPr>
        <w:t xml:space="preserve">     │</w:t>
      </w:r>
      <w:r>
        <w:br/>
      </w:r>
      <w:r>
        <w:rPr>
          <w:rStyle w:val="VerbatimChar"/>
        </w:rPr>
        <w:t xml:space="preserve">     ▼</w:t>
      </w:r>
      <w:r>
        <w:br/>
      </w:r>
      <w:r>
        <w:rPr>
          <w:rStyle w:val="VerbatimChar"/>
        </w:rPr>
        <w:t xml:space="preserve">Engineering Rules</w:t>
      </w:r>
      <w:r>
        <w:br/>
      </w:r>
      <w:r>
        <w:rPr>
          <w:rStyle w:val="VerbatimChar"/>
        </w:rPr>
        <w:t xml:space="preserve">     │</w:t>
      </w:r>
      <w:r>
        <w:br/>
      </w:r>
      <w:r>
        <w:rPr>
          <w:rStyle w:val="VerbatimChar"/>
        </w:rPr>
        <w:t xml:space="preserve">     ▼</w:t>
      </w:r>
      <w:r>
        <w:br/>
      </w:r>
      <w:r>
        <w:rPr>
          <w:rStyle w:val="VerbatimChar"/>
        </w:rPr>
        <w:t xml:space="preserve">Engineering Calculations</w:t>
      </w:r>
      <w:r>
        <w:br/>
      </w:r>
      <w:r>
        <w:rPr>
          <w:rStyle w:val="VerbatimChar"/>
        </w:rPr>
        <w:t xml:space="preserve">     │</w:t>
      </w:r>
      <w:r>
        <w:br/>
      </w:r>
      <w:r>
        <w:rPr>
          <w:rStyle w:val="VerbatimChar"/>
        </w:rPr>
        <w:t xml:space="preserve">     ▼</w:t>
      </w:r>
      <w:r>
        <w:br/>
      </w:r>
      <w:r>
        <w:rPr>
          <w:rStyle w:val="VerbatimChar"/>
        </w:rPr>
        <w:t xml:space="preserve">Steel Quantities</w:t>
      </w:r>
      <w:r>
        <w:br/>
      </w:r>
      <w:r>
        <w:rPr>
          <w:rStyle w:val="VerbatimChar"/>
        </w:rPr>
        <w:t xml:space="preserve">     │</w:t>
      </w:r>
      <w:r>
        <w:br/>
      </w:r>
      <w:r>
        <w:rPr>
          <w:rStyle w:val="VerbatimChar"/>
        </w:rPr>
        <w:t xml:space="preserve">     ▼</w:t>
      </w:r>
      <w:r>
        <w:br/>
      </w:r>
      <w:r>
        <w:rPr>
          <w:rStyle w:val="VerbatimChar"/>
        </w:rPr>
        <w:t xml:space="preserve">BBS / Excel</w:t>
      </w:r>
    </w:p>
    <w:p>
      <w:pPr>
        <w:pStyle w:val="FirstParagraph"/>
      </w:pPr>
      <w:r>
        <w:t xml:space="preserve">This layer provides deterministic, repeatable and auditable engineering computation.</w:t>
      </w:r>
    </w:p>
    <w:p>
      <w:r>
        <w:pict>
          <v:rect style="width:0;height:1.5pt" o:hralign="center" o:hrstd="t" o:hr="t"/>
        </w:pict>
      </w:r>
    </w:p>
    <w:bookmarkEnd w:id="12"/>
    <w:bookmarkStart w:id="13" w:name="ai-vision-model"/>
    <w:p>
      <w:pPr>
        <w:pStyle w:val="Heading2"/>
      </w:pPr>
      <w:r>
        <w:t xml:space="preserve">3. AI Vision Model</w:t>
      </w:r>
    </w:p>
    <w:p>
      <w:pPr>
        <w:pStyle w:val="FirstParagraph"/>
      </w:pPr>
      <w:r>
        <w:t xml:space="preserve">Raw structural drawings contain information that is not always reliably represented through CAD entities alone.</w:t>
      </w:r>
    </w:p>
    <w:p>
      <w:pPr>
        <w:pStyle w:val="BodyText"/>
      </w:pPr>
      <w:r>
        <w:t xml:space="preserve">Examples include:</w:t>
      </w:r>
    </w:p>
    <w:p>
      <w:pPr>
        <w:pStyle w:val="Compact"/>
        <w:numPr>
          <w:ilvl w:val="0"/>
          <w:numId w:val="1002"/>
        </w:numPr>
      </w:pPr>
      <w:r>
        <w:t xml:space="preserve">Visual grouping of reinforcement</w:t>
      </w:r>
    </w:p>
    <w:p>
      <w:pPr>
        <w:pStyle w:val="Compact"/>
        <w:numPr>
          <w:ilvl w:val="0"/>
          <w:numId w:val="1002"/>
        </w:numPr>
      </w:pPr>
      <w:r>
        <w:t xml:space="preserve">Interpretation of reinforcement callouts</w:t>
      </w:r>
    </w:p>
    <w:p>
      <w:pPr>
        <w:pStyle w:val="Compact"/>
        <w:numPr>
          <w:ilvl w:val="0"/>
          <w:numId w:val="1002"/>
        </w:numPr>
      </w:pPr>
      <w:r>
        <w:t xml:space="preserve">Understanding which bars belong together</w:t>
      </w:r>
    </w:p>
    <w:p>
      <w:pPr>
        <w:pStyle w:val="Compact"/>
        <w:numPr>
          <w:ilvl w:val="0"/>
          <w:numId w:val="1002"/>
        </w:numPr>
      </w:pPr>
      <w:r>
        <w:t xml:space="preserve">Distinguishing MAIN and EXTRA reinforcement</w:t>
      </w:r>
    </w:p>
    <w:p>
      <w:pPr>
        <w:pStyle w:val="Compact"/>
        <w:numPr>
          <w:ilvl w:val="0"/>
          <w:numId w:val="1002"/>
        </w:numPr>
      </w:pPr>
      <w:r>
        <w:t xml:space="preserve">Understanding support-specific reinforcement</w:t>
      </w:r>
    </w:p>
    <w:p>
      <w:pPr>
        <w:pStyle w:val="Compact"/>
        <w:numPr>
          <w:ilvl w:val="0"/>
          <w:numId w:val="1002"/>
        </w:numPr>
      </w:pPr>
      <w:r>
        <w:t xml:space="preserve">Recognizing visually represented stirrups</w:t>
      </w:r>
    </w:p>
    <w:p>
      <w:pPr>
        <w:pStyle w:val="Compact"/>
        <w:numPr>
          <w:ilvl w:val="0"/>
          <w:numId w:val="1002"/>
        </w:numPr>
      </w:pPr>
      <w:r>
        <w:t xml:space="preserve">Interpreting reinforcement in the context of a beam detail</w:t>
      </w:r>
    </w:p>
    <w:p>
      <w:pPr>
        <w:pStyle w:val="FirstParagraph"/>
      </w:pPr>
      <w:r>
        <w:t xml:space="preserve">Claude Vision is therefore used to interpret rendered engineering drawing context.</w:t>
      </w:r>
    </w:p>
    <w:p>
      <w:pPr>
        <w:pStyle w:val="BodyText"/>
      </w:pPr>
      <w:r>
        <w:t xml:space="preserve">The Vision pipeline is:</w:t>
      </w:r>
    </w:p>
    <w:p>
      <w:pPr>
        <w:pStyle w:val="SourceCode"/>
      </w:pPr>
      <w:r>
        <w:rPr>
          <w:rStyle w:val="VerbatimChar"/>
        </w:rPr>
        <w:t xml:space="preserve">Drawing / DXF</w:t>
      </w:r>
      <w:r>
        <w:br/>
      </w:r>
      <w:r>
        <w:rPr>
          <w:rStyle w:val="VerbatimChar"/>
        </w:rPr>
        <w:t xml:space="preserve">     │</w:t>
      </w:r>
      <w:r>
        <w:br/>
      </w:r>
      <w:r>
        <w:rPr>
          <w:rStyle w:val="VerbatimChar"/>
        </w:rPr>
        <w:t xml:space="preserve">     ▼</w:t>
      </w:r>
      <w:r>
        <w:br/>
      </w:r>
      <w:r>
        <w:rPr>
          <w:rStyle w:val="VerbatimChar"/>
        </w:rPr>
        <w:t xml:space="preserve">Render Relevant Detail</w:t>
      </w:r>
      <w:r>
        <w:br/>
      </w:r>
      <w:r>
        <w:rPr>
          <w:rStyle w:val="VerbatimChar"/>
        </w:rPr>
        <w:t xml:space="preserve">     │</w:t>
      </w:r>
      <w:r>
        <w:br/>
      </w:r>
      <w:r>
        <w:rPr>
          <w:rStyle w:val="VerbatimChar"/>
        </w:rPr>
        <w:t xml:space="preserve">     ▼</w:t>
      </w:r>
      <w:r>
        <w:br/>
      </w:r>
      <w:r>
        <w:rPr>
          <w:rStyle w:val="VerbatimChar"/>
        </w:rPr>
        <w:t xml:space="preserve">Provide Context + Detail</w:t>
      </w:r>
      <w:r>
        <w:br/>
      </w:r>
      <w:r>
        <w:rPr>
          <w:rStyle w:val="VerbatimChar"/>
        </w:rPr>
        <w:t xml:space="preserve">     │</w:t>
      </w:r>
      <w:r>
        <w:br/>
      </w:r>
      <w:r>
        <w:rPr>
          <w:rStyle w:val="VerbatimChar"/>
        </w:rPr>
        <w:t xml:space="preserve">     ▼</w:t>
      </w:r>
      <w:r>
        <w:br/>
      </w:r>
      <w:r>
        <w:rPr>
          <w:rStyle w:val="VerbatimChar"/>
        </w:rPr>
        <w:t xml:space="preserve">Claude Vision</w:t>
      </w:r>
      <w:r>
        <w:br/>
      </w:r>
      <w:r>
        <w:rPr>
          <w:rStyle w:val="VerbatimChar"/>
        </w:rPr>
        <w:t xml:space="preserve">     │</w:t>
      </w:r>
      <w:r>
        <w:br/>
      </w:r>
      <w:r>
        <w:rPr>
          <w:rStyle w:val="VerbatimChar"/>
        </w:rPr>
        <w:t xml:space="preserve">     ▼</w:t>
      </w:r>
      <w:r>
        <w:br/>
      </w:r>
      <w:r>
        <w:rPr>
          <w:rStyle w:val="VerbatimChar"/>
        </w:rPr>
        <w:t xml:space="preserve">Semantic Reinforcement Interpretation</w:t>
      </w:r>
    </w:p>
    <w:p>
      <w:r>
        <w:pict>
          <v:rect style="width:0;height:1.5pt" o:hralign="center" o:hrstd="t" o:hr="t"/>
        </w:pict>
      </w:r>
    </w:p>
    <w:bookmarkEnd w:id="13"/>
    <w:bookmarkStart w:id="16" w:name="X0e949dd685e3a014dd66f1d49e496b579f74b02"/>
    <w:p>
      <w:pPr>
        <w:pStyle w:val="Heading2"/>
      </w:pPr>
      <w:r>
        <w:t xml:space="preserve">4. Vision and Deterministic Responsibilities</w:t>
      </w:r>
    </w:p>
    <w:p>
      <w:pPr>
        <w:pStyle w:val="FirstParagraph"/>
      </w:pPr>
      <w:r>
        <w:t xml:space="preserve">The system deliberately assigns different responsibilities to each component.</w:t>
      </w:r>
    </w:p>
    <w:bookmarkStart w:id="14" w:name="vision-is-preferred-for"/>
    <w:p>
      <w:pPr>
        <w:pStyle w:val="Heading3"/>
      </w:pPr>
      <w:r>
        <w:t xml:space="preserve">Vision is preferred for:</w:t>
      </w:r>
    </w:p>
    <w:p>
      <w:pPr>
        <w:pStyle w:val="Compact"/>
        <w:numPr>
          <w:ilvl w:val="0"/>
          <w:numId w:val="1003"/>
        </w:numPr>
      </w:pPr>
      <w:r>
        <w:t xml:space="preserve">Target identification</w:t>
      </w:r>
    </w:p>
    <w:p>
      <w:pPr>
        <w:pStyle w:val="Compact"/>
        <w:numPr>
          <w:ilvl w:val="0"/>
          <w:numId w:val="1003"/>
        </w:numPr>
      </w:pPr>
      <w:r>
        <w:t xml:space="preserve">Layer/context interpretation</w:t>
      </w:r>
    </w:p>
    <w:p>
      <w:pPr>
        <w:pStyle w:val="Compact"/>
        <w:numPr>
          <w:ilvl w:val="0"/>
          <w:numId w:val="1003"/>
        </w:numPr>
      </w:pPr>
      <w:r>
        <w:t xml:space="preserve">Physical reinforcement grouping</w:t>
      </w:r>
    </w:p>
    <w:p>
      <w:pPr>
        <w:pStyle w:val="Compact"/>
        <w:numPr>
          <w:ilvl w:val="0"/>
          <w:numId w:val="1003"/>
        </w:numPr>
      </w:pPr>
      <w:r>
        <w:t xml:space="preserve">Bar count</w:t>
      </w:r>
    </w:p>
    <w:p>
      <w:pPr>
        <w:pStyle w:val="Compact"/>
        <w:numPr>
          <w:ilvl w:val="0"/>
          <w:numId w:val="1003"/>
        </w:numPr>
      </w:pPr>
      <w:r>
        <w:t xml:space="preserve">Diameter</w:t>
      </w:r>
    </w:p>
    <w:p>
      <w:pPr>
        <w:pStyle w:val="Compact"/>
        <w:numPr>
          <w:ilvl w:val="0"/>
          <w:numId w:val="1003"/>
        </w:numPr>
      </w:pPr>
      <w:r>
        <w:t xml:space="preserve">Reinforcement specification</w:t>
      </w:r>
    </w:p>
    <w:p>
      <w:pPr>
        <w:pStyle w:val="Compact"/>
        <w:numPr>
          <w:ilvl w:val="0"/>
          <w:numId w:val="1003"/>
        </w:numPr>
      </w:pPr>
      <w:r>
        <w:t xml:space="preserve">MAIN / EXTRA classification</w:t>
      </w:r>
    </w:p>
    <w:p>
      <w:pPr>
        <w:pStyle w:val="Compact"/>
        <w:numPr>
          <w:ilvl w:val="0"/>
          <w:numId w:val="1003"/>
        </w:numPr>
      </w:pPr>
      <w:r>
        <w:t xml:space="preserve">Support scope</w:t>
      </w:r>
    </w:p>
    <w:p>
      <w:pPr>
        <w:pStyle w:val="Compact"/>
        <w:numPr>
          <w:ilvl w:val="0"/>
          <w:numId w:val="1003"/>
        </w:numPr>
      </w:pPr>
      <w:r>
        <w:t xml:space="preserve">Visual stirrup identification</w:t>
      </w:r>
    </w:p>
    <w:p>
      <w:pPr>
        <w:pStyle w:val="Compact"/>
        <w:numPr>
          <w:ilvl w:val="0"/>
          <w:numId w:val="1003"/>
        </w:numPr>
      </w:pPr>
      <w:r>
        <w:t xml:space="preserve">Semantic reinforcement interpretation</w:t>
      </w:r>
    </w:p>
    <w:bookmarkEnd w:id="14"/>
    <w:bookmarkStart w:id="15" w:name="deterministic-logic-is-authoritative-for"/>
    <w:p>
      <w:pPr>
        <w:pStyle w:val="Heading3"/>
      </w:pPr>
      <w:r>
        <w:t xml:space="preserve">Deterministic logic is authoritative for:</w:t>
      </w:r>
    </w:p>
    <w:p>
      <w:pPr>
        <w:pStyle w:val="Compact"/>
        <w:numPr>
          <w:ilvl w:val="0"/>
          <w:numId w:val="1004"/>
        </w:numPr>
      </w:pPr>
      <w:r>
        <w:t xml:space="preserve">Geometry</w:t>
      </w:r>
    </w:p>
    <w:p>
      <w:pPr>
        <w:pStyle w:val="Compact"/>
        <w:numPr>
          <w:ilvl w:val="0"/>
          <w:numId w:val="1004"/>
        </w:numPr>
      </w:pPr>
      <w:r>
        <w:t xml:space="preserve">Spacers</w:t>
      </w:r>
    </w:p>
    <w:p>
      <w:pPr>
        <w:pStyle w:val="Compact"/>
        <w:numPr>
          <w:ilvl w:val="0"/>
          <w:numId w:val="1004"/>
        </w:numPr>
      </w:pPr>
      <w:r>
        <w:t xml:space="preserve">Cover</w:t>
      </w:r>
    </w:p>
    <w:p>
      <w:pPr>
        <w:pStyle w:val="Compact"/>
        <w:numPr>
          <w:ilvl w:val="0"/>
          <w:numId w:val="1004"/>
        </w:numPr>
      </w:pPr>
      <w:r>
        <w:t xml:space="preserve">Clear/engineering length</w:t>
      </w:r>
    </w:p>
    <w:p>
      <w:pPr>
        <w:pStyle w:val="Compact"/>
        <w:numPr>
          <w:ilvl w:val="0"/>
          <w:numId w:val="1004"/>
        </w:numPr>
      </w:pPr>
      <w:r>
        <w:t xml:space="preserve">Cut length</w:t>
      </w:r>
    </w:p>
    <w:p>
      <w:pPr>
        <w:pStyle w:val="Compact"/>
        <w:numPr>
          <w:ilvl w:val="0"/>
          <w:numId w:val="1004"/>
        </w:numPr>
      </w:pPr>
      <w:r>
        <w:t xml:space="preserve">Development Length</w:t>
      </w:r>
    </w:p>
    <w:p>
      <w:pPr>
        <w:pStyle w:val="Compact"/>
        <w:numPr>
          <w:ilvl w:val="0"/>
          <w:numId w:val="1004"/>
        </w:numPr>
      </w:pPr>
      <w:r>
        <w:t xml:space="preserve">Anchorage</w:t>
      </w:r>
    </w:p>
    <w:p>
      <w:pPr>
        <w:pStyle w:val="Compact"/>
        <w:numPr>
          <w:ilvl w:val="0"/>
          <w:numId w:val="1004"/>
        </w:numPr>
      </w:pPr>
      <w:r>
        <w:t xml:space="preserve">Hooks and bends</w:t>
      </w:r>
    </w:p>
    <w:p>
      <w:pPr>
        <w:pStyle w:val="Compact"/>
        <w:numPr>
          <w:ilvl w:val="0"/>
          <w:numId w:val="1004"/>
        </w:numPr>
      </w:pPr>
      <w:r>
        <w:t xml:space="preserve">Stirrup quantity</w:t>
      </w:r>
    </w:p>
    <w:p>
      <w:pPr>
        <w:pStyle w:val="Compact"/>
        <w:numPr>
          <w:ilvl w:val="0"/>
          <w:numId w:val="1004"/>
        </w:numPr>
      </w:pPr>
      <w:r>
        <w:t xml:space="preserve">Piece generation</w:t>
      </w:r>
    </w:p>
    <w:p>
      <w:pPr>
        <w:pStyle w:val="Compact"/>
        <w:numPr>
          <w:ilvl w:val="0"/>
          <w:numId w:val="1004"/>
        </w:numPr>
      </w:pPr>
      <w:r>
        <w:t xml:space="preserve">Unit weight</w:t>
      </w:r>
    </w:p>
    <w:p>
      <w:pPr>
        <w:pStyle w:val="Compact"/>
        <w:numPr>
          <w:ilvl w:val="0"/>
          <w:numId w:val="1004"/>
        </w:numPr>
      </w:pPr>
      <w:r>
        <w:t xml:space="preserve">Steel quantity</w:t>
      </w:r>
    </w:p>
    <w:p>
      <w:pPr>
        <w:pStyle w:val="Compact"/>
        <w:numPr>
          <w:ilvl w:val="0"/>
          <w:numId w:val="1004"/>
        </w:numPr>
      </w:pPr>
      <w:r>
        <w:t xml:space="preserve">BBS</w:t>
      </w:r>
    </w:p>
    <w:p>
      <w:pPr>
        <w:pStyle w:val="Compact"/>
        <w:numPr>
          <w:ilvl w:val="0"/>
          <w:numId w:val="1004"/>
        </w:numPr>
      </w:pPr>
      <w:r>
        <w:t xml:space="preserve">Excel output</w:t>
      </w:r>
    </w:p>
    <w:p>
      <w:pPr>
        <w:pStyle w:val="Compact"/>
        <w:numPr>
          <w:ilvl w:val="0"/>
          <w:numId w:val="1004"/>
        </w:numPr>
      </w:pPr>
      <w:r>
        <w:t xml:space="preserve">Engineering validation</w:t>
      </w:r>
    </w:p>
    <w:p>
      <w:r>
        <w:pict>
          <v:rect style="width:0;height:1.5pt" o:hralign="center" o:hrstd="t" o:hr="t"/>
        </w:pict>
      </w:r>
    </w:p>
    <w:bookmarkEnd w:id="15"/>
    <w:bookmarkEnd w:id="16"/>
    <w:bookmarkStart w:id="17" w:name="hybrid-resolution"/>
    <w:p>
      <w:pPr>
        <w:pStyle w:val="Heading2"/>
      </w:pPr>
      <w:r>
        <w:t xml:space="preserve">5. Hybrid Resolution</w:t>
      </w:r>
    </w:p>
    <w:p>
      <w:pPr>
        <w:pStyle w:val="FirstParagraph"/>
      </w:pPr>
      <w:r>
        <w:t xml:space="preserve">The two models are not treated as competing calculation engines.</w:t>
      </w:r>
    </w:p>
    <w:p>
      <w:pPr>
        <w:pStyle w:val="BodyText"/>
      </w:pPr>
      <w:r>
        <w:t xml:space="preserve">Instead:</w:t>
      </w:r>
    </w:p>
    <w:p>
      <w:pPr>
        <w:pStyle w:val="SourceCode"/>
      </w:pPr>
      <w:r>
        <w:rPr>
          <w:rStyle w:val="VerbatimChar"/>
        </w:rPr>
        <w:t xml:space="preserve">        DETERMINISTIC FACTS</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GEOMETRY         ENGINEERING</w:t>
      </w:r>
      <w:r>
        <w:br/>
      </w:r>
      <w:r>
        <w:rPr>
          <w:rStyle w:val="VerbatimChar"/>
        </w:rPr>
        <w:t xml:space="preserve">                           KNOWLEDGE</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HYBRID RESOLUTION</w:t>
      </w:r>
      <w:r>
        <w:br/>
      </w:r>
      <w:r>
        <w:rPr>
          <w:rStyle w:val="VerbatimChar"/>
        </w:rPr>
        <w:t xml:space="preserve">                      ▲</w:t>
      </w:r>
      <w:r>
        <w:br/>
      </w:r>
      <w:r>
        <w:rPr>
          <w:rStyle w:val="VerbatimChar"/>
        </w:rPr>
        <w:t xml:space="preserve">                      │</w:t>
      </w:r>
      <w:r>
        <w:br/>
      </w:r>
      <w:r>
        <w:rPr>
          <w:rStyle w:val="VerbatimChar"/>
        </w:rPr>
        <w:t xml:space="preserve">               VISION SEMANTICS</w:t>
      </w:r>
      <w:r>
        <w:br/>
      </w:r>
      <w:r>
        <w:rPr>
          <w:rStyle w:val="VerbatimChar"/>
        </w:rPr>
        <w:t xml:space="preserve">                      │</w:t>
      </w:r>
      <w:r>
        <w:br/>
      </w:r>
      <w:r>
        <w:rPr>
          <w:rStyle w:val="VerbatimChar"/>
        </w:rPr>
        <w:t xml:space="preserve">                      ▼</w:t>
      </w:r>
      <w:r>
        <w:br/>
      </w:r>
      <w:r>
        <w:rPr>
          <w:rStyle w:val="VerbatimChar"/>
        </w:rPr>
        <w:t xml:space="preserve">             REINFORCEMENT MODEL</w:t>
      </w:r>
      <w:r>
        <w:br/>
      </w:r>
      <w:r>
        <w:rPr>
          <w:rStyle w:val="VerbatimChar"/>
        </w:rPr>
        <w:t xml:space="preserve">                      │</w:t>
      </w:r>
      <w:r>
        <w:br/>
      </w:r>
      <w:r>
        <w:rPr>
          <w:rStyle w:val="VerbatimChar"/>
        </w:rPr>
        <w:t xml:space="preserve">                      ▼</w:t>
      </w:r>
      <w:r>
        <w:br/>
      </w:r>
      <w:r>
        <w:rPr>
          <w:rStyle w:val="VerbatimChar"/>
        </w:rPr>
        <w:t xml:space="preserve">          DETERMINISTIC ENGINEERING</w:t>
      </w:r>
      <w:r>
        <w:br/>
      </w:r>
      <w:r>
        <w:rPr>
          <w:rStyle w:val="VerbatimChar"/>
        </w:rPr>
        <w:t xml:space="preserve">                      │</w:t>
      </w:r>
      <w:r>
        <w:br/>
      </w:r>
      <w:r>
        <w:rPr>
          <w:rStyle w:val="VerbatimChar"/>
        </w:rPr>
        <w:t xml:space="preserve">                      ▼</w:t>
      </w:r>
      <w:r>
        <w:br/>
      </w:r>
      <w:r>
        <w:rPr>
          <w:rStyle w:val="VerbatimChar"/>
        </w:rPr>
        <w:t xml:space="preserve">                QUANTITY / BBS</w:t>
      </w:r>
    </w:p>
    <w:p>
      <w:pPr>
        <w:pStyle w:val="FirstParagraph"/>
      </w:pPr>
      <w:r>
        <w:t xml:space="preserve">The Hybrid Resolution layer reconciles the semantic interpretation produced by Vision with deterministic engineering facts.</w:t>
      </w:r>
    </w:p>
    <w:p>
      <w:r>
        <w:pict>
          <v:rect style="width:0;height:1.5pt" o:hralign="center" o:hrstd="t" o:hr="t"/>
        </w:pict>
      </w:r>
    </w:p>
    <w:bookmarkEnd w:id="17"/>
    <w:bookmarkStart w:id="18" w:name="why-a-hybrid-model"/>
    <w:p>
      <w:pPr>
        <w:pStyle w:val="Heading2"/>
      </w:pPr>
      <w:r>
        <w:t xml:space="preserve">6. Why a Hybrid Model?</w:t>
      </w:r>
    </w:p>
    <w:p>
      <w:pPr>
        <w:pStyle w:val="FirstParagraph"/>
      </w:pPr>
      <w:r>
        <w:t xml:space="preserve">A purely deterministic approach is strong at:</w:t>
      </w:r>
    </w:p>
    <w:p>
      <w:pPr>
        <w:pStyle w:val="Compact"/>
        <w:numPr>
          <w:ilvl w:val="0"/>
          <w:numId w:val="1005"/>
        </w:numPr>
      </w:pPr>
      <w:r>
        <w:t xml:space="preserve">Geometry</w:t>
      </w:r>
    </w:p>
    <w:p>
      <w:pPr>
        <w:pStyle w:val="Compact"/>
        <w:numPr>
          <w:ilvl w:val="0"/>
          <w:numId w:val="1005"/>
        </w:numPr>
      </w:pPr>
      <w:r>
        <w:t xml:space="preserve">Measurement</w:t>
      </w:r>
    </w:p>
    <w:p>
      <w:pPr>
        <w:pStyle w:val="Compact"/>
        <w:numPr>
          <w:ilvl w:val="0"/>
          <w:numId w:val="1005"/>
        </w:numPr>
      </w:pPr>
      <w:r>
        <w:t xml:space="preserve">Rule application</w:t>
      </w:r>
    </w:p>
    <w:p>
      <w:pPr>
        <w:pStyle w:val="Compact"/>
        <w:numPr>
          <w:ilvl w:val="0"/>
          <w:numId w:val="1005"/>
        </w:numPr>
      </w:pPr>
      <w:r>
        <w:t xml:space="preserve">Calculation</w:t>
      </w:r>
    </w:p>
    <w:p>
      <w:pPr>
        <w:pStyle w:val="Compact"/>
        <w:numPr>
          <w:ilvl w:val="0"/>
          <w:numId w:val="1005"/>
        </w:numPr>
      </w:pPr>
      <w:r>
        <w:t xml:space="preserve">Repeatability</w:t>
      </w:r>
    </w:p>
    <w:p>
      <w:pPr>
        <w:pStyle w:val="Compact"/>
        <w:numPr>
          <w:ilvl w:val="0"/>
          <w:numId w:val="1005"/>
        </w:numPr>
      </w:pPr>
      <w:r>
        <w:t xml:space="preserve">Auditability</w:t>
      </w:r>
    </w:p>
    <w:p>
      <w:pPr>
        <w:pStyle w:val="FirstParagraph"/>
      </w:pPr>
      <w:r>
        <w:t xml:space="preserve">However, raw drawings may contain semantic information that is difficult to infer solely from CAD entities.</w:t>
      </w:r>
    </w:p>
    <w:p>
      <w:pPr>
        <w:pStyle w:val="BodyText"/>
      </w:pPr>
      <w:r>
        <w:t xml:space="preserve">AI Vision is strong at:</w:t>
      </w:r>
    </w:p>
    <w:p>
      <w:pPr>
        <w:pStyle w:val="Compact"/>
        <w:numPr>
          <w:ilvl w:val="0"/>
          <w:numId w:val="1006"/>
        </w:numPr>
      </w:pPr>
      <w:r>
        <w:t xml:space="preserve">Visual pattern recognition</w:t>
      </w:r>
    </w:p>
    <w:p>
      <w:pPr>
        <w:pStyle w:val="Compact"/>
        <w:numPr>
          <w:ilvl w:val="0"/>
          <w:numId w:val="1006"/>
        </w:numPr>
      </w:pPr>
      <w:r>
        <w:t xml:space="preserve">Context interpretation</w:t>
      </w:r>
    </w:p>
    <w:p>
      <w:pPr>
        <w:pStyle w:val="Compact"/>
        <w:numPr>
          <w:ilvl w:val="0"/>
          <w:numId w:val="1006"/>
        </w:numPr>
      </w:pPr>
      <w:r>
        <w:t xml:space="preserve">Annotation understanding</w:t>
      </w:r>
    </w:p>
    <w:p>
      <w:pPr>
        <w:pStyle w:val="Compact"/>
        <w:numPr>
          <w:ilvl w:val="0"/>
          <w:numId w:val="1006"/>
        </w:numPr>
      </w:pPr>
      <w:r>
        <w:t xml:space="preserve">Reinforcement grouping</w:t>
      </w:r>
    </w:p>
    <w:p>
      <w:pPr>
        <w:pStyle w:val="Compact"/>
        <w:numPr>
          <w:ilvl w:val="0"/>
          <w:numId w:val="1006"/>
        </w:numPr>
      </w:pPr>
      <w:r>
        <w:t xml:space="preserve">Semantic interpretation</w:t>
      </w:r>
    </w:p>
    <w:p>
      <w:pPr>
        <w:pStyle w:val="FirstParagraph"/>
      </w:pPr>
      <w:r>
        <w:t xml:space="preserve">However, an AI model should not be treated as the authoritative calculation engine for engineering quantities.</w:t>
      </w:r>
    </w:p>
    <w:p>
      <w:pPr>
        <w:pStyle w:val="BodyText"/>
      </w:pPr>
      <w:r>
        <w:t xml:space="preserve">The hybrid model therefore combines the strengths of both approaches.</w:t>
      </w:r>
    </w:p>
    <w:p>
      <w:r>
        <w:pict>
          <v:rect style="width:0;height:1.5pt" o:hralign="center" o:hrstd="t" o:hr="t"/>
        </w:pict>
      </w:r>
    </w:p>
    <w:bookmarkEnd w:id="18"/>
    <w:bookmarkStart w:id="19" w:name="engineering-authority"/>
    <w:p>
      <w:pPr>
        <w:pStyle w:val="Heading2"/>
      </w:pPr>
      <w:r>
        <w:t xml:space="preserve">7. Engineering Authority</w:t>
      </w:r>
    </w:p>
    <w:p>
      <w:pPr>
        <w:pStyle w:val="FirstParagraph"/>
      </w:pPr>
      <w:r>
        <w:t xml:space="preserve">The system follows a strict authority hierarchy:</w:t>
      </w:r>
    </w:p>
    <w:p>
      <w:pPr>
        <w:pStyle w:val="SourceCode"/>
      </w:pPr>
      <w:r>
        <w:rPr>
          <w:rStyle w:val="VerbatimChar"/>
        </w:rPr>
        <w:t xml:space="preserve">VISION</w:t>
      </w:r>
      <w:r>
        <w:br/>
      </w:r>
      <w:r>
        <w:rPr>
          <w:rStyle w:val="VerbatimChar"/>
        </w:rPr>
        <w:t xml:space="preserve">     ↓</w:t>
      </w:r>
      <w:r>
        <w:br/>
      </w:r>
      <w:r>
        <w:rPr>
          <w:rStyle w:val="VerbatimChar"/>
        </w:rPr>
        <w:t xml:space="preserve">Semantic interpretation</w:t>
      </w:r>
      <w:r>
        <w:br/>
      </w:r>
      <w:r>
        <w:rPr>
          <w:rStyle w:val="VerbatimChar"/>
        </w:rPr>
        <w:t xml:space="preserve">     ↓</w:t>
      </w:r>
      <w:r>
        <w:br/>
      </w:r>
      <w:r>
        <w:rPr>
          <w:rStyle w:val="VerbatimChar"/>
        </w:rPr>
        <w:t xml:space="preserve">HYBRID RESOLUTION</w:t>
      </w:r>
      <w:r>
        <w:br/>
      </w:r>
      <w:r>
        <w:rPr>
          <w:rStyle w:val="VerbatimChar"/>
        </w:rPr>
        <w:t xml:space="preserve">     ↓</w:t>
      </w:r>
      <w:r>
        <w:br/>
      </w:r>
      <w:r>
        <w:rPr>
          <w:rStyle w:val="VerbatimChar"/>
        </w:rPr>
        <w:t xml:space="preserve">Deterministic engineering facts</w:t>
      </w:r>
      <w:r>
        <w:br/>
      </w:r>
      <w:r>
        <w:rPr>
          <w:rStyle w:val="VerbatimChar"/>
        </w:rPr>
        <w:t xml:space="preserve">     ↓</w:t>
      </w:r>
      <w:r>
        <w:br/>
      </w:r>
      <w:r>
        <w:rPr>
          <w:rStyle w:val="VerbatimChar"/>
        </w:rPr>
        <w:t xml:space="preserve">Engineering calculations</w:t>
      </w:r>
      <w:r>
        <w:br/>
      </w:r>
      <w:r>
        <w:rPr>
          <w:rStyle w:val="VerbatimChar"/>
        </w:rPr>
        <w:t xml:space="preserve">     ↓</w:t>
      </w:r>
      <w:r>
        <w:br/>
      </w:r>
      <w:r>
        <w:rPr>
          <w:rStyle w:val="VerbatimChar"/>
        </w:rPr>
        <w:t xml:space="preserve">Quantities</w:t>
      </w:r>
      <w:r>
        <w:br/>
      </w:r>
      <w:r>
        <w:rPr>
          <w:rStyle w:val="VerbatimChar"/>
        </w:rPr>
        <w:t xml:space="preserve">     ↓</w:t>
      </w:r>
      <w:r>
        <w:br/>
      </w:r>
      <w:r>
        <w:rPr>
          <w:rStyle w:val="VerbatimChar"/>
        </w:rPr>
        <w:t xml:space="preserve">BBS</w:t>
      </w:r>
      <w:r>
        <w:br/>
      </w:r>
      <w:r>
        <w:rPr>
          <w:rStyle w:val="VerbatimChar"/>
        </w:rPr>
        <w:t xml:space="preserve">     ↓</w:t>
      </w:r>
      <w:r>
        <w:br/>
      </w:r>
      <w:r>
        <w:rPr>
          <w:rStyle w:val="VerbatimChar"/>
        </w:rPr>
        <w:t xml:space="preserve">Excel</w:t>
      </w:r>
    </w:p>
    <w:p>
      <w:pPr>
        <w:pStyle w:val="FirstParagraph"/>
      </w:pPr>
      <w:r>
        <w:t xml:space="preserve">AI output is therefore an input to engineering computation rather than a replacement for deterministic engineering logic.</w:t>
      </w:r>
    </w:p>
    <w:p>
      <w:r>
        <w:pict>
          <v:rect style="width:0;height:1.5pt" o:hralign="center" o:hrstd="t" o:hr="t"/>
        </w:pict>
      </w:r>
    </w:p>
    <w:bookmarkEnd w:id="19"/>
    <w:bookmarkStart w:id="20" w:name="machine-learning-position"/>
    <w:p>
      <w:pPr>
        <w:pStyle w:val="Heading2"/>
      </w:pPr>
      <w:r>
        <w:t xml:space="preserve">8. Machine Learning Position</w:t>
      </w:r>
    </w:p>
    <w:p>
      <w:pPr>
        <w:pStyle w:val="FirstParagraph"/>
      </w:pPr>
      <w:r>
        <w:t xml:space="preserve">Traditional supervised Machine Learning is not the primary production approach for reinforcement perception at this stage.</w:t>
      </w:r>
    </w:p>
    <w:p>
      <w:pPr>
        <w:pStyle w:val="BodyText"/>
      </w:pPr>
      <w:r>
        <w:t xml:space="preserve">The project initially has raw engineering drawings rather than a sufficiently large, consistently labelled and tagged training dataset.</w:t>
      </w:r>
    </w:p>
    <w:p>
      <w:pPr>
        <w:pStyle w:val="BodyText"/>
      </w:pPr>
      <w:r>
        <w:t xml:space="preserve">Therefore, a conventional supervised ML approach would require a reliable labelled dataset before it could be expected to provide dependable production performance.</w:t>
      </w:r>
    </w:p>
    <w:p>
      <w:pPr>
        <w:pStyle w:val="BodyText"/>
      </w:pPr>
      <w:r>
        <w:t xml:space="preserve">AI Vision provides a practical semantic perception layer without requiring the same type of manually labelled training dataset.</w:t>
      </w:r>
    </w:p>
    <w:p>
      <w:pPr>
        <w:pStyle w:val="BodyText"/>
      </w:pPr>
      <w:r>
        <w:t xml:space="preserve">Future ML models may still be considered for targeted perception tasks when sufficient validated training data becomes available.</w:t>
      </w:r>
    </w:p>
    <w:p>
      <w:r>
        <w:pict>
          <v:rect style="width:0;height:1.5pt" o:hralign="center" o:hrstd="t" o:hr="t"/>
        </w:pict>
      </w:r>
    </w:p>
    <w:bookmarkEnd w:id="20"/>
    <w:bookmarkStart w:id="21" w:name="final-model-definition"/>
    <w:p>
      <w:pPr>
        <w:pStyle w:val="Heading2"/>
      </w:pPr>
      <w:r>
        <w:t xml:space="preserve">9. Final Model Definition</w:t>
      </w:r>
    </w:p>
    <w:p>
      <w:pPr>
        <w:pStyle w:val="FirstParagraph"/>
      </w:pPr>
      <w:r>
        <w:t xml:space="preserve">The current system can therefore be defined as:</w:t>
      </w:r>
    </w:p>
    <w:p>
      <w:pPr>
        <w:pStyle w:val="BlockText"/>
      </w:pPr>
      <w:r>
        <w:rPr>
          <w:b/>
          <w:bCs/>
        </w:rPr>
        <w:t xml:space="preserve">A hybrid engineering intelligence system in which AI Vision interprets reinforcement semantics from engineering drawings, while deterministic engineering logic remains authoritative for geometry, engineering calculations, steel quantities, BBS and final Excel output.</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