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4f46b48947f3d769e13d8ca67f3cacd7a3bffe"/>
    <w:p>
      <w:pPr>
        <w:pStyle w:val="Heading1"/>
      </w:pPr>
      <w:r>
        <w:t xml:space="preserve">Detailed Overview — Steel Beam Estimation System</w:t>
      </w:r>
    </w:p>
    <w:bookmarkStart w:id="10" w:name="X551add4aad5b252421e25a51e35e05b8e2376aa"/>
    <w:p>
      <w:pPr>
        <w:pStyle w:val="Heading2"/>
      </w:pPr>
      <w:r>
        <w:t xml:space="preserve">Phase A — CAD Foundation &amp; Geometry Extraction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the core deterministic CAD processing framework.</w:t>
      </w:r>
    </w:p>
    <w:bookmarkStart w:id="9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1"/>
        </w:numPr>
      </w:pPr>
      <w:r>
        <w:t xml:space="preserve">DXF reader</w:t>
      </w:r>
    </w:p>
    <w:p>
      <w:pPr>
        <w:pStyle w:val="Compact"/>
        <w:numPr>
          <w:ilvl w:val="0"/>
          <w:numId w:val="1001"/>
        </w:numPr>
      </w:pPr>
      <w:r>
        <w:t xml:space="preserve">Layer extraction</w:t>
      </w:r>
    </w:p>
    <w:p>
      <w:pPr>
        <w:pStyle w:val="Compact"/>
        <w:numPr>
          <w:ilvl w:val="0"/>
          <w:numId w:val="1001"/>
        </w:numPr>
      </w:pPr>
      <w:r>
        <w:t xml:space="preserve">Entity extraction</w:t>
      </w:r>
    </w:p>
    <w:p>
      <w:pPr>
        <w:pStyle w:val="Compact"/>
        <w:numPr>
          <w:ilvl w:val="0"/>
          <w:numId w:val="1001"/>
        </w:numPr>
      </w:pPr>
      <w:r>
        <w:t xml:space="preserve">Geometry utilities</w:t>
      </w:r>
    </w:p>
    <w:p>
      <w:pPr>
        <w:pStyle w:val="Compact"/>
        <w:numPr>
          <w:ilvl w:val="0"/>
          <w:numId w:val="1001"/>
        </w:numPr>
      </w:pPr>
      <w:r>
        <w:t xml:space="preserve">Basic framing entity detection</w:t>
      </w:r>
    </w:p>
    <w:p>
      <w:pPr>
        <w:pStyle w:val="Compact"/>
        <w:numPr>
          <w:ilvl w:val="0"/>
          <w:numId w:val="1001"/>
        </w:numPr>
      </w:pPr>
      <w:r>
        <w:t xml:space="preserve">CAD processing framework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722e27be3a5a4e53ff049cb6cc18896deafa4d2"/>
    <w:p>
      <w:pPr>
        <w:pStyle w:val="Heading2"/>
      </w:pPr>
      <w:r>
        <w:t xml:space="preserve">Phase B — Beam Reinforcement Drawing Understanding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the initial structural drawing understanding layer.</w:t>
      </w:r>
    </w:p>
    <w:bookmarkStart w:id="11" w:name="capabilities-1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2"/>
        </w:numPr>
      </w:pPr>
      <w:r>
        <w:t xml:space="preserve">Beam detail detection</w:t>
      </w:r>
    </w:p>
    <w:p>
      <w:pPr>
        <w:pStyle w:val="Compact"/>
        <w:numPr>
          <w:ilvl w:val="0"/>
          <w:numId w:val="1002"/>
        </w:numPr>
      </w:pPr>
      <w:r>
        <w:t xml:space="preserve">Sketch detection</w:t>
      </w:r>
    </w:p>
    <w:p>
      <w:pPr>
        <w:pStyle w:val="Compact"/>
        <w:numPr>
          <w:ilvl w:val="0"/>
          <w:numId w:val="1002"/>
        </w:numPr>
      </w:pPr>
      <w:r>
        <w:t xml:space="preserve">Annotation extraction</w:t>
      </w:r>
    </w:p>
    <w:p>
      <w:pPr>
        <w:pStyle w:val="Compact"/>
        <w:numPr>
          <w:ilvl w:val="0"/>
          <w:numId w:val="1002"/>
        </w:numPr>
      </w:pPr>
      <w:r>
        <w:t xml:space="preserve">Leader extraction</w:t>
      </w:r>
    </w:p>
    <w:p>
      <w:pPr>
        <w:pStyle w:val="Compact"/>
        <w:numPr>
          <w:ilvl w:val="0"/>
          <w:numId w:val="1002"/>
        </w:numPr>
      </w:pPr>
      <w:r>
        <w:t xml:space="preserve">Initial region detection</w:t>
      </w:r>
    </w:p>
    <w:p>
      <w:pPr>
        <w:pStyle w:val="Compact"/>
        <w:numPr>
          <w:ilvl w:val="0"/>
          <w:numId w:val="1002"/>
        </w:numPr>
      </w:pPr>
      <w:r>
        <w:t xml:space="preserve">Annotation ownership groundwork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hase-c-beam-annotation-intelligence"/>
    <w:p>
      <w:pPr>
        <w:pStyle w:val="Heading2"/>
      </w:pPr>
      <w:r>
        <w:t xml:space="preserve">Phase C — Beam Annotation Intelligence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relationships between beam details, annotations and drawing regions.</w:t>
      </w:r>
    </w:p>
    <w:bookmarkStart w:id="13" w:name="capabilities-2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3"/>
        </w:numPr>
      </w:pPr>
      <w:r>
        <w:t xml:space="preserve">Beam grouping</w:t>
      </w:r>
    </w:p>
    <w:p>
      <w:pPr>
        <w:pStyle w:val="Compact"/>
        <w:numPr>
          <w:ilvl w:val="0"/>
          <w:numId w:val="1003"/>
        </w:numPr>
      </w:pPr>
      <w:r>
        <w:t xml:space="preserve">Annotation ownership engine</w:t>
      </w:r>
    </w:p>
    <w:p>
      <w:pPr>
        <w:pStyle w:val="Compact"/>
        <w:numPr>
          <w:ilvl w:val="0"/>
          <w:numId w:val="1003"/>
        </w:numPr>
      </w:pPr>
      <w:r>
        <w:t xml:space="preserve">Region refinement</w:t>
      </w:r>
    </w:p>
    <w:p>
      <w:pPr>
        <w:pStyle w:val="Compact"/>
        <w:numPr>
          <w:ilvl w:val="0"/>
          <w:numId w:val="1003"/>
        </w:numPr>
      </w:pPr>
      <w:r>
        <w:t xml:space="preserve">Beam sketch association</w:t>
      </w:r>
    </w:p>
    <w:p>
      <w:pPr>
        <w:pStyle w:val="Compact"/>
        <w:numPr>
          <w:ilvl w:val="0"/>
          <w:numId w:val="1003"/>
        </w:numPr>
      </w:pPr>
      <w:r>
        <w:t xml:space="preserve">Engineering annotation preparation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d53d1934e39de116b8111cbe707fddff93a09d7"/>
    <w:p>
      <w:pPr>
        <w:pStyle w:val="Heading2"/>
      </w:pPr>
      <w:r>
        <w:t xml:space="preserve">Phase D — Reinforcement Engineering Intelligence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deterministic reinforcement interpretation foundations.</w:t>
      </w:r>
    </w:p>
    <w:bookmarkStart w:id="15" w:name="capabilities-3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4"/>
        </w:numPr>
      </w:pPr>
      <w:r>
        <w:t xml:space="preserve">Engineering Annotation Parser</w:t>
      </w:r>
    </w:p>
    <w:p>
      <w:pPr>
        <w:pStyle w:val="Compact"/>
        <w:numPr>
          <w:ilvl w:val="0"/>
          <w:numId w:val="1004"/>
        </w:numPr>
      </w:pPr>
      <w:r>
        <w:t xml:space="preserve">Reinforcement Classification</w:t>
      </w:r>
    </w:p>
    <w:p>
      <w:pPr>
        <w:pStyle w:val="Compact"/>
        <w:numPr>
          <w:ilvl w:val="0"/>
          <w:numId w:val="1004"/>
        </w:numPr>
      </w:pPr>
      <w:r>
        <w:t xml:space="preserve">Longitudinal Rebar Geometry Resolver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c49ff9f154e5bba43edcb1ab37e55e1ec898e6a"/>
    <w:p>
      <w:pPr>
        <w:pStyle w:val="Heading2"/>
      </w:pPr>
      <w:r>
        <w:t xml:space="preserve">Phase E — General Notes Intelligence Engine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the project engineering knowledge layer.</w:t>
      </w:r>
    </w:p>
    <w:bookmarkStart w:id="17" w:name="capabilities-4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5"/>
        </w:numPr>
      </w:pPr>
      <w:r>
        <w:t xml:space="preserve">Engineering rule extraction</w:t>
      </w:r>
    </w:p>
    <w:p>
      <w:pPr>
        <w:pStyle w:val="Compact"/>
        <w:numPr>
          <w:ilvl w:val="0"/>
          <w:numId w:val="1005"/>
        </w:numPr>
      </w:pPr>
      <w:r>
        <w:t xml:space="preserve">Development Length tables</w:t>
      </w:r>
    </w:p>
    <w:p>
      <w:pPr>
        <w:pStyle w:val="Compact"/>
        <w:numPr>
          <w:ilvl w:val="0"/>
          <w:numId w:val="1005"/>
        </w:numPr>
      </w:pPr>
      <w:r>
        <w:t xml:space="preserve">Cover tables</w:t>
      </w:r>
    </w:p>
    <w:p>
      <w:pPr>
        <w:pStyle w:val="Compact"/>
        <w:numPr>
          <w:ilvl w:val="0"/>
          <w:numId w:val="1005"/>
        </w:numPr>
      </w:pPr>
      <w:r>
        <w:t xml:space="preserve">Material grades</w:t>
      </w:r>
    </w:p>
    <w:p>
      <w:pPr>
        <w:pStyle w:val="Compact"/>
        <w:numPr>
          <w:ilvl w:val="0"/>
          <w:numId w:val="1005"/>
        </w:numPr>
      </w:pPr>
      <w:r>
        <w:t xml:space="preserve">Estimator rules</w:t>
      </w:r>
    </w:p>
    <w:p>
      <w:pPr>
        <w:pStyle w:val="Compact"/>
        <w:numPr>
          <w:ilvl w:val="0"/>
          <w:numId w:val="1005"/>
        </w:numPr>
      </w:pPr>
      <w:r>
        <w:t xml:space="preserve">Project defaults</w:t>
      </w:r>
    </w:p>
    <w:p>
      <w:pPr>
        <w:pStyle w:val="Compact"/>
        <w:numPr>
          <w:ilvl w:val="0"/>
          <w:numId w:val="1005"/>
        </w:numPr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Engineering knowledge model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phase-f-framing-plan-intelligence"/>
    <w:p>
      <w:pPr>
        <w:pStyle w:val="Heading2"/>
      </w:pPr>
      <w:r>
        <w:t xml:space="preserve">Phase F — Framing Plan Intelligence</w:t>
      </w:r>
    </w:p>
    <w:p>
      <w:pPr>
        <w:pStyle w:val="FirstParagraph"/>
      </w:pPr>
      <w:r>
        <w:rPr>
          <w:b/>
          <w:bCs/>
        </w:rPr>
        <w:t xml:space="preserve">Status: Completed</w:t>
      </w:r>
    </w:p>
    <w:p>
      <w:pPr>
        <w:pStyle w:val="BodyText"/>
      </w:pPr>
      <w:r>
        <w:t xml:space="preserve">Established the framing and engineering context required for reliable beam-level estimation.</w:t>
      </w:r>
    </w:p>
    <w:bookmarkStart w:id="19" w:name="capabilities-5"/>
    <w:p>
      <w:pPr>
        <w:pStyle w:val="Heading3"/>
      </w:pPr>
      <w:r>
        <w:t xml:space="preserve">Capabilities</w:t>
      </w:r>
    </w:p>
    <w:bookmarkEnd w:id="19"/>
    <w:bookmarkStart w:id="20" w:name="f.1-framing-geometry-foundation"/>
    <w:p>
      <w:pPr>
        <w:pStyle w:val="Heading3"/>
      </w:pPr>
      <w:r>
        <w:t xml:space="preserve">F.1 — Framing Geometry Foundation</w:t>
      </w:r>
    </w:p>
    <w:p>
      <w:pPr>
        <w:pStyle w:val="Compact"/>
        <w:numPr>
          <w:ilvl w:val="0"/>
          <w:numId w:val="1006"/>
        </w:numPr>
      </w:pPr>
      <w:r>
        <w:t xml:space="preserve">Structural framing geometry</w:t>
      </w:r>
    </w:p>
    <w:p>
      <w:pPr>
        <w:pStyle w:val="Compact"/>
        <w:numPr>
          <w:ilvl w:val="0"/>
          <w:numId w:val="1006"/>
        </w:numPr>
      </w:pPr>
      <w:r>
        <w:t xml:space="preserve">Beam relationships</w:t>
      </w:r>
    </w:p>
    <w:p>
      <w:pPr>
        <w:pStyle w:val="Compact"/>
        <w:numPr>
          <w:ilvl w:val="0"/>
          <w:numId w:val="1006"/>
        </w:numPr>
      </w:pPr>
      <w:r>
        <w:t xml:space="preserve">Framing entities</w:t>
      </w:r>
    </w:p>
    <w:bookmarkEnd w:id="20"/>
    <w:bookmarkStart w:id="21" w:name="f.2-dimension-resolution"/>
    <w:p>
      <w:pPr>
        <w:pStyle w:val="Heading3"/>
      </w:pPr>
      <w:r>
        <w:t xml:space="preserve">F.2 — Dimension Resolution</w:t>
      </w:r>
    </w:p>
    <w:p>
      <w:pPr>
        <w:pStyle w:val="Compact"/>
        <w:numPr>
          <w:ilvl w:val="0"/>
          <w:numId w:val="1007"/>
        </w:numPr>
      </w:pPr>
      <w:r>
        <w:t xml:space="preserve">Drawing dimensions</w:t>
      </w:r>
    </w:p>
    <w:p>
      <w:pPr>
        <w:pStyle w:val="Compact"/>
        <w:numPr>
          <w:ilvl w:val="0"/>
          <w:numId w:val="1007"/>
        </w:numPr>
      </w:pPr>
      <w:r>
        <w:t xml:space="preserve">Geometric dimensions</w:t>
      </w:r>
    </w:p>
    <w:p>
      <w:pPr>
        <w:pStyle w:val="Compact"/>
        <w:numPr>
          <w:ilvl w:val="0"/>
          <w:numId w:val="1007"/>
        </w:numPr>
      </w:pPr>
      <w:r>
        <w:t xml:space="preserve">Engineering dimension resolution</w:t>
      </w:r>
    </w:p>
    <w:bookmarkEnd w:id="21"/>
    <w:bookmarkStart w:id="22" w:name="Xfd095133ddd57a089843ad96ddc524961584d6c"/>
    <w:p>
      <w:pPr>
        <w:pStyle w:val="Heading3"/>
      </w:pPr>
      <w:r>
        <w:t xml:space="preserve">F.3 — Support Resolution &amp; Beam Section Model</w:t>
      </w:r>
    </w:p>
    <w:p>
      <w:pPr>
        <w:pStyle w:val="Compact"/>
        <w:numPr>
          <w:ilvl w:val="0"/>
          <w:numId w:val="1008"/>
        </w:numPr>
      </w:pPr>
      <w:r>
        <w:t xml:space="preserve">Support identification</w:t>
      </w:r>
    </w:p>
    <w:p>
      <w:pPr>
        <w:pStyle w:val="Compact"/>
        <w:numPr>
          <w:ilvl w:val="0"/>
          <w:numId w:val="1008"/>
        </w:numPr>
      </w:pPr>
      <w:r>
        <w:t xml:space="preserve">Beam support relationships</w:t>
      </w:r>
    </w:p>
    <w:p>
      <w:pPr>
        <w:pStyle w:val="Compact"/>
        <w:numPr>
          <w:ilvl w:val="0"/>
          <w:numId w:val="1008"/>
        </w:numPr>
      </w:pPr>
      <w:r>
        <w:t xml:space="preserve">Beam section model</w:t>
      </w:r>
    </w:p>
    <w:bookmarkEnd w:id="22"/>
    <w:bookmarkStart w:id="23" w:name="f.4-engineering-length-model"/>
    <w:p>
      <w:pPr>
        <w:pStyle w:val="Heading3"/>
      </w:pPr>
      <w:r>
        <w:t xml:space="preserve">F.4 — Engineering Length Model</w:t>
      </w:r>
    </w:p>
    <w:p>
      <w:pPr>
        <w:pStyle w:val="Compact"/>
        <w:numPr>
          <w:ilvl w:val="0"/>
          <w:numId w:val="1009"/>
        </w:numPr>
      </w:pPr>
      <w:r>
        <w:t xml:space="preserve">Engineering span</w:t>
      </w:r>
    </w:p>
    <w:p>
      <w:pPr>
        <w:pStyle w:val="Compact"/>
        <w:numPr>
          <w:ilvl w:val="0"/>
          <w:numId w:val="1009"/>
        </w:numPr>
      </w:pPr>
      <w:r>
        <w:t xml:space="preserve">Clear span</w:t>
      </w:r>
    </w:p>
    <w:p>
      <w:pPr>
        <w:pStyle w:val="Compact"/>
        <w:numPr>
          <w:ilvl w:val="0"/>
          <w:numId w:val="1009"/>
        </w:numPr>
      </w:pPr>
      <w:r>
        <w:t xml:space="preserve">Relevant length definitions</w:t>
      </w:r>
    </w:p>
    <w:bookmarkEnd w:id="23"/>
    <w:bookmarkStart w:id="24" w:name="X464be8121fe714159c9f0973ae91f4ff4ad5c99"/>
    <w:p>
      <w:pPr>
        <w:pStyle w:val="Heading3"/>
      </w:pPr>
      <w:r>
        <w:t xml:space="preserve">F.5 — Knowledge Graph &amp; Engineering Coordinate System</w:t>
      </w:r>
    </w:p>
    <w:p>
      <w:pPr>
        <w:pStyle w:val="Compact"/>
        <w:numPr>
          <w:ilvl w:val="0"/>
          <w:numId w:val="1010"/>
        </w:numPr>
      </w:pPr>
      <w:r>
        <w:t xml:space="preserve">Engineering relationships</w:t>
      </w:r>
    </w:p>
    <w:p>
      <w:pPr>
        <w:pStyle w:val="Compact"/>
        <w:numPr>
          <w:ilvl w:val="0"/>
          <w:numId w:val="1010"/>
        </w:numPr>
      </w:pPr>
      <w:r>
        <w:t xml:space="preserve">Coordinate system</w:t>
      </w:r>
    </w:p>
    <w:p>
      <w:pPr>
        <w:pStyle w:val="Compact"/>
        <w:numPr>
          <w:ilvl w:val="0"/>
          <w:numId w:val="1010"/>
        </w:numPr>
      </w:pPr>
      <w:r>
        <w:t xml:space="preserve">Object relationships</w:t>
      </w:r>
    </w:p>
    <w:bookmarkEnd w:id="24"/>
    <w:bookmarkStart w:id="25" w:name="f.6-engineering-context"/>
    <w:p>
      <w:pPr>
        <w:pStyle w:val="Heading3"/>
      </w:pPr>
      <w:r>
        <w:t xml:space="preserve">F.6 — Engineering Context</w:t>
      </w:r>
    </w:p>
    <w:p>
      <w:pPr>
        <w:pStyle w:val="Compact"/>
        <w:numPr>
          <w:ilvl w:val="0"/>
          <w:numId w:val="1011"/>
        </w:numPr>
      </w:pPr>
      <w:r>
        <w:t xml:space="preserve">Project context</w:t>
      </w:r>
    </w:p>
    <w:p>
      <w:pPr>
        <w:pStyle w:val="Compact"/>
        <w:numPr>
          <w:ilvl w:val="0"/>
          <w:numId w:val="1011"/>
        </w:numPr>
      </w:pPr>
      <w:r>
        <w:t xml:space="preserve">Beam context</w:t>
      </w:r>
    </w:p>
    <w:p>
      <w:pPr>
        <w:pStyle w:val="Compact"/>
        <w:numPr>
          <w:ilvl w:val="0"/>
          <w:numId w:val="1011"/>
        </w:numPr>
      </w:pPr>
      <w:r>
        <w:t xml:space="preserve">Reinforcement context</w:t>
      </w:r>
    </w:p>
    <w:bookmarkEnd w:id="25"/>
    <w:bookmarkStart w:id="26" w:name="f.7-project-workspace"/>
    <w:p>
      <w:pPr>
        <w:pStyle w:val="Heading3"/>
      </w:pPr>
      <w:r>
        <w:t xml:space="preserve">F.7 — Project Workspace</w:t>
      </w:r>
    </w:p>
    <w:p>
      <w:pPr>
        <w:pStyle w:val="Compact"/>
        <w:numPr>
          <w:ilvl w:val="0"/>
          <w:numId w:val="1012"/>
        </w:numPr>
      </w:pPr>
      <w:r>
        <w:t xml:space="preserve">Project-level organization</w:t>
      </w:r>
    </w:p>
    <w:p>
      <w:pPr>
        <w:pStyle w:val="Compact"/>
        <w:numPr>
          <w:ilvl w:val="0"/>
          <w:numId w:val="1012"/>
        </w:numPr>
      </w:pPr>
      <w:r>
        <w:t xml:space="preserve">Drawing relationships</w:t>
      </w:r>
    </w:p>
    <w:p>
      <w:pPr>
        <w:pStyle w:val="Compact"/>
        <w:numPr>
          <w:ilvl w:val="0"/>
          <w:numId w:val="1012"/>
        </w:numPr>
      </w:pPr>
      <w:r>
        <w:t xml:space="preserve">Engineering data lifecycle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5" w:name="X751239069c2548eb3e3a4757fc55ead3eb93493"/>
    <w:p>
      <w:pPr>
        <w:pStyle w:val="Heading1"/>
      </w:pPr>
      <w:r>
        <w:t xml:space="preserve">Phase G — Reinforcement Intelligence &amp; Steel Estimation</w:t>
      </w:r>
    </w:p>
    <w:p>
      <w:pPr>
        <w:pStyle w:val="FirstParagraph"/>
      </w:pPr>
      <w:r>
        <w:t xml:space="preserve">Phase G represents the transition from the deterministic engineering foundation to the complete reinforcement intelligence and estimation system.</w:t>
      </w:r>
    </w:p>
    <w:p>
      <w:r>
        <w:pict>
          <v:rect style="width:0;height:1.5pt" o:hralign="center" o:hrstd="t" o:hr="t"/>
        </w:pict>
      </w:r>
    </w:p>
    <w:bookmarkStart w:id="30" w:name="g.1-drawing-architecture"/>
    <w:p>
      <w:pPr>
        <w:pStyle w:val="Heading2"/>
      </w:pPr>
      <w:r>
        <w:t xml:space="preserve">G.1 — Drawing Architecture</w:t>
      </w:r>
    </w:p>
    <w:bookmarkStart w:id="29" w:name="capabilities-6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3"/>
        </w:numPr>
      </w:pPr>
      <w:r>
        <w:t xml:space="preserve">Reinforcement loading</w:t>
      </w:r>
    </w:p>
    <w:p>
      <w:pPr>
        <w:pStyle w:val="Compact"/>
        <w:numPr>
          <w:ilvl w:val="0"/>
          <w:numId w:val="1013"/>
        </w:numPr>
      </w:pPr>
      <w:r>
        <w:t xml:space="preserve">Drawing identity</w:t>
      </w:r>
    </w:p>
    <w:p>
      <w:pPr>
        <w:pStyle w:val="Compact"/>
        <w:numPr>
          <w:ilvl w:val="0"/>
          <w:numId w:val="1013"/>
        </w:numPr>
      </w:pPr>
      <w:r>
        <w:t xml:space="preserve">Drawing sets</w:t>
      </w:r>
    </w:p>
    <w:p>
      <w:pPr>
        <w:pStyle w:val="Compact"/>
        <w:numPr>
          <w:ilvl w:val="0"/>
          <w:numId w:val="1013"/>
        </w:numPr>
      </w:pPr>
      <w:r>
        <w:t xml:space="preserve">Drawing set lifecycle</w:t>
      </w:r>
    </w:p>
    <w:p>
      <w:pPr>
        <w:pStyle w:val="Compact"/>
        <w:numPr>
          <w:ilvl w:val="0"/>
          <w:numId w:val="1013"/>
        </w:numPr>
      </w:pPr>
      <w:r>
        <w:t xml:space="preserve">Beam index</w:t>
      </w:r>
    </w:p>
    <w:p>
      <w:pPr>
        <w:pStyle w:val="Compact"/>
        <w:numPr>
          <w:ilvl w:val="0"/>
          <w:numId w:val="1013"/>
        </w:numPr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g.2-reinforcement-geometry-intelligence"/>
    <w:p>
      <w:pPr>
        <w:pStyle w:val="Heading2"/>
      </w:pPr>
      <w:r>
        <w:t xml:space="preserve">G.2 — Reinforcement Geometry Intelligence</w:t>
      </w:r>
    </w:p>
    <w:bookmarkStart w:id="31" w:name="capabilities-7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4"/>
        </w:numPr>
      </w:pPr>
      <w:r>
        <w:t xml:space="preserve">Reinforcement geometry model</w:t>
      </w:r>
    </w:p>
    <w:p>
      <w:pPr>
        <w:pStyle w:val="Compact"/>
        <w:numPr>
          <w:ilvl w:val="0"/>
          <w:numId w:val="1014"/>
        </w:numPr>
      </w:pPr>
      <w:r>
        <w:t xml:space="preserve">Engineering regions</w:t>
      </w:r>
    </w:p>
    <w:p>
      <w:pPr>
        <w:pStyle w:val="Compact"/>
        <w:numPr>
          <w:ilvl w:val="0"/>
          <w:numId w:val="1014"/>
        </w:numPr>
      </w:pPr>
      <w:r>
        <w:t xml:space="preserve">Sketches</w:t>
      </w:r>
    </w:p>
    <w:p>
      <w:pPr>
        <w:pStyle w:val="Compact"/>
        <w:numPr>
          <w:ilvl w:val="0"/>
          <w:numId w:val="1014"/>
        </w:numPr>
      </w:pPr>
      <w:r>
        <w:t xml:space="preserve">Text</w:t>
      </w:r>
    </w:p>
    <w:p>
      <w:pPr>
        <w:pStyle w:val="Compact"/>
        <w:numPr>
          <w:ilvl w:val="0"/>
          <w:numId w:val="1014"/>
        </w:numPr>
      </w:pPr>
      <w:r>
        <w:t xml:space="preserve">Leaders</w:t>
      </w:r>
    </w:p>
    <w:p>
      <w:pPr>
        <w:pStyle w:val="Compact"/>
        <w:numPr>
          <w:ilvl w:val="0"/>
          <w:numId w:val="1014"/>
        </w:numPr>
      </w:pPr>
      <w:r>
        <w:t xml:space="preserve">Blocks</w:t>
      </w:r>
    </w:p>
    <w:p>
      <w:pPr>
        <w:pStyle w:val="Compact"/>
        <w:numPr>
          <w:ilvl w:val="0"/>
          <w:numId w:val="1014"/>
        </w:numPr>
      </w:pPr>
      <w:r>
        <w:t xml:space="preserve">Geometry relationships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.2.1-engineering-detail-regions"/>
    <w:p>
      <w:pPr>
        <w:pStyle w:val="Heading2"/>
      </w:pPr>
      <w:r>
        <w:t xml:space="preserve">G.2.1 — Engineering Detail Regions</w:t>
      </w:r>
    </w:p>
    <w:bookmarkStart w:id="33" w:name="capabilities-8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5"/>
        </w:numPr>
      </w:pPr>
      <w:r>
        <w:t xml:space="preserve">Engineering region detection</w:t>
      </w:r>
    </w:p>
    <w:p>
      <w:pPr>
        <w:pStyle w:val="Compact"/>
        <w:numPr>
          <w:ilvl w:val="0"/>
          <w:numId w:val="1015"/>
        </w:numPr>
      </w:pPr>
      <w:r>
        <w:t xml:space="preserve">Continuous detail detection</w:t>
      </w:r>
    </w:p>
    <w:p>
      <w:pPr>
        <w:pStyle w:val="Compact"/>
        <w:numPr>
          <w:ilvl w:val="0"/>
          <w:numId w:val="1015"/>
        </w:numPr>
      </w:pPr>
      <w:r>
        <w:t xml:space="preserve">Geometry-growth algorithm</w:t>
      </w:r>
    </w:p>
    <w:p>
      <w:pPr>
        <w:pStyle w:val="FirstParagraph"/>
      </w:pPr>
      <w:r>
        <w:t xml:space="preserve">The purpose is to establish meaningful engineering detail regions before semantic interpretation.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g.2.2-multi-view-recognition"/>
    <w:p>
      <w:pPr>
        <w:pStyle w:val="Heading2"/>
      </w:pPr>
      <w:r>
        <w:t xml:space="preserve">G.2.2 — Multi-View Recognition</w:t>
      </w:r>
    </w:p>
    <w:bookmarkStart w:id="35" w:name="supported-detail-types"/>
    <w:p>
      <w:pPr>
        <w:pStyle w:val="Heading3"/>
      </w:pPr>
      <w:r>
        <w:t xml:space="preserve">Supported Detail Types</w:t>
      </w:r>
    </w:p>
    <w:p>
      <w:pPr>
        <w:pStyle w:val="Compact"/>
        <w:numPr>
          <w:ilvl w:val="0"/>
          <w:numId w:val="1016"/>
        </w:numPr>
      </w:pPr>
      <w:r>
        <w:t xml:space="preserve">SINGLE_BEAM</w:t>
      </w:r>
    </w:p>
    <w:p>
      <w:pPr>
        <w:pStyle w:val="Compact"/>
        <w:numPr>
          <w:ilvl w:val="0"/>
          <w:numId w:val="1016"/>
        </w:numPr>
      </w:pPr>
      <w:r>
        <w:t xml:space="preserve">MULTI_VIEW_SINGLE_BEAM</w:t>
      </w:r>
    </w:p>
    <w:p>
      <w:pPr>
        <w:pStyle w:val="Compact"/>
        <w:numPr>
          <w:ilvl w:val="0"/>
          <w:numId w:val="1016"/>
        </w:numPr>
      </w:pPr>
      <w:r>
        <w:t xml:space="preserve">CONTINUOUS_MULTI_SPAN</w:t>
      </w:r>
    </w:p>
    <w:p>
      <w:pPr>
        <w:pStyle w:val="FirstParagraph"/>
      </w:pPr>
      <w:r>
        <w:t xml:space="preserve">This establishes the engineering detail views used by subsequent interpretation stages.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g.2.3-engineering-detail-context"/>
    <w:p>
      <w:pPr>
        <w:pStyle w:val="Heading2"/>
      </w:pPr>
      <w:r>
        <w:t xml:space="preserve">G.2.3 — Engineering Detail Context</w:t>
      </w:r>
    </w:p>
    <w:bookmarkStart w:id="37" w:name="capabilities-9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7"/>
        </w:numPr>
      </w:pPr>
      <w:r>
        <w:t xml:space="preserve">Detail Context layer</w:t>
      </w:r>
    </w:p>
    <w:p>
      <w:pPr>
        <w:pStyle w:val="Compact"/>
        <w:numPr>
          <w:ilvl w:val="0"/>
          <w:numId w:val="1017"/>
        </w:numPr>
      </w:pPr>
      <w:r>
        <w:t xml:space="preserve">Region → Context → View hierarchy</w:t>
      </w:r>
    </w:p>
    <w:p>
      <w:pPr>
        <w:pStyle w:val="Compact"/>
        <w:numPr>
          <w:ilvl w:val="0"/>
          <w:numId w:val="1017"/>
        </w:numPr>
      </w:pPr>
      <w:r>
        <w:t xml:space="preserve">Engineering grouping</w:t>
      </w:r>
    </w:p>
    <w:p>
      <w:pPr>
        <w:pStyle w:val="FirstParagraph"/>
      </w:pPr>
      <w:r>
        <w:t xml:space="preserve">This provides the context required for both deterministic processing and Vision interpretation.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2fb948541608cdfaa94e11dbef7b778c0880ca3"/>
    <w:p>
      <w:pPr>
        <w:pStyle w:val="Heading2"/>
      </w:pPr>
      <w:r>
        <w:t xml:space="preserve">G.2.4 — Engineering Detail Identity &amp; Fingerprints</w:t>
      </w:r>
    </w:p>
    <w:bookmarkStart w:id="39" w:name="capabilities-10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8"/>
        </w:numPr>
      </w:pPr>
      <w:r>
        <w:t xml:space="preserve">Detail identities</w:t>
      </w:r>
    </w:p>
    <w:p>
      <w:pPr>
        <w:pStyle w:val="Compact"/>
        <w:numPr>
          <w:ilvl w:val="0"/>
          <w:numId w:val="1018"/>
        </w:numPr>
      </w:pPr>
      <w:r>
        <w:t xml:space="preserve">Stable engineering IDs</w:t>
      </w:r>
    </w:p>
    <w:p>
      <w:pPr>
        <w:pStyle w:val="Compact"/>
        <w:numPr>
          <w:ilvl w:val="0"/>
          <w:numId w:val="1018"/>
        </w:numPr>
      </w:pPr>
      <w:r>
        <w:t xml:space="preserve">Deterministic fingerprints</w:t>
      </w:r>
    </w:p>
    <w:p>
      <w:pPr>
        <w:pStyle w:val="Compact"/>
        <w:numPr>
          <w:ilvl w:val="0"/>
          <w:numId w:val="1018"/>
        </w:numPr>
      </w:pPr>
      <w:r>
        <w:t xml:space="preserve">Change detection foundation</w:t>
      </w:r>
    </w:p>
    <w:p>
      <w:pPr>
        <w:pStyle w:val="FirstParagraph"/>
      </w:pPr>
      <w:r>
        <w:t xml:space="preserve">These provide stable references to engineering details across processing and drawing versions.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g.2.5-beam-match-candidate-engine"/>
    <w:p>
      <w:pPr>
        <w:pStyle w:val="Heading2"/>
      </w:pPr>
      <w:r>
        <w:t xml:space="preserve">G.2.5 — Beam Match Candidate Engine</w:t>
      </w:r>
    </w:p>
    <w:bookmarkStart w:id="41" w:name="capabilities-11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9"/>
        </w:numPr>
      </w:pPr>
      <w:r>
        <w:t xml:space="preserve">Candidate generation</w:t>
      </w:r>
    </w:p>
    <w:p>
      <w:pPr>
        <w:pStyle w:val="Compact"/>
        <w:numPr>
          <w:ilvl w:val="0"/>
          <w:numId w:val="1019"/>
        </w:numPr>
      </w:pPr>
      <w:r>
        <w:t xml:space="preserve">Candidate ranking</w:t>
      </w:r>
    </w:p>
    <w:p>
      <w:pPr>
        <w:pStyle w:val="Compact"/>
        <w:numPr>
          <w:ilvl w:val="0"/>
          <w:numId w:val="1019"/>
        </w:numPr>
      </w:pPr>
      <w:r>
        <w:t xml:space="preserve">Confidence scoring</w:t>
      </w:r>
    </w:p>
    <w:p>
      <w:pPr>
        <w:pStyle w:val="Compact"/>
        <w:numPr>
          <w:ilvl w:val="0"/>
          <w:numId w:val="1019"/>
        </w:numPr>
      </w:pPr>
      <w:r>
        <w:t xml:space="preserve">Candidate registry</w:t>
      </w:r>
    </w:p>
    <w:p>
      <w:pPr>
        <w:pStyle w:val="FirstParagraph"/>
      </w:pPr>
      <w:r>
        <w:t xml:space="preserve">The engine generates possible relationships between drawing details and beam identities.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g.2.6-match-decision-layer"/>
    <w:p>
      <w:pPr>
        <w:pStyle w:val="Heading2"/>
      </w:pPr>
      <w:r>
        <w:t xml:space="preserve">G.2.6 — Match Decision Layer</w:t>
      </w:r>
    </w:p>
    <w:bookmarkStart w:id="43" w:name="capabilities-12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20"/>
        </w:numPr>
      </w:pPr>
      <w:r>
        <w:t xml:space="preserve">Match decisions</w:t>
      </w:r>
    </w:p>
    <w:p>
      <w:pPr>
        <w:pStyle w:val="Compact"/>
        <w:numPr>
          <w:ilvl w:val="0"/>
          <w:numId w:val="1020"/>
        </w:numPr>
      </w:pPr>
      <w:r>
        <w:t xml:space="preserve">Decision status</w:t>
      </w:r>
    </w:p>
    <w:p>
      <w:pPr>
        <w:pStyle w:val="Compact"/>
        <w:numPr>
          <w:ilvl w:val="0"/>
          <w:numId w:val="1020"/>
        </w:numPr>
      </w:pPr>
      <w:r>
        <w:t xml:space="preserve">Decision reasons</w:t>
      </w:r>
    </w:p>
    <w:p>
      <w:pPr>
        <w:pStyle w:val="Compact"/>
        <w:numPr>
          <w:ilvl w:val="0"/>
          <w:numId w:val="1020"/>
        </w:numPr>
      </w:pPr>
      <w:r>
        <w:t xml:space="preserve">Manual review flags</w:t>
      </w:r>
    </w:p>
    <w:p>
      <w:pPr>
        <w:pStyle w:val="Compact"/>
        <w:numPr>
          <w:ilvl w:val="0"/>
          <w:numId w:val="1020"/>
        </w:numPr>
      </w:pPr>
      <w:r>
        <w:t xml:space="preserve">Recommendation layer</w:t>
      </w:r>
    </w:p>
    <w:p>
      <w:pPr>
        <w:pStyle w:val="FirstParagraph"/>
      </w:pPr>
      <w:r>
        <w:t xml:space="preserve">This separates candidate generation from the final engineering relationship decision.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7" w:name="g.3-beam-matching-engine"/>
    <w:p>
      <w:pPr>
        <w:pStyle w:val="Heading1"/>
      </w:pPr>
      <w:r>
        <w:t xml:space="preserve">G.3 — Beam Matching Engine</w:t>
      </w:r>
    </w:p>
    <w:p>
      <w:pPr>
        <w:pStyle w:val="FirstParagraph"/>
      </w:pPr>
      <w:r>
        <w:t xml:space="preserve">The Beam Matching Engine commits validated candidate relationships.</w:t>
      </w:r>
    </w:p>
    <w:bookmarkStart w:id="46" w:name="capabilities-13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21"/>
        </w:numPr>
      </w:pPr>
      <w:r>
        <w:t xml:space="preserve">Commit candidate → beam matches</w:t>
      </w:r>
    </w:p>
    <w:p>
      <w:pPr>
        <w:pStyle w:val="Compact"/>
        <w:numPr>
          <w:ilvl w:val="0"/>
          <w:numId w:val="1021"/>
        </w:numPr>
      </w:pPr>
      <w:r>
        <w:t xml:space="preserve">Validate engineering decisions</w:t>
      </w:r>
    </w:p>
    <w:p>
      <w:pPr>
        <w:pStyle w:val="Compact"/>
        <w:numPr>
          <w:ilvl w:val="0"/>
          <w:numId w:val="1021"/>
        </w:numPr>
      </w:pPr>
      <w:r>
        <w:t xml:space="preserve">Create reinforcement ↔ beam relationships</w:t>
      </w:r>
    </w:p>
    <w:p>
      <w:pPr>
        <w:pStyle w:val="Compact"/>
        <w:numPr>
          <w:ilvl w:val="0"/>
          <w:numId w:val="1021"/>
        </w:numPr>
      </w:pPr>
      <w:r>
        <w:t xml:space="preserve">Populate reinforcement context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g.4-reinforcement-ownership-resolution"/>
    <w:p>
      <w:pPr>
        <w:pStyle w:val="Heading1"/>
      </w:pPr>
      <w:r>
        <w:t xml:space="preserve">G.4 — Reinforcement Ownership Resolution</w:t>
      </w:r>
    </w:p>
    <w:p>
      <w:pPr>
        <w:pStyle w:val="FirstParagraph"/>
      </w:pPr>
      <w:r>
        <w:t xml:space="preserve">Ownership resolution determines which engineering object each reinforcement annotation or graphical element belongs to.</w:t>
      </w:r>
    </w:p>
    <w:bookmarkStart w:id="48" w:name="capabilities-14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22"/>
        </w:numPr>
      </w:pPr>
      <w:r>
        <w:t xml:space="preserve">Text ownership</w:t>
      </w:r>
    </w:p>
    <w:p>
      <w:pPr>
        <w:pStyle w:val="Compact"/>
        <w:numPr>
          <w:ilvl w:val="0"/>
          <w:numId w:val="1022"/>
        </w:numPr>
      </w:pPr>
      <w:r>
        <w:t xml:space="preserve">Leader ownership</w:t>
      </w:r>
    </w:p>
    <w:p>
      <w:pPr>
        <w:pStyle w:val="Compact"/>
        <w:numPr>
          <w:ilvl w:val="0"/>
          <w:numId w:val="1022"/>
        </w:numPr>
      </w:pPr>
      <w:r>
        <w:t xml:space="preserve">Bar ownership</w:t>
      </w:r>
    </w:p>
    <w:p>
      <w:pPr>
        <w:pStyle w:val="Compact"/>
        <w:numPr>
          <w:ilvl w:val="0"/>
          <w:numId w:val="1022"/>
        </w:numPr>
      </w:pPr>
      <w:r>
        <w:t xml:space="preserve">Stirrup ownership</w:t>
      </w:r>
    </w:p>
    <w:p>
      <w:pPr>
        <w:pStyle w:val="Compact"/>
        <w:numPr>
          <w:ilvl w:val="0"/>
          <w:numId w:val="1022"/>
        </w:numPr>
      </w:pPr>
      <w:r>
        <w:t xml:space="preserve">Shared ownership</w:t>
      </w:r>
    </w:p>
    <w:p>
      <w:pPr>
        <w:pStyle w:val="Compact"/>
        <w:numPr>
          <w:ilvl w:val="0"/>
          <w:numId w:val="1022"/>
        </w:numPr>
      </w:pPr>
      <w:r>
        <w:t xml:space="preserve">Multi-beam ownership</w:t>
      </w:r>
    </w:p>
    <w:p>
      <w:pPr>
        <w:pStyle w:val="Compact"/>
        <w:numPr>
          <w:ilvl w:val="0"/>
          <w:numId w:val="1022"/>
        </w:numPr>
      </w:pPr>
      <w:r>
        <w:t xml:space="preserve">Ownership graph</w:t>
      </w:r>
    </w:p>
    <w:p>
      <w:pPr>
        <w:pStyle w:val="FirstParagraph"/>
      </w:pPr>
      <w:r>
        <w:t xml:space="preserve">This establishes reliable relationships between reinforcement information and engineering beam objects.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1ac7f5e44007804733153a600bc4915e770dcc9"/>
    <w:p>
      <w:pPr>
        <w:pStyle w:val="Heading1"/>
      </w:pPr>
      <w:r>
        <w:t xml:space="preserve">G.5 — Hybrid Reinforcement Engineering Parsing</w:t>
      </w:r>
    </w:p>
    <w:p>
      <w:pPr>
        <w:pStyle w:val="FirstParagraph"/>
      </w:pPr>
      <w:r>
        <w:t xml:space="preserve">This stage combines deterministic drawing facts with AI Vision-based semantic interpretation.</w:t>
      </w:r>
    </w:p>
    <w:bookmarkStart w:id="50" w:name="deterministic-inputs"/>
    <w:p>
      <w:pPr>
        <w:pStyle w:val="Heading2"/>
      </w:pPr>
      <w:r>
        <w:t xml:space="preserve">Deterministic Inputs</w:t>
      </w:r>
    </w:p>
    <w:p>
      <w:pPr>
        <w:pStyle w:val="Compact"/>
        <w:numPr>
          <w:ilvl w:val="0"/>
          <w:numId w:val="1023"/>
        </w:numPr>
      </w:pPr>
      <w:r>
        <w:t xml:space="preserve">CAD geometry</w:t>
      </w:r>
    </w:p>
    <w:p>
      <w:pPr>
        <w:pStyle w:val="Compact"/>
        <w:numPr>
          <w:ilvl w:val="0"/>
          <w:numId w:val="1023"/>
        </w:numPr>
      </w:pPr>
      <w:r>
        <w:t xml:space="preserve">Drawing context</w:t>
      </w:r>
    </w:p>
    <w:p>
      <w:pPr>
        <w:pStyle w:val="Compact"/>
        <w:numPr>
          <w:ilvl w:val="0"/>
          <w:numId w:val="1023"/>
        </w:numPr>
      </w:pPr>
      <w:r>
        <w:t xml:space="preserve">Beam identity</w:t>
      </w:r>
    </w:p>
    <w:p>
      <w:pPr>
        <w:pStyle w:val="Compact"/>
        <w:numPr>
          <w:ilvl w:val="0"/>
          <w:numId w:val="1023"/>
        </w:numPr>
      </w:pPr>
      <w:r>
        <w:t xml:space="preserve">Engineering coordinates</w:t>
      </w:r>
    </w:p>
    <w:p>
      <w:pPr>
        <w:pStyle w:val="Compact"/>
        <w:numPr>
          <w:ilvl w:val="0"/>
          <w:numId w:val="1023"/>
        </w:numPr>
      </w:pPr>
      <w:r>
        <w:t xml:space="preserve">Existing reinforcement geometry</w:t>
      </w:r>
    </w:p>
    <w:p>
      <w:pPr>
        <w:pStyle w:val="Compact"/>
        <w:numPr>
          <w:ilvl w:val="0"/>
          <w:numId w:val="1023"/>
        </w:numPr>
      </w:pPr>
      <w:r>
        <w:t xml:space="preserve">Engineering knowledge</w:t>
      </w:r>
    </w:p>
    <w:p>
      <w:pPr>
        <w:pStyle w:val="Compact"/>
        <w:numPr>
          <w:ilvl w:val="0"/>
          <w:numId w:val="1023"/>
        </w:numPr>
      </w:pPr>
      <w:r>
        <w:t xml:space="preserve">Project rules</w:t>
      </w:r>
    </w:p>
    <w:bookmarkEnd w:id="50"/>
    <w:bookmarkStart w:id="53" w:name="vision-interpretation"/>
    <w:p>
      <w:pPr>
        <w:pStyle w:val="Heading2"/>
      </w:pPr>
      <w:r>
        <w:t xml:space="preserve">Vision Interpretation</w:t>
      </w:r>
    </w:p>
    <w:p>
      <w:pPr>
        <w:pStyle w:val="FirstParagraph"/>
      </w:pPr>
      <w:r>
        <w:t xml:space="preserve">Claude Vision is used to interpret reinforcement information that benefits from visual/contextual understanding.</w:t>
      </w:r>
    </w:p>
    <w:bookmarkStart w:id="51" w:name="vision-preferred-information-includes"/>
    <w:p>
      <w:pPr>
        <w:pStyle w:val="Heading3"/>
      </w:pPr>
      <w:r>
        <w:t xml:space="preserve">Vision-preferred information includes:</w:t>
      </w:r>
    </w:p>
    <w:p>
      <w:pPr>
        <w:pStyle w:val="Compact"/>
        <w:numPr>
          <w:ilvl w:val="0"/>
          <w:numId w:val="1024"/>
        </w:numPr>
      </w:pPr>
      <w:r>
        <w:t xml:space="preserve">Reinforcement target</w:t>
      </w:r>
    </w:p>
    <w:p>
      <w:pPr>
        <w:pStyle w:val="Compact"/>
        <w:numPr>
          <w:ilvl w:val="0"/>
          <w:numId w:val="1024"/>
        </w:numPr>
      </w:pPr>
      <w:r>
        <w:t xml:space="preserve">Physical reinforcement groups</w:t>
      </w:r>
    </w:p>
    <w:p>
      <w:pPr>
        <w:pStyle w:val="Compact"/>
        <w:numPr>
          <w:ilvl w:val="0"/>
          <w:numId w:val="1024"/>
        </w:numPr>
      </w:pPr>
      <w:r>
        <w:t xml:space="preserve">Bar count</w:t>
      </w:r>
    </w:p>
    <w:p>
      <w:pPr>
        <w:pStyle w:val="Compact"/>
        <w:numPr>
          <w:ilvl w:val="0"/>
          <w:numId w:val="1024"/>
        </w:numPr>
      </w:pPr>
      <w:r>
        <w:t xml:space="preserve">Diameter</w:t>
      </w:r>
    </w:p>
    <w:p>
      <w:pPr>
        <w:pStyle w:val="Compact"/>
        <w:numPr>
          <w:ilvl w:val="0"/>
          <w:numId w:val="1024"/>
        </w:numPr>
      </w:pPr>
      <w:r>
        <w:t xml:space="preserve">Reinforcement specification</w:t>
      </w:r>
    </w:p>
    <w:p>
      <w:pPr>
        <w:pStyle w:val="Compact"/>
        <w:numPr>
          <w:ilvl w:val="0"/>
          <w:numId w:val="1024"/>
        </w:numPr>
      </w:pPr>
      <w:r>
        <w:t xml:space="preserve">MAIN / EXTRA classification</w:t>
      </w:r>
    </w:p>
    <w:p>
      <w:pPr>
        <w:pStyle w:val="Compact"/>
        <w:numPr>
          <w:ilvl w:val="0"/>
          <w:numId w:val="1024"/>
        </w:numPr>
      </w:pPr>
      <w:r>
        <w:t xml:space="preserve">Support scope</w:t>
      </w:r>
    </w:p>
    <w:p>
      <w:pPr>
        <w:pStyle w:val="Compact"/>
        <w:numPr>
          <w:ilvl w:val="0"/>
          <w:numId w:val="1024"/>
        </w:numPr>
      </w:pPr>
      <w:r>
        <w:t xml:space="preserve">Visual stirrup identification</w:t>
      </w:r>
    </w:p>
    <w:p>
      <w:pPr>
        <w:pStyle w:val="Compact"/>
        <w:numPr>
          <w:ilvl w:val="0"/>
          <w:numId w:val="1024"/>
        </w:numPr>
      </w:pPr>
      <w:r>
        <w:t xml:space="preserve">Semantic relationships within the detail</w:t>
      </w:r>
    </w:p>
    <w:bookmarkEnd w:id="51"/>
    <w:bookmarkStart w:id="52" w:name="reinforcement-engineering-model"/>
    <w:p>
      <w:pPr>
        <w:pStyle w:val="Heading3"/>
      </w:pPr>
      <w:r>
        <w:t xml:space="preserve">Reinforcement Engineering Model</w:t>
      </w:r>
    </w:p>
    <w:p>
      <w:pPr>
        <w:pStyle w:val="FirstParagraph"/>
      </w:pPr>
      <w:r>
        <w:t xml:space="preserve">The resolved information is represented through engineering objects covering:</w:t>
      </w:r>
    </w:p>
    <w:p>
      <w:pPr>
        <w:pStyle w:val="Compact"/>
        <w:numPr>
          <w:ilvl w:val="0"/>
          <w:numId w:val="1025"/>
        </w:numPr>
      </w:pPr>
      <w:r>
        <w:t xml:space="preserve">Longitudinal bars</w:t>
      </w:r>
    </w:p>
    <w:p>
      <w:pPr>
        <w:pStyle w:val="Compact"/>
        <w:numPr>
          <w:ilvl w:val="0"/>
          <w:numId w:val="1025"/>
        </w:numPr>
      </w:pPr>
      <w:r>
        <w:t xml:space="preserve">Stirrups</w:t>
      </w:r>
    </w:p>
    <w:p>
      <w:pPr>
        <w:pStyle w:val="Compact"/>
        <w:numPr>
          <w:ilvl w:val="0"/>
          <w:numId w:val="1025"/>
        </w:numPr>
      </w:pPr>
      <w:r>
        <w:t xml:space="preserve">Side-face reinforcement</w:t>
      </w:r>
    </w:p>
    <w:p>
      <w:pPr>
        <w:pStyle w:val="Compact"/>
        <w:numPr>
          <w:ilvl w:val="0"/>
          <w:numId w:val="1025"/>
        </w:numPr>
      </w:pPr>
      <w:r>
        <w:t xml:space="preserve">Development Length</w:t>
      </w:r>
    </w:p>
    <w:p>
      <w:pPr>
        <w:pStyle w:val="Compact"/>
        <w:numPr>
          <w:ilvl w:val="0"/>
          <w:numId w:val="1025"/>
        </w:numPr>
      </w:pPr>
      <w:r>
        <w:t xml:space="preserve">Lap bars</w:t>
      </w:r>
    </w:p>
    <w:p>
      <w:pPr>
        <w:pStyle w:val="Compact"/>
        <w:numPr>
          <w:ilvl w:val="0"/>
          <w:numId w:val="1025"/>
        </w:numPr>
      </w:pPr>
      <w:r>
        <w:t xml:space="preserve">Hooks</w:t>
      </w:r>
    </w:p>
    <w:p>
      <w:pPr>
        <w:pStyle w:val="Compact"/>
        <w:numPr>
          <w:ilvl w:val="0"/>
          <w:numId w:val="1025"/>
        </w:numPr>
      </w:pPr>
      <w:r>
        <w:t xml:space="preserve">Curtailment</w:t>
      </w:r>
    </w:p>
    <w:p>
      <w:pPr>
        <w:pStyle w:val="Compact"/>
        <w:numPr>
          <w:ilvl w:val="0"/>
          <w:numId w:val="1025"/>
        </w:numPr>
      </w:pPr>
      <w:r>
        <w:t xml:space="preserve">Bar positioning</w:t>
      </w:r>
    </w:p>
    <w:p>
      <w:pPr>
        <w:pStyle w:val="Compact"/>
        <w:numPr>
          <w:ilvl w:val="0"/>
          <w:numId w:val="1025"/>
        </w:numPr>
      </w:pPr>
      <w:r>
        <w:t xml:space="preserve">Station-based reinforcement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X912a9651d61c817762dd4f152c1e2e93bc7012a"/>
    <w:p>
      <w:pPr>
        <w:pStyle w:val="Heading1"/>
      </w:pPr>
      <w:r>
        <w:t xml:space="preserve">G.6 — Deterministic Steel Quantity Computation</w:t>
      </w:r>
    </w:p>
    <w:p>
      <w:pPr>
        <w:pStyle w:val="FirstParagraph"/>
      </w:pPr>
      <w:r>
        <w:t xml:space="preserve">Once reinforcement has been semantically resolved, the deterministic engineering engine performs the actual engineering and quantity computation.</w:t>
      </w:r>
    </w:p>
    <w:bookmarkStart w:id="55" w:name="capabilities-15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26"/>
        </w:numPr>
      </w:pPr>
      <w:r>
        <w:t xml:space="preserve">Development Length lookup</w:t>
      </w:r>
    </w:p>
    <w:p>
      <w:pPr>
        <w:pStyle w:val="Compact"/>
        <w:numPr>
          <w:ilvl w:val="0"/>
          <w:numId w:val="1026"/>
        </w:numPr>
      </w:pPr>
      <w:r>
        <w:t xml:space="preserve">Cover application</w:t>
      </w:r>
    </w:p>
    <w:p>
      <w:pPr>
        <w:pStyle w:val="Compact"/>
        <w:numPr>
          <w:ilvl w:val="0"/>
          <w:numId w:val="1026"/>
        </w:numPr>
      </w:pPr>
      <w:r>
        <w:t xml:space="preserve">Bar length computation</w:t>
      </w:r>
    </w:p>
    <w:p>
      <w:pPr>
        <w:pStyle w:val="Compact"/>
        <w:numPr>
          <w:ilvl w:val="0"/>
          <w:numId w:val="1026"/>
        </w:numPr>
      </w:pPr>
      <w:r>
        <w:t xml:space="preserve">Hook/bend calculations</w:t>
      </w:r>
    </w:p>
    <w:p>
      <w:pPr>
        <w:pStyle w:val="Compact"/>
        <w:numPr>
          <w:ilvl w:val="0"/>
          <w:numId w:val="1026"/>
        </w:numPr>
      </w:pPr>
      <w:r>
        <w:t xml:space="preserve">Cutting lengths</w:t>
      </w:r>
    </w:p>
    <w:p>
      <w:pPr>
        <w:pStyle w:val="Compact"/>
        <w:numPr>
          <w:ilvl w:val="0"/>
          <w:numId w:val="1026"/>
        </w:numPr>
      </w:pPr>
      <w:r>
        <w:t xml:space="preserve">Stirrup quantity calculation</w:t>
      </w:r>
    </w:p>
    <w:p>
      <w:pPr>
        <w:pStyle w:val="Compact"/>
        <w:numPr>
          <w:ilvl w:val="0"/>
          <w:numId w:val="1026"/>
        </w:numPr>
      </w:pPr>
      <w:r>
        <w:t xml:space="preserve">Unit weights</w:t>
      </w:r>
    </w:p>
    <w:p>
      <w:pPr>
        <w:pStyle w:val="Compact"/>
        <w:numPr>
          <w:ilvl w:val="0"/>
          <w:numId w:val="1026"/>
        </w:numPr>
      </w:pPr>
      <w:r>
        <w:t xml:space="preserve">Steel quantities</w:t>
      </w:r>
    </w:p>
    <w:p>
      <w:pPr>
        <w:pStyle w:val="Compact"/>
        <w:numPr>
          <w:ilvl w:val="0"/>
          <w:numId w:val="1026"/>
        </w:numPr>
      </w:pPr>
      <w:r>
        <w:t xml:space="preserve">Engineering validation</w:t>
      </w:r>
    </w:p>
    <w:p>
      <w:pPr>
        <w:pStyle w:val="FirstParagraph"/>
      </w:pPr>
      <w:r>
        <w:t xml:space="preserve">The AI model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become the final authority for these calculations.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g.7-beam-excel-export"/>
    <w:p>
      <w:pPr>
        <w:pStyle w:val="Heading1"/>
      </w:pPr>
      <w:r>
        <w:t xml:space="preserve">G.7 — Beam Excel Export</w:t>
      </w:r>
    </w:p>
    <w:p>
      <w:pPr>
        <w:pStyle w:val="FirstParagraph"/>
      </w:pPr>
      <w:r>
        <w:t xml:space="preserve">The final engineering objects and quantities are converted into estimator-ready output.</w:t>
      </w:r>
    </w:p>
    <w:bookmarkStart w:id="57" w:name="capabilities-16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27"/>
        </w:numPr>
      </w:pPr>
      <w:r>
        <w:t xml:space="preserve">Beam-wise BOQ</w:t>
      </w:r>
    </w:p>
    <w:p>
      <w:pPr>
        <w:pStyle w:val="Compact"/>
        <w:numPr>
          <w:ilvl w:val="0"/>
          <w:numId w:val="1027"/>
        </w:numPr>
      </w:pPr>
      <w:r>
        <w:t xml:space="preserve">Floor-wise BOQ</w:t>
      </w:r>
    </w:p>
    <w:p>
      <w:pPr>
        <w:pStyle w:val="Compact"/>
        <w:numPr>
          <w:ilvl w:val="0"/>
          <w:numId w:val="1027"/>
        </w:numPr>
      </w:pPr>
      <w:r>
        <w:t xml:space="preserve">Project summaries</w:t>
      </w:r>
    </w:p>
    <w:p>
      <w:pPr>
        <w:pStyle w:val="Compact"/>
        <w:numPr>
          <w:ilvl w:val="0"/>
          <w:numId w:val="1027"/>
        </w:numPr>
      </w:pPr>
      <w:r>
        <w:t xml:space="preserve">Estimator-format Excel</w:t>
      </w:r>
    </w:p>
    <w:p>
      <w:pPr>
        <w:pStyle w:val="Compact"/>
        <w:numPr>
          <w:ilvl w:val="0"/>
          <w:numId w:val="1027"/>
        </w:numPr>
      </w:pPr>
      <w:r>
        <w:t xml:space="preserve">Quantity validation</w:t>
      </w:r>
    </w:p>
    <w:p>
      <w:pPr>
        <w:pStyle w:val="Compact"/>
        <w:numPr>
          <w:ilvl w:val="0"/>
          <w:numId w:val="1027"/>
        </w:numPr>
      </w:pPr>
      <w:r>
        <w:t xml:space="preserve">Audit trail</w:t>
      </w:r>
    </w:p>
    <w:p>
      <w:pPr>
        <w:pStyle w:val="Compact"/>
        <w:numPr>
          <w:ilvl w:val="0"/>
          <w:numId w:val="1027"/>
        </w:numPr>
      </w:pPr>
      <w:r>
        <w:t xml:space="preserve">Final engineering report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urrent-hybrid-processing-flow"/>
    <w:p>
      <w:pPr>
        <w:pStyle w:val="Heading1"/>
      </w:pPr>
      <w:r>
        <w:t xml:space="preserve">Current Hybrid Processing Flow</w:t>
      </w:r>
    </w:p>
    <w:p>
      <w:pPr>
        <w:pStyle w:val="FirstParagraph"/>
      </w:pPr>
      <w:r>
        <w:t xml:space="preserve">The current production architecture can be summarized as:</w:t>
      </w:r>
    </w:p>
    <w:p>
      <w:pPr>
        <w:pStyle w:val="SourceCode"/>
      </w:pPr>
      <w:r>
        <w:rPr>
          <w:rStyle w:val="VerbatimChar"/>
        </w:rPr>
        <w:t xml:space="preserve">DXF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         │</w:t>
      </w:r>
      <w:r>
        <w:br/>
      </w:r>
      <w:r>
        <w:rPr>
          <w:rStyle w:val="VerbatimChar"/>
        </w:rPr>
        <w:t xml:space="preserve"> ▼                             ▼</w:t>
      </w:r>
      <w:r>
        <w:br/>
      </w:r>
      <w:r>
        <w:rPr>
          <w:rStyle w:val="VerbatimChar"/>
        </w:rPr>
        <w:t xml:space="preserve">Deterministic CAD          Render Pipeline</w:t>
      </w:r>
      <w:r>
        <w:br/>
      </w:r>
      <w:r>
        <w:rPr>
          <w:rStyle w:val="VerbatimChar"/>
        </w:rPr>
        <w:t xml:space="preserve">Geometry + Context              │</w:t>
      </w:r>
      <w:r>
        <w:br/>
      </w:r>
      <w:r>
        <w:rPr>
          <w:rStyle w:val="VerbatimChar"/>
        </w:rPr>
        <w:t xml:space="preserve"> │                              ▼</w:t>
      </w:r>
      <w:r>
        <w:br/>
      </w:r>
      <w:r>
        <w:rPr>
          <w:rStyle w:val="VerbatimChar"/>
        </w:rPr>
        <w:t xml:space="preserve"> │                       Detail + Context</w:t>
      </w:r>
      <w:r>
        <w:br/>
      </w:r>
      <w:r>
        <w:rPr>
          <w:rStyle w:val="VerbatimChar"/>
        </w:rPr>
        <w:t xml:space="preserve"> │                              │</w:t>
      </w:r>
      <w:r>
        <w:br/>
      </w:r>
      <w:r>
        <w:rPr>
          <w:rStyle w:val="VerbatimChar"/>
        </w:rPr>
        <w:t xml:space="preserve"> │                              ▼</w:t>
      </w:r>
      <w:r>
        <w:br/>
      </w:r>
      <w:r>
        <w:rPr>
          <w:rStyle w:val="VerbatimChar"/>
        </w:rPr>
        <w:t xml:space="preserve"> │                        Claude Vision</w:t>
      </w:r>
      <w:r>
        <w:br/>
      </w:r>
      <w:r>
        <w:rPr>
          <w:rStyle w:val="VerbatimChar"/>
        </w:rPr>
        <w:t xml:space="preserve"> │                              │</w:t>
      </w:r>
      <w:r>
        <w:br/>
      </w:r>
      <w:r>
        <w:rPr>
          <w:rStyle w:val="VerbatimChar"/>
        </w:rPr>
        <w:t xml:space="preserve"> │                              ▼</w:t>
      </w:r>
      <w:r>
        <w:br/>
      </w:r>
      <w:r>
        <w:rPr>
          <w:rStyle w:val="VerbatimChar"/>
        </w:rPr>
        <w:t xml:space="preserve"> │                   Reinforcement Semantics</w:t>
      </w:r>
      <w:r>
        <w:br/>
      </w:r>
      <w:r>
        <w:rPr>
          <w:rStyle w:val="VerbatimChar"/>
        </w:rPr>
        <w:t xml:space="preserve"> │                              │</w:t>
      </w:r>
      <w:r>
        <w:br/>
      </w:r>
      <w:r>
        <w:rPr>
          <w:rStyle w:val="VerbatimChar"/>
        </w:rPr>
        <w:t xml:space="preserve">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Hybrid Resolution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Deterministic Engineering Engine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┌───────┼────────┐</w:t>
      </w:r>
      <w:r>
        <w:br/>
      </w:r>
      <w:r>
        <w:rPr>
          <w:rStyle w:val="VerbatimChar"/>
        </w:rPr>
        <w:t xml:space="preserve">        ▼       ▼        ▼</w:t>
      </w:r>
      <w:r>
        <w:br/>
      </w:r>
      <w:r>
        <w:rPr>
          <w:rStyle w:val="VerbatimChar"/>
        </w:rPr>
        <w:t xml:space="preserve">    Cut Length   DL   Piece Generation</w:t>
      </w:r>
      <w:r>
        <w:br/>
      </w:r>
      <w:r>
        <w:rPr>
          <w:rStyle w:val="VerbatimChar"/>
        </w:rPr>
        <w:t xml:space="preserve">        │       │        │</w:t>
      </w:r>
      <w:r>
        <w:br/>
      </w:r>
      <w:r>
        <w:rPr>
          <w:rStyle w:val="VerbatimChar"/>
        </w:rPr>
        <w:t xml:space="preserve">        └───────┴────────┘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Steel Quantity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 BBS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Excel</w:t>
      </w:r>
    </w:p>
    <w:p>
      <w:r>
        <w:pict>
          <v:rect style="width:0;height:1.5pt" o:hralign="center" o:hrstd="t" o:hr="t"/>
        </w:pict>
      </w:r>
    </w:p>
    <w:bookmarkEnd w:id="59"/>
    <w:bookmarkStart w:id="64" w:name="engineering-authority-model"/>
    <w:p>
      <w:pPr>
        <w:pStyle w:val="Heading1"/>
      </w:pPr>
      <w:r>
        <w:t xml:space="preserve">Engineering Authority Model</w:t>
      </w:r>
    </w:p>
    <w:p>
      <w:pPr>
        <w:pStyle w:val="FirstParagraph"/>
      </w:pPr>
      <w:r>
        <w:t xml:space="preserve">The system follows a clearly defined authority model.</w:t>
      </w:r>
    </w:p>
    <w:bookmarkStart w:id="60" w:name="ai-vision"/>
    <w:p>
      <w:pPr>
        <w:pStyle w:val="Heading3"/>
      </w:pPr>
      <w:r>
        <w:t xml:space="preserve">AI Vision</w:t>
      </w:r>
    </w:p>
    <w:p>
      <w:pPr>
        <w:pStyle w:val="FirstParagraph"/>
      </w:pPr>
      <w:r>
        <w:rPr>
          <w:b/>
          <w:bCs/>
        </w:rPr>
        <w:t xml:space="preserve">Primary role: Perception</w:t>
      </w:r>
    </w:p>
    <w:p>
      <w:pPr>
        <w:pStyle w:val="BodyText"/>
      </w:pPr>
      <w:r>
        <w:t xml:space="preserve">Determines what reinforcement is visually and semantically represented in the drawing.</w:t>
      </w:r>
    </w:p>
    <w:bookmarkEnd w:id="60"/>
    <w:bookmarkStart w:id="61" w:name="hybrid-resolution"/>
    <w:p>
      <w:pPr>
        <w:pStyle w:val="Heading3"/>
      </w:pPr>
      <w:r>
        <w:t xml:space="preserve">Hybrid Resolution</w:t>
      </w:r>
    </w:p>
    <w:p>
      <w:pPr>
        <w:pStyle w:val="FirstParagraph"/>
      </w:pPr>
      <w:r>
        <w:rPr>
          <w:b/>
          <w:bCs/>
        </w:rPr>
        <w:t xml:space="preserve">Primary role: Reconciliation</w:t>
      </w:r>
    </w:p>
    <w:p>
      <w:pPr>
        <w:pStyle w:val="BodyText"/>
      </w:pPr>
      <w:r>
        <w:t xml:space="preserve">Combines Vision interpretation with deterministic engineering facts and project context.</w:t>
      </w:r>
    </w:p>
    <w:bookmarkEnd w:id="61"/>
    <w:bookmarkStart w:id="62" w:name="deterministic-engineering-engine"/>
    <w:p>
      <w:pPr>
        <w:pStyle w:val="Heading3"/>
      </w:pPr>
      <w:r>
        <w:t xml:space="preserve">Deterministic Engineering Engine</w:t>
      </w:r>
    </w:p>
    <w:p>
      <w:pPr>
        <w:pStyle w:val="FirstParagraph"/>
      </w:pPr>
      <w:r>
        <w:rPr>
          <w:b/>
          <w:bCs/>
        </w:rPr>
        <w:t xml:space="preserve">Primary role: Engineering Authority</w:t>
      </w:r>
    </w:p>
    <w:p>
      <w:pPr>
        <w:pStyle w:val="BodyText"/>
      </w:pPr>
      <w:r>
        <w:t xml:space="preserve">Determines how the reinforcement is engineered and quantified.</w:t>
      </w:r>
    </w:p>
    <w:bookmarkEnd w:id="62"/>
    <w:bookmarkStart w:id="63" w:name="final-output"/>
    <w:p>
      <w:pPr>
        <w:pStyle w:val="Heading3"/>
      </w:pPr>
      <w:r>
        <w:t xml:space="preserve">Final Output</w:t>
      </w:r>
    </w:p>
    <w:p>
      <w:pPr>
        <w:pStyle w:val="FirstParagraph"/>
      </w:pPr>
      <w:r>
        <w:rPr>
          <w:b/>
          <w:bCs/>
        </w:rPr>
        <w:t xml:space="preserve">Primary role: Estimation</w:t>
      </w:r>
    </w:p>
    <w:p>
      <w:pPr>
        <w:pStyle w:val="BodyText"/>
      </w:pPr>
      <w:r>
        <w:t xml:space="preserve">Produces validated steel quantities, BBS and estimator-format Excel.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inal-system-principle"/>
    <w:p>
      <w:pPr>
        <w:pStyle w:val="Heading1"/>
      </w:pPr>
      <w:r>
        <w:t xml:space="preserve">Final System Principle</w:t>
      </w:r>
    </w:p>
    <w:p>
      <w:pPr>
        <w:pStyle w:val="FirstParagraph"/>
      </w:pPr>
      <w:r>
        <w:t xml:space="preserve">The complete system is therefore not a purely rule-based CAD parser and not an AI-only estimator.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hybrid engineering estimation system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AI Vision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"What reinforcement exists?"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Hybrid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Deterministic Engineering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"How should it be engineered?"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Quantity Computation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BBS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Excel</w:t>
      </w:r>
    </w:p>
    <w:p>
      <w:pPr>
        <w:pStyle w:val="FirstParagraph"/>
      </w:pPr>
      <w:r>
        <w:t xml:space="preserve">The fundamental principle is:</w:t>
      </w:r>
    </w:p>
    <w:p>
      <w:pPr>
        <w:pStyle w:val="BlockText"/>
      </w:pPr>
      <w:r>
        <w:rPr>
          <w:b/>
          <w:bCs/>
        </w:rPr>
        <w:t xml:space="preserve">AI provides visual and semantic reinforcement understanding; deterministic engineering logic provides engineering authority and final quantity computation.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