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(SRS)</w:t>
      </w:r>
    </w:p>
    <w:p>
      <w:pPr>
        <w:pStyle w:val="BodyText"/>
      </w:pPr>
      <w:r>
        <w:rPr>
          <w:bCs/>
          <w:b/>
        </w:rPr>
        <w:t xml:space="preserve">Project:</w:t>
      </w:r>
      <w:r>
        <w:t xml:space="preserve"> </w:t>
      </w:r>
      <w:r>
        <w:t xml:space="preserve">WealthWise – Wealth Management System</w:t>
      </w:r>
      <w:r>
        <w:br/>
      </w:r>
      <w:r>
        <w:rPr>
          <w:bCs/>
          <w:b/>
        </w:rPr>
        <w:t xml:space="preserve">Version:</w:t>
      </w:r>
      <w:r>
        <w:t xml:space="preserve"> </w:t>
      </w:r>
      <w:r>
        <w:t xml:space="preserve">1.1</w:t>
      </w:r>
      <w:r>
        <w:br/>
      </w:r>
      <w:r>
        <w:rPr>
          <w:bCs/>
          <w:b/>
        </w:rPr>
        <w:t xml:space="preserve">Authors:</w:t>
      </w:r>
      <w:r>
        <w:t xml:space="preserve"> </w:t>
      </w:r>
      <w:r>
        <w:t xml:space="preserve">Madhusudhan P, Nishant Nag, Likith Kumar, Vasu Tripathi (WealthWise Team)</w:t>
      </w:r>
      <w:r>
        <w:br/>
      </w:r>
      <w:r>
        <w:rPr>
          <w:bCs/>
          <w:b/>
        </w:rPr>
        <w:t xml:space="preserve">Date:</w:t>
      </w:r>
      <w:r>
        <w:t xml:space="preserve"> </w:t>
      </w:r>
      <w:r>
        <w:t xml:space="preserve">31-10-2026</w:t>
      </w:r>
      <w:r>
        <w:br/>
      </w:r>
      <w:r>
        <w:rPr>
          <w:bCs/>
          <w:b/>
        </w:rPr>
        <w:t xml:space="preserve">Status:</w:t>
      </w:r>
      <w:r>
        <w:t xml:space="preserve"> </w:t>
      </w:r>
      <w:r>
        <w:t xml:space="preserve">Final</w:t>
      </w:r>
    </w:p>
    <w:bookmarkStart w:id="20" w:name="revision-history"/>
    <w:p>
      <w:pPr>
        <w:pStyle w:val="Heading2"/>
      </w:pPr>
      <w:r>
        <w:t xml:space="preserve">Revision history</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64"/>
        <w:gridCol w:w="1408"/>
        <w:gridCol w:w="1508"/>
        <w:gridCol w:w="4473"/>
        <w:gridCol w:w="1150"/>
      </w:tblGrid>
      <w:tr>
        <w:trPr>
          <w:tblHeader w:val="true"/>
          <w:tblHeader w:val="true"/>
        </w:trPr>
        <w:tc>
          <w:tcPr>
            <w:tcW w:type="dxa" w:w="964"/>
            <w:shd w:val="clear" w:color="auto" w:fill="DCE6F1"/>
          </w:tcPr>
          <w:p>
            <w:pPr>
              <w:pStyle w:val="Compact"/>
              <w:spacing w:after="20" w:before="20"/>
              <w:jc w:val="left"/>
            </w:pPr>
            <w:r>
              <w:rPr>
                <w:b/>
                <w:sz w:val="16"/>
              </w:rPr>
              <w:t xml:space="preserve">Version</w:t>
            </w:r>
          </w:p>
        </w:tc>
        <w:tc>
          <w:tcPr>
            <w:tcW w:type="dxa" w:w="1408"/>
            <w:shd w:val="clear" w:color="auto" w:fill="DCE6F1"/>
          </w:tcPr>
          <w:p>
            <w:pPr>
              <w:pStyle w:val="Compact"/>
              <w:spacing w:after="20" w:before="20"/>
              <w:jc w:val="left"/>
            </w:pPr>
            <w:r>
              <w:rPr>
                <w:b/>
                <w:sz w:val="16"/>
              </w:rPr>
              <w:t xml:space="preserve">Date</w:t>
            </w:r>
          </w:p>
        </w:tc>
        <w:tc>
          <w:tcPr>
            <w:tcW w:type="dxa" w:w="1509"/>
            <w:shd w:val="clear" w:color="auto" w:fill="DCE6F1"/>
          </w:tcPr>
          <w:p>
            <w:pPr>
              <w:pStyle w:val="Compact"/>
              <w:spacing w:after="20" w:before="20"/>
              <w:jc w:val="left"/>
            </w:pPr>
            <w:r>
              <w:rPr>
                <w:b/>
                <w:sz w:val="16"/>
              </w:rPr>
              <w:t xml:space="preserve">Author</w:t>
            </w:r>
          </w:p>
        </w:tc>
        <w:tc>
          <w:tcPr>
            <w:tcW w:type="dxa" w:w="4473"/>
            <w:shd w:val="clear" w:color="auto" w:fill="DCE6F1"/>
          </w:tcPr>
          <w:p>
            <w:pPr>
              <w:pStyle w:val="Compact"/>
              <w:spacing w:after="20" w:before="20"/>
              <w:jc w:val="left"/>
            </w:pPr>
            <w:r>
              <w:rPr>
                <w:b/>
                <w:sz w:val="16"/>
              </w:rPr>
              <w:t xml:space="preserve">Change summary</w:t>
            </w:r>
          </w:p>
        </w:tc>
        <w:tc>
          <w:tcPr>
            <w:tcW w:type="dxa" w:w="1150"/>
            <w:shd w:val="clear" w:color="auto" w:fill="DCE6F1"/>
          </w:tcPr>
          <w:p>
            <w:pPr>
              <w:pStyle w:val="Compact"/>
              <w:spacing w:after="20" w:before="20"/>
              <w:jc w:val="left"/>
            </w:pPr>
            <w:r>
              <w:rPr>
                <w:b/>
                <w:sz w:val="16"/>
              </w:rPr>
              <w:t xml:space="preserve">Approval</w:t>
            </w:r>
          </w:p>
        </w:tc>
      </w:tr>
      <w:tr>
        <w:tc>
          <w:tcPr>
            <w:tcW w:type="dxa" w:w="964"/>
          </w:tcPr>
          <w:p>
            <w:pPr>
              <w:pStyle w:val="Compact"/>
              <w:spacing w:after="20" w:before="20"/>
              <w:jc w:val="left"/>
            </w:pPr>
            <w:r>
              <w:rPr>
                <w:sz w:val="16"/>
              </w:rPr>
              <w:t xml:space="preserve">1.0</w:t>
            </w:r>
          </w:p>
        </w:tc>
        <w:tc>
          <w:tcPr>
            <w:tcW w:type="dxa" w:w="1408"/>
          </w:tcPr>
          <w:p>
            <w:pPr>
              <w:pStyle w:val="Compact"/>
              <w:spacing w:after="20" w:before="20"/>
              <w:jc w:val="left"/>
            </w:pPr>
            <w:r>
              <w:rPr>
                <w:sz w:val="16"/>
              </w:rPr>
              <w:t xml:space="preserve">14-10-2026</w:t>
            </w:r>
          </w:p>
        </w:tc>
        <w:tc>
          <w:tcPr>
            <w:tcW w:type="dxa" w:w="1509"/>
          </w:tcPr>
          <w:p>
            <w:pPr>
              <w:pStyle w:val="Compact"/>
              <w:spacing w:after="20" w:before="20"/>
              <w:jc w:val="left"/>
            </w:pPr>
            <w:r>
              <w:rPr>
                <w:sz w:val="16"/>
              </w:rPr>
              <w:t xml:space="preserve">WealthWise Team</w:t>
            </w:r>
          </w:p>
        </w:tc>
        <w:tc>
          <w:tcPr>
            <w:tcW w:type="dxa" w:w="4473"/>
          </w:tcPr>
          <w:p>
            <w:pPr>
              <w:pStyle w:val="Compact"/>
              <w:spacing w:after="20" w:before="20"/>
              <w:jc w:val="left"/>
            </w:pPr>
            <w:r>
              <w:rPr>
                <w:sz w:val="16"/>
              </w:rPr>
              <w:t xml:space="preserve">Initial SRS with use-case diagrams and RTM</w:t>
            </w:r>
          </w:p>
        </w:tc>
        <w:tc>
          <w:tcPr>
            <w:tcW w:type="dxa" w:w="1150"/>
          </w:tcPr>
          <w:p>
            <w:pPr>
              <w:pStyle w:val="Compact"/>
              <w:spacing w:after="20" w:before="20"/>
              <w:jc w:val="left"/>
            </w:pPr>
            <w:r>
              <w:rPr>
                <w:sz w:val="16"/>
              </w:rPr>
              <w:t xml:space="preserve">Pending</w:t>
            </w:r>
          </w:p>
        </w:tc>
      </w:tr>
      <w:tr>
        <w:tc>
          <w:tcPr>
            <w:tcW w:type="dxa" w:w="964"/>
          </w:tcPr>
          <w:p>
            <w:pPr>
              <w:pStyle w:val="Compact"/>
              <w:spacing w:after="20" w:before="20"/>
              <w:jc w:val="left"/>
            </w:pPr>
            <w:r>
              <w:rPr>
                <w:sz w:val="16"/>
              </w:rPr>
              <w:t xml:space="preserve">1.1</w:t>
            </w:r>
          </w:p>
        </w:tc>
        <w:tc>
          <w:tcPr>
            <w:tcW w:type="dxa" w:w="1408"/>
          </w:tcPr>
          <w:p>
            <w:pPr>
              <w:pStyle w:val="Compact"/>
              <w:spacing w:after="20" w:before="20"/>
              <w:jc w:val="left"/>
            </w:pPr>
            <w:r>
              <w:rPr>
                <w:sz w:val="16"/>
              </w:rPr>
              <w:t xml:space="preserve">31-10-2026</w:t>
            </w:r>
          </w:p>
        </w:tc>
        <w:tc>
          <w:tcPr>
            <w:tcW w:type="dxa" w:w="1509"/>
          </w:tcPr>
          <w:p>
            <w:pPr>
              <w:pStyle w:val="Compact"/>
              <w:spacing w:after="20" w:before="20"/>
              <w:jc w:val="left"/>
            </w:pPr>
            <w:r>
              <w:rPr>
                <w:sz w:val="16"/>
              </w:rPr>
              <w:t xml:space="preserve">WealthWise Team</w:t>
            </w:r>
          </w:p>
        </w:tc>
        <w:tc>
          <w:tcPr>
            <w:tcW w:type="dxa" w:w="4473"/>
          </w:tcPr>
          <w:p>
            <w:pPr>
              <w:pStyle w:val="Compact"/>
              <w:spacing w:after="20" w:before="20"/>
              <w:jc w:val="left"/>
            </w:pPr>
            <w:r>
              <w:rPr>
                <w:sz w:val="16"/>
              </w:rPr>
              <w:t xml:space="preserve">Final version after Sprint 2: requirements aligned with the delivered system (PostgreSQL as the only database; vault files in private storage with authenticated download; advisor chosen by the client; score computed on request; snapshot saved on dashboard load); NFR-04 restated; RTM updated with test results</w:t>
            </w:r>
          </w:p>
        </w:tc>
        <w:tc>
          <w:tcPr>
            <w:tcW w:type="dxa" w:w="1150"/>
          </w:tcPr>
          <w:p>
            <w:pPr>
              <w:pStyle w:val="Compact"/>
              <w:spacing w:after="20" w:before="20"/>
              <w:jc w:val="left"/>
            </w:pPr>
            <w:r>
              <w:rPr>
                <w:sz w:val="16"/>
              </w:rPr>
              <w:t xml:space="preserve">Pending</w:t>
            </w:r>
          </w:p>
        </w:tc>
      </w:tr>
    </w:tbl>
    <w:bookmarkEnd w:id="20"/>
    <w:bookmarkStart w:id="21" w:name="approvals"/>
    <w:p>
      <w:pPr>
        <w:pStyle w:val="Heading2"/>
      </w:pPr>
      <w:r>
        <w:t xml:space="preserve">Approvals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018"/>
        <w:gridCol w:w="2777"/>
        <w:gridCol w:w="1599"/>
        <w:gridCol w:w="1109"/>
      </w:tblGrid>
      <w:tr>
        <w:trPr>
          <w:tblHeader w:val="true"/>
          <w:tblHeader w:val="true"/>
        </w:trPr>
        <w:tc>
          <w:tcPr>
            <w:tcW w:type="dxa" w:w="4018"/>
            <w:shd w:val="clear" w:color="auto" w:fill="DCE6F1"/>
          </w:tcPr>
          <w:p>
            <w:pPr>
              <w:pStyle w:val="Compact"/>
              <w:spacing w:after="20" w:before="20"/>
              <w:jc w:val="left"/>
            </w:pPr>
            <w:r>
              <w:rPr>
                <w:b/>
                <w:sz w:val="18"/>
              </w:rPr>
              <w:t xml:space="preserve">Role</w:t>
            </w:r>
          </w:p>
        </w:tc>
        <w:tc>
          <w:tcPr>
            <w:tcW w:type="dxa" w:w="2777"/>
            <w:shd w:val="clear" w:color="auto" w:fill="DCE6F1"/>
          </w:tcPr>
          <w:p>
            <w:pPr>
              <w:pStyle w:val="Compact"/>
              <w:spacing w:after="20" w:before="20"/>
              <w:jc w:val="left"/>
            </w:pPr>
            <w:r>
              <w:rPr>
                <w:b/>
                <w:sz w:val="18"/>
              </w:rPr>
              <w:t xml:space="preserve">Name</w:t>
            </w:r>
          </w:p>
        </w:tc>
        <w:tc>
          <w:tcPr>
            <w:tcW w:type="dxa" w:w="1599"/>
            <w:shd w:val="clear" w:color="auto" w:fill="DCE6F1"/>
          </w:tcPr>
          <w:p>
            <w:pPr>
              <w:pStyle w:val="Compact"/>
              <w:spacing w:after="20" w:before="20"/>
              <w:jc w:val="left"/>
            </w:pPr>
            <w:r>
              <w:rPr>
                <w:b/>
                <w:sz w:val="18"/>
              </w:rPr>
              <w:t xml:space="preserve">Signature / Email</w:t>
            </w:r>
          </w:p>
        </w:tc>
        <w:tc>
          <w:tcPr>
            <w:tcW w:type="dxa" w:w="1110"/>
            <w:shd w:val="clear" w:color="auto" w:fill="DCE6F1"/>
          </w:tcPr>
          <w:p>
            <w:pPr>
              <w:pStyle w:val="Compact"/>
              <w:spacing w:after="20" w:before="20"/>
              <w:jc w:val="left"/>
            </w:pPr>
            <w:r>
              <w:rPr>
                <w:b/>
                <w:sz w:val="18"/>
              </w:rPr>
              <w:t xml:space="preserve">Date</w:t>
            </w:r>
          </w:p>
        </w:tc>
      </w:tr>
      <w:tr>
        <w:tc>
          <w:tcPr>
            <w:tcW w:type="dxa" w:w="4018"/>
          </w:tcPr>
          <w:p>
            <w:pPr>
              <w:pStyle w:val="Compact"/>
              <w:spacing w:after="20" w:before="20"/>
              <w:jc w:val="left"/>
            </w:pPr>
            <w:r>
              <w:rPr>
                <w:sz w:val="18"/>
              </w:rPr>
              <w:t xml:space="preserve">Course Coordinator</w:t>
            </w:r>
          </w:p>
        </w:tc>
        <w:tc>
          <w:tcPr>
            <w:tcW w:type="dxa" w:w="2777"/>
          </w:tcPr>
          <w:p>
            <w:pPr>
              <w:pStyle w:val="Compact"/>
              <w:spacing w:after="20" w:before="20"/>
            </w:pPr>
          </w:p>
        </w:tc>
        <w:tc>
          <w:tcPr>
            <w:tcW w:type="dxa" w:w="1599"/>
          </w:tcPr>
          <w:p>
            <w:pPr>
              <w:pStyle w:val="Compact"/>
              <w:spacing w:after="20" w:before="20"/>
            </w:pPr>
          </w:p>
        </w:tc>
        <w:tc>
          <w:tcPr>
            <w:tcW w:type="dxa" w:w="1110"/>
          </w:tcPr>
          <w:p>
            <w:pPr>
              <w:pStyle w:val="Compact"/>
              <w:spacing w:after="20" w:before="20"/>
            </w:pPr>
          </w:p>
        </w:tc>
      </w:tr>
      <w:tr>
        <w:tc>
          <w:tcPr>
            <w:tcW w:type="dxa" w:w="4018"/>
          </w:tcPr>
          <w:p>
            <w:pPr>
              <w:pStyle w:val="Compact"/>
              <w:spacing w:after="20" w:before="20"/>
              <w:jc w:val="left"/>
            </w:pPr>
            <w:r>
              <w:rPr>
                <w:sz w:val="18"/>
              </w:rPr>
              <w:t xml:space="preserve">Requirements Lead</w:t>
            </w:r>
          </w:p>
        </w:tc>
        <w:tc>
          <w:tcPr>
            <w:tcW w:type="dxa" w:w="2777"/>
          </w:tcPr>
          <w:p>
            <w:pPr>
              <w:pStyle w:val="Compact"/>
              <w:spacing w:after="20" w:before="20"/>
              <w:jc w:val="left"/>
            </w:pPr>
            <w:r>
              <w:rPr>
                <w:sz w:val="18"/>
              </w:rPr>
              <w:t xml:space="preserve">Madhusudhan P</w:t>
            </w:r>
          </w:p>
        </w:tc>
        <w:tc>
          <w:tcPr>
            <w:tcW w:type="dxa" w:w="1599"/>
          </w:tcPr>
          <w:p>
            <w:pPr>
              <w:pStyle w:val="Compact"/>
              <w:spacing w:after="20" w:before="20"/>
            </w:pPr>
          </w:p>
        </w:tc>
        <w:tc>
          <w:tcPr>
            <w:tcW w:type="dxa" w:w="1110"/>
          </w:tcPr>
          <w:p>
            <w:pPr>
              <w:pStyle w:val="Compact"/>
              <w:spacing w:after="20" w:before="20"/>
            </w:pPr>
          </w:p>
        </w:tc>
      </w:tr>
      <w:tr>
        <w:tc>
          <w:tcPr>
            <w:tcW w:type="dxa" w:w="4018"/>
          </w:tcPr>
          <w:p>
            <w:pPr>
              <w:pStyle w:val="Compact"/>
              <w:spacing w:after="20" w:before="20"/>
              <w:jc w:val="left"/>
            </w:pPr>
            <w:r>
              <w:rPr>
                <w:sz w:val="18"/>
              </w:rPr>
              <w:t xml:space="preserve">Project Team Member</w:t>
            </w:r>
          </w:p>
        </w:tc>
        <w:tc>
          <w:tcPr>
            <w:tcW w:type="dxa" w:w="2777"/>
          </w:tcPr>
          <w:p>
            <w:pPr>
              <w:pStyle w:val="Compact"/>
              <w:spacing w:after="20" w:before="20"/>
              <w:jc w:val="left"/>
            </w:pPr>
            <w:r>
              <w:rPr>
                <w:sz w:val="18"/>
              </w:rPr>
              <w:t xml:space="preserve">Nishant Nag</w:t>
            </w:r>
          </w:p>
        </w:tc>
        <w:tc>
          <w:tcPr>
            <w:tcW w:type="dxa" w:w="1599"/>
          </w:tcPr>
          <w:p>
            <w:pPr>
              <w:pStyle w:val="Compact"/>
              <w:spacing w:after="20" w:before="20"/>
            </w:pPr>
          </w:p>
        </w:tc>
        <w:tc>
          <w:tcPr>
            <w:tcW w:type="dxa" w:w="1110"/>
          </w:tcPr>
          <w:p>
            <w:pPr>
              <w:pStyle w:val="Compact"/>
              <w:spacing w:after="20" w:before="20"/>
            </w:pPr>
          </w:p>
        </w:tc>
      </w:tr>
      <w:tr>
        <w:tc>
          <w:tcPr>
            <w:tcW w:type="dxa" w:w="4018"/>
          </w:tcPr>
          <w:p>
            <w:pPr>
              <w:pStyle w:val="Compact"/>
              <w:spacing w:after="20" w:before="20"/>
              <w:jc w:val="left"/>
            </w:pPr>
            <w:r>
              <w:rPr>
                <w:sz w:val="18"/>
              </w:rPr>
              <w:t xml:space="preserve">Project Team Member</w:t>
            </w:r>
          </w:p>
        </w:tc>
        <w:tc>
          <w:tcPr>
            <w:tcW w:type="dxa" w:w="2777"/>
          </w:tcPr>
          <w:p>
            <w:pPr>
              <w:pStyle w:val="Compact"/>
              <w:spacing w:after="20" w:before="20"/>
              <w:jc w:val="left"/>
            </w:pPr>
            <w:r>
              <w:rPr>
                <w:sz w:val="18"/>
              </w:rPr>
              <w:t xml:space="preserve">Likith Kumar</w:t>
            </w:r>
          </w:p>
        </w:tc>
        <w:tc>
          <w:tcPr>
            <w:tcW w:type="dxa" w:w="1599"/>
          </w:tcPr>
          <w:p>
            <w:pPr>
              <w:pStyle w:val="Compact"/>
              <w:spacing w:after="20" w:before="20"/>
            </w:pPr>
          </w:p>
        </w:tc>
        <w:tc>
          <w:tcPr>
            <w:tcW w:type="dxa" w:w="1110"/>
          </w:tcPr>
          <w:p>
            <w:pPr>
              <w:pStyle w:val="Compact"/>
              <w:spacing w:after="20" w:before="20"/>
            </w:pPr>
          </w:p>
        </w:tc>
      </w:tr>
      <w:tr>
        <w:tc>
          <w:tcPr>
            <w:tcW w:type="dxa" w:w="4018"/>
          </w:tcPr>
          <w:p>
            <w:pPr>
              <w:pStyle w:val="Compact"/>
              <w:spacing w:after="20" w:before="20"/>
              <w:jc w:val="left"/>
            </w:pPr>
            <w:r>
              <w:rPr>
                <w:sz w:val="18"/>
              </w:rPr>
              <w:t xml:space="preserve">Project Team Member</w:t>
            </w:r>
          </w:p>
        </w:tc>
        <w:tc>
          <w:tcPr>
            <w:tcW w:type="dxa" w:w="2777"/>
          </w:tcPr>
          <w:p>
            <w:pPr>
              <w:pStyle w:val="Compact"/>
              <w:spacing w:after="20" w:before="20"/>
              <w:jc w:val="left"/>
            </w:pPr>
            <w:r>
              <w:rPr>
                <w:sz w:val="18"/>
              </w:rPr>
              <w:t xml:space="preserve">Vasu Tripathi</w:t>
            </w:r>
          </w:p>
        </w:tc>
        <w:tc>
          <w:tcPr>
            <w:tcW w:type="dxa" w:w="1599"/>
          </w:tcPr>
          <w:p>
            <w:pPr>
              <w:pStyle w:val="Compact"/>
              <w:spacing w:after="20" w:before="20"/>
            </w:pPr>
          </w:p>
        </w:tc>
        <w:tc>
          <w:tcPr>
            <w:tcW w:type="dxa" w:w="1110"/>
          </w:tcPr>
          <w:p>
            <w:pPr>
              <w:pStyle w:val="Compact"/>
              <w:spacing w:after="20" w:before="20"/>
            </w:pPr>
          </w:p>
        </w:tc>
      </w:tr>
    </w:tbl>
    <w:bookmarkEnd w:id="21"/>
    <w:bookmarkStart w:id="22" w:name="table-of-contents"/>
    <w:p>
      <w:pPr>
        <w:pStyle w:val="Heading2"/>
      </w:pPr>
      <w:r>
        <w:t xml:space="preserve">Table of Contents</w:t>
      </w:r>
    </w:p>
    <w:p>
      <w:pPr>
        <w:pStyle w:val="FirstParagraph"/>
      </w:pPr>
      <w:r>
        <w:t xml:space="preserve">1. Introduction</w:t>
      </w:r>
      <w:r>
        <w:br/>
      </w:r>
      <w:r>
        <w:t xml:space="preserve">2. Overall description</w:t>
      </w:r>
      <w:r>
        <w:br/>
      </w:r>
      <w:r>
        <w:t xml:space="preserve">3. External interfaces</w:t>
      </w:r>
      <w:r>
        <w:br/>
      </w:r>
      <w:r>
        <w:t xml:space="preserve">4. System features (detailed)</w:t>
      </w:r>
      <w:r>
        <w:br/>
      </w:r>
      <w:r>
        <w:t xml:space="preserve">5. Non-functional requirements (detailed)</w:t>
      </w:r>
      <w:r>
        <w:br/>
      </w:r>
      <w:r>
        <w:t xml:space="preserve">6. Quality attributes &amp; Acceptance tests</w:t>
      </w:r>
      <w:r>
        <w:br/>
      </w:r>
      <w:r>
        <w:t xml:space="preserve">7. UML Use-Case Diagrams</w:t>
      </w:r>
      <w:r>
        <w:br/>
      </w:r>
      <w:r>
        <w:t xml:space="preserve">8. Requirements Traceability Matrix (RTM)</w:t>
      </w:r>
    </w:p>
    <w:p>
      <w:r>
        <w:br w:type="page"/>
      </w:r>
    </w:p>
    <w:bookmarkEnd w:id="22"/>
    <w:bookmarkStart w:id="27" w:name="introduction"/>
    <w:p>
      <w:pPr>
        <w:pStyle w:val="Heading1"/>
      </w:pPr>
      <w:r>
        <w:t xml:space="preserve">1. Introduction</w:t>
      </w:r>
    </w:p>
    <w:bookmarkStart w:id="23" w:name="purpose"/>
    <w:p>
      <w:pPr>
        <w:pStyle w:val="Heading2"/>
      </w:pPr>
      <w:r>
        <w:t xml:space="preserve">1.1 Purpose</w:t>
      </w:r>
    </w:p>
    <w:p>
      <w:pPr>
        <w:pStyle w:val="FirstParagraph"/>
      </w:pPr>
      <w:r>
        <w:t xml:space="preserve">This document is the Software Requirements Specification (SRS) for</w:t>
      </w:r>
      <w:r>
        <w:t xml:space="preserve"> </w:t>
      </w:r>
      <w:r>
        <w:rPr>
          <w:bCs/>
          <w:b/>
        </w:rPr>
        <w:t xml:space="preserve">WealthWise – Wealth Management System</w:t>
      </w:r>
      <w:r>
        <w:t xml:space="preserve">. It defines what WealthWise must do: its functional requirements, non-functional (quality) requirements, security objectives and requirements, external interfaces, and the acceptance criteria against which each requirement will be verified. It is the baseline for the Software Architecture and Design Specification (SAD) and the Software Test Plan (STP) of the project.</w:t>
      </w:r>
    </w:p>
    <w:bookmarkEnd w:id="23"/>
    <w:bookmarkStart w:id="24" w:name="scope"/>
    <w:p>
      <w:pPr>
        <w:pStyle w:val="Heading2"/>
      </w:pPr>
      <w:r>
        <w:t xml:space="preserve">1.2 Scope</w:t>
      </w:r>
    </w:p>
    <w:p>
      <w:pPr>
        <w:pStyle w:val="FirstParagraph"/>
      </w:pPr>
      <w:r>
        <w:t xml:space="preserve">WealthWise is a web-based personal net-worth, loan and expense management system for Indian households. It brings a user’s assets, loans, EMI (Equated Monthly Instalment) repayment schedules and day-to-day income and expenses into one consistent record, and answers questions such as</w:t>
      </w:r>
      <w:r>
        <w:t xml:space="preserve"> </w:t>
      </w:r>
      <w:r>
        <w:t xml:space="preserve">“</w:t>
      </w:r>
      <w:r>
        <w:t xml:space="preserve">What am I worth today?</w:t>
      </w:r>
      <w:r>
        <w:t xml:space="preserve">”</w:t>
      </w:r>
      <w:r>
        <w:t xml:space="preserve">,</w:t>
      </w:r>
      <w:r>
        <w:t xml:space="preserve"> </w:t>
      </w:r>
      <w:r>
        <w:t xml:space="preserve">“</w:t>
      </w:r>
      <w:r>
        <w:t xml:space="preserve">How much of my home loan have I really repaid?</w:t>
      </w:r>
      <w:r>
        <w:t xml:space="preserve">”</w:t>
      </w:r>
      <w:r>
        <w:t xml:space="preserve">,</w:t>
      </w:r>
      <w:r>
        <w:t xml:space="preserve"> </w:t>
      </w:r>
      <w:r>
        <w:t xml:space="preserve">“</w:t>
      </w:r>
      <w:r>
        <w:t xml:space="preserve">How much interest would a prepayment save?</w:t>
      </w:r>
      <w:r>
        <w:t xml:space="preserve">”</w:t>
      </w:r>
      <w:r>
        <w:t xml:space="preserve"> </w:t>
      </w:r>
      <w:r>
        <w:t xml:space="preserve">and</w:t>
      </w:r>
      <w:r>
        <w:t xml:space="preserve"> </w:t>
      </w:r>
      <w:r>
        <w:t xml:space="preserve">“</w:t>
      </w:r>
      <w:r>
        <w:t xml:space="preserve">Where does my money go each month?</w:t>
      </w:r>
      <w:r>
        <w:t xml:space="preserve">”</w:t>
      </w:r>
      <w:r>
        <w:t xml:space="preserve">.</w:t>
      </w:r>
    </w:p>
    <w:p>
      <w:pPr>
        <w:pStyle w:val="BodyText"/>
      </w:pPr>
      <w:r>
        <w:rPr>
          <w:bCs/>
          <w:b/>
        </w:rPr>
        <w:t xml:space="preserve">In scope</w:t>
      </w:r>
    </w:p>
    <w:p>
      <w:pPr>
        <w:numPr>
          <w:ilvl w:val="0"/>
          <w:numId w:val="1001"/>
        </w:numPr>
        <w:pStyle w:val="Compact"/>
      </w:pPr>
      <w:r>
        <w:t xml:space="preserve">User registration, login and role-based access for two roles:</w:t>
      </w:r>
      <w:r>
        <w:t xml:space="preserve"> </w:t>
      </w:r>
      <w:r>
        <w:rPr>
          <w:iCs/>
          <w:i/>
        </w:rPr>
        <w:t xml:space="preserve">Individual</w:t>
      </w:r>
      <w:r>
        <w:t xml:space="preserve"> </w:t>
      </w:r>
      <w:r>
        <w:t xml:space="preserve">and</w:t>
      </w:r>
      <w:r>
        <w:t xml:space="preserve"> </w:t>
      </w:r>
      <w:r>
        <w:rPr>
          <w:iCs/>
          <w:i/>
        </w:rPr>
        <w:t xml:space="preserve">Advisor</w:t>
      </w:r>
      <w:r>
        <w:t xml:space="preserve">.</w:t>
      </w:r>
    </w:p>
    <w:p>
      <w:pPr>
        <w:numPr>
          <w:ilvl w:val="0"/>
          <w:numId w:val="1001"/>
        </w:numPr>
        <w:pStyle w:val="Compact"/>
      </w:pPr>
      <w:r>
        <w:t xml:space="preserve">Asset management (gold, property, equity, mutual funds, EPF, PPF, fixed deposits, vehicles, cash, other) with valuation history.</w:t>
      </w:r>
    </w:p>
    <w:p>
      <w:pPr>
        <w:numPr>
          <w:ilvl w:val="0"/>
          <w:numId w:val="1001"/>
        </w:numPr>
        <w:pStyle w:val="Compact"/>
      </w:pPr>
      <w:r>
        <w:t xml:space="preserve">Loan management with automatically generated reducing-balance EMI schedules, EMI payment recording, overdue detection, and prepayment simulation and application.</w:t>
      </w:r>
    </w:p>
    <w:p>
      <w:pPr>
        <w:numPr>
          <w:ilvl w:val="0"/>
          <w:numId w:val="1001"/>
        </w:numPr>
        <w:pStyle w:val="Compact"/>
      </w:pPr>
      <w:r>
        <w:t xml:space="preserve">A transaction ledger with filtering and full-text search.</w:t>
      </w:r>
    </w:p>
    <w:p>
      <w:pPr>
        <w:numPr>
          <w:ilvl w:val="0"/>
          <w:numId w:val="1001"/>
        </w:numPr>
        <w:pStyle w:val="Compact"/>
      </w:pPr>
      <w:r>
        <w:t xml:space="preserve">Bank-statement CSV import with de-duplication and rule-based categorisation; receipt photo scanning (OCR) to create expenses.</w:t>
      </w:r>
    </w:p>
    <w:p>
      <w:pPr>
        <w:numPr>
          <w:ilvl w:val="0"/>
          <w:numId w:val="1001"/>
        </w:numPr>
        <w:pStyle w:val="Compact"/>
      </w:pPr>
      <w:r>
        <w:t xml:space="preserve">A document vault for loan papers, deeds and receipts.</w:t>
      </w:r>
    </w:p>
    <w:p>
      <w:pPr>
        <w:numPr>
          <w:ilvl w:val="0"/>
          <w:numId w:val="1001"/>
        </w:numPr>
        <w:pStyle w:val="Compact"/>
      </w:pPr>
      <w:r>
        <w:t xml:space="preserve">A dashboard (net worth trend, asset allocation, loan payoff progress, upcoming dues, cash flow, recurring expenses).</w:t>
      </w:r>
    </w:p>
    <w:p>
      <w:pPr>
        <w:numPr>
          <w:ilvl w:val="0"/>
          <w:numId w:val="1001"/>
        </w:numPr>
        <w:pStyle w:val="Compact"/>
      </w:pPr>
      <w:r>
        <w:t xml:space="preserve">Insights: a derived credit score, loan-product comparison, and a what-if net worth projection.</w:t>
      </w:r>
    </w:p>
    <w:p>
      <w:pPr>
        <w:numPr>
          <w:ilvl w:val="0"/>
          <w:numId w:val="1001"/>
        </w:numPr>
        <w:pStyle w:val="Compact"/>
      </w:pPr>
      <w:r>
        <w:t xml:space="preserve">Financial-year (April–March) reports and a downloadable PDF net worth statement.</w:t>
      </w:r>
    </w:p>
    <w:p>
      <w:pPr>
        <w:numPr>
          <w:ilvl w:val="0"/>
          <w:numId w:val="1001"/>
        </w:numPr>
        <w:pStyle w:val="Compact"/>
      </w:pPr>
      <w:r>
        <w:t xml:space="preserve">In-app EMI reminders and a news feed showing the effect of lending-rate changes on the user’s floating-rate loans.</w:t>
      </w:r>
    </w:p>
    <w:p>
      <w:pPr>
        <w:numPr>
          <w:ilvl w:val="0"/>
          <w:numId w:val="1001"/>
        </w:numPr>
        <w:pStyle w:val="Compact"/>
      </w:pPr>
      <w:r>
        <w:t xml:space="preserve">An advisor view of assigned clients.</w:t>
      </w:r>
    </w:p>
    <w:p>
      <w:pPr>
        <w:pStyle w:val="FirstParagraph"/>
      </w:pPr>
      <w:r>
        <w:rPr>
          <w:bCs/>
          <w:b/>
        </w:rPr>
        <w:t xml:space="preserve">Out of scope (deliberately simulated or excluded)</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290"/>
        <w:gridCol w:w="6213"/>
      </w:tblGrid>
      <w:tr>
        <w:trPr>
          <w:tblHeader w:val="true"/>
          <w:tblHeader w:val="true"/>
        </w:trPr>
        <w:tc>
          <w:tcPr>
            <w:tcW w:type="dxa" w:w="3290"/>
            <w:shd w:val="clear" w:color="auto" w:fill="DCE6F1"/>
          </w:tcPr>
          <w:p>
            <w:pPr>
              <w:pStyle w:val="Compact"/>
              <w:spacing w:after="20" w:before="20"/>
              <w:jc w:val="left"/>
            </w:pPr>
            <w:r>
              <w:rPr>
                <w:b/>
                <w:sz w:val="18"/>
              </w:rPr>
              <w:t xml:space="preserve">Real-world dependency</w:t>
            </w:r>
          </w:p>
        </w:tc>
        <w:tc>
          <w:tcPr>
            <w:tcW w:type="dxa" w:w="6214"/>
            <w:shd w:val="clear" w:color="auto" w:fill="DCE6F1"/>
          </w:tcPr>
          <w:p>
            <w:pPr>
              <w:pStyle w:val="Compact"/>
              <w:spacing w:after="20" w:before="20"/>
              <w:jc w:val="left"/>
            </w:pPr>
            <w:r>
              <w:rPr>
                <w:b/>
                <w:sz w:val="18"/>
              </w:rPr>
              <w:t xml:space="preserve">What WealthWise does instead</w:t>
            </w:r>
          </w:p>
        </w:tc>
      </w:tr>
      <w:tr>
        <w:tc>
          <w:tcPr>
            <w:tcW w:type="dxa" w:w="3290"/>
          </w:tcPr>
          <w:p>
            <w:pPr>
              <w:pStyle w:val="Compact"/>
              <w:spacing w:after="20" w:before="20"/>
              <w:jc w:val="left"/>
            </w:pPr>
            <w:r>
              <w:rPr>
                <w:sz w:val="18"/>
              </w:rPr>
              <w:t xml:space="preserve">Credit bureau (CIBIL, Experian, Equifax)</w:t>
            </w:r>
          </w:p>
        </w:tc>
        <w:tc>
          <w:tcPr>
            <w:tcW w:type="dxa" w:w="6214"/>
          </w:tcPr>
          <w:p>
            <w:pPr>
              <w:pStyle w:val="Compact"/>
              <w:spacing w:after="20" w:before="20"/>
              <w:jc w:val="left"/>
            </w:pPr>
            <w:r>
              <w:rPr>
                <w:sz w:val="18"/>
              </w:rPr>
              <w:t xml:space="preserve">Computes a 300–900 score derived only from repayment records held in WealthWise, labelled as such wherever it appears</w:t>
            </w:r>
          </w:p>
        </w:tc>
      </w:tr>
      <w:tr>
        <w:tc>
          <w:tcPr>
            <w:tcW w:type="dxa" w:w="3290"/>
          </w:tcPr>
          <w:p>
            <w:pPr>
              <w:pStyle w:val="Compact"/>
              <w:spacing w:after="20" w:before="20"/>
              <w:jc w:val="left"/>
            </w:pPr>
            <w:r>
              <w:rPr>
                <w:sz w:val="18"/>
              </w:rPr>
              <w:t xml:space="preserve">Payment gateway or bank mandate</w:t>
            </w:r>
          </w:p>
        </w:tc>
        <w:tc>
          <w:tcPr>
            <w:tcW w:type="dxa" w:w="6214"/>
          </w:tcPr>
          <w:p>
            <w:pPr>
              <w:pStyle w:val="Compact"/>
              <w:spacing w:after="20" w:before="20"/>
              <w:jc w:val="left"/>
            </w:pPr>
            <w:r>
              <w:rPr>
                <w:sz w:val="18"/>
              </w:rPr>
              <w:t xml:space="preserve">“</w:t>
            </w:r>
            <w:r>
              <w:rPr>
                <w:sz w:val="18"/>
              </w:rPr>
              <w:t xml:space="preserve">Mark EMI paid</w:t>
            </w:r>
            <w:r>
              <w:rPr>
                <w:sz w:val="18"/>
              </w:rPr>
              <w:t xml:space="preserve">”</w:t>
            </w:r>
            <w:r>
              <w:rPr>
                <w:sz w:val="18"/>
              </w:rPr>
              <w:t xml:space="preserve"> </w:t>
            </w:r>
            <w:r>
              <w:rPr>
                <w:sz w:val="18"/>
              </w:rPr>
              <w:t xml:space="preserve">and</w:t>
            </w:r>
            <w:r>
              <w:rPr>
                <w:sz w:val="18"/>
              </w:rPr>
              <w:t xml:space="preserve"> </w:t>
            </w:r>
            <w:r>
              <w:rPr>
                <w:sz w:val="18"/>
              </w:rPr>
              <w:t xml:space="preserve">“</w:t>
            </w:r>
            <w:r>
              <w:rPr>
                <w:sz w:val="18"/>
              </w:rPr>
              <w:t xml:space="preserve">apply prepayment</w:t>
            </w:r>
            <w:r>
              <w:rPr>
                <w:sz w:val="18"/>
              </w:rPr>
              <w:t xml:space="preserve">”</w:t>
            </w:r>
            <w:r>
              <w:rPr>
                <w:sz w:val="18"/>
              </w:rPr>
              <w:t xml:space="preserve"> </w:t>
            </w:r>
            <w:r>
              <w:rPr>
                <w:sz w:val="18"/>
              </w:rPr>
              <w:t xml:space="preserve">record the event in the ledger; no money is moved</w:t>
            </w:r>
          </w:p>
        </w:tc>
      </w:tr>
      <w:tr>
        <w:tc>
          <w:tcPr>
            <w:tcW w:type="dxa" w:w="3290"/>
          </w:tcPr>
          <w:p>
            <w:pPr>
              <w:pStyle w:val="Compact"/>
              <w:spacing w:after="20" w:before="20"/>
              <w:jc w:val="left"/>
            </w:pPr>
            <w:r>
              <w:rPr>
                <w:sz w:val="18"/>
              </w:rPr>
              <w:t xml:space="preserve">Account Aggregator / bank APIs</w:t>
            </w:r>
          </w:p>
        </w:tc>
        <w:tc>
          <w:tcPr>
            <w:tcW w:type="dxa" w:w="6214"/>
          </w:tcPr>
          <w:p>
            <w:pPr>
              <w:pStyle w:val="Compact"/>
              <w:spacing w:after="20" w:before="20"/>
              <w:jc w:val="left"/>
            </w:pPr>
            <w:r>
              <w:rPr>
                <w:sz w:val="18"/>
              </w:rPr>
              <w:t xml:space="preserve">The user uploads a CSV statement downloaded from their own net banking</w:t>
            </w:r>
          </w:p>
        </w:tc>
      </w:tr>
      <w:tr>
        <w:tc>
          <w:tcPr>
            <w:tcW w:type="dxa" w:w="3290"/>
          </w:tcPr>
          <w:p>
            <w:pPr>
              <w:pStyle w:val="Compact"/>
              <w:spacing w:after="20" w:before="20"/>
              <w:jc w:val="left"/>
            </w:pPr>
            <w:r>
              <w:rPr>
                <w:sz w:val="18"/>
              </w:rPr>
              <w:t xml:space="preserve">Market data feeds</w:t>
            </w:r>
          </w:p>
        </w:tc>
        <w:tc>
          <w:tcPr>
            <w:tcW w:type="dxa" w:w="6214"/>
          </w:tcPr>
          <w:p>
            <w:pPr>
              <w:pStyle w:val="Compact"/>
              <w:spacing w:after="20" w:before="20"/>
              <w:jc w:val="left"/>
            </w:pPr>
            <w:r>
              <w:rPr>
                <w:sz w:val="18"/>
              </w:rPr>
              <w:t xml:space="preserve">Asset values are user-entered; valuation history is retained</w:t>
            </w:r>
          </w:p>
        </w:tc>
      </w:tr>
      <w:tr>
        <w:tc>
          <w:tcPr>
            <w:tcW w:type="dxa" w:w="3290"/>
          </w:tcPr>
          <w:p>
            <w:pPr>
              <w:pStyle w:val="Compact"/>
              <w:spacing w:after="20" w:before="20"/>
              <w:jc w:val="left"/>
            </w:pPr>
            <w:r>
              <w:rPr>
                <w:sz w:val="18"/>
              </w:rPr>
              <w:t xml:space="preserve">Lender partnerships</w:t>
            </w:r>
          </w:p>
        </w:tc>
        <w:tc>
          <w:tcPr>
            <w:tcW w:type="dxa" w:w="6214"/>
          </w:tcPr>
          <w:p>
            <w:pPr>
              <w:pStyle w:val="Compact"/>
              <w:spacing w:after="20" w:before="20"/>
              <w:jc w:val="left"/>
            </w:pPr>
            <w:r>
              <w:rPr>
                <w:sz w:val="18"/>
              </w:rPr>
              <w:t xml:space="preserve">A seeded catalogue of publicly advertised loan products and rate bands</w:t>
            </w:r>
          </w:p>
        </w:tc>
      </w:tr>
      <w:tr>
        <w:tc>
          <w:tcPr>
            <w:tcW w:type="dxa" w:w="3290"/>
          </w:tcPr>
          <w:p>
            <w:pPr>
              <w:pStyle w:val="Compact"/>
              <w:spacing w:after="20" w:before="20"/>
              <w:jc w:val="left"/>
            </w:pPr>
            <w:r>
              <w:rPr>
                <w:sz w:val="18"/>
              </w:rPr>
              <w:t xml:space="preserve">Email / SMS delivery</w:t>
            </w:r>
          </w:p>
        </w:tc>
        <w:tc>
          <w:tcPr>
            <w:tcW w:type="dxa" w:w="6214"/>
          </w:tcPr>
          <w:p>
            <w:pPr>
              <w:pStyle w:val="Compact"/>
              <w:spacing w:after="20" w:before="20"/>
              <w:jc w:val="left"/>
            </w:pPr>
            <w:r>
              <w:rPr>
                <w:sz w:val="18"/>
              </w:rPr>
              <w:t xml:space="preserve">Reminders are in-app only</w:t>
            </w:r>
          </w:p>
        </w:tc>
      </w:tr>
    </w:tbl>
    <w:p>
      <w:pPr>
        <w:pStyle w:val="BodyText"/>
      </w:pPr>
      <w:r>
        <w:t xml:space="preserve">WealthWise is a record-keeping and analysis tool. It gives no financial advice and stores no real bank credentials.</w:t>
      </w:r>
    </w:p>
    <w:bookmarkEnd w:id="24"/>
    <w:bookmarkStart w:id="25" w:name="audience"/>
    <w:p>
      <w:pPr>
        <w:pStyle w:val="Heading2"/>
      </w:pPr>
      <w:r>
        <w:t xml:space="preserve">1.3 Audience</w:t>
      </w:r>
    </w:p>
    <w:p>
      <w:pPr>
        <w:pStyle w:val="FirstParagraph"/>
      </w:pPr>
      <w:r>
        <w:t xml:space="preserve">Developers, QA engineers, system integrators, the course instructor and assessment evaluators, and the WealthWise project team.</w:t>
      </w:r>
    </w:p>
    <w:bookmarkEnd w:id="25"/>
    <w:bookmarkStart w:id="26" w:name="definitions"/>
    <w:p>
      <w:pPr>
        <w:pStyle w:val="Heading2"/>
      </w:pPr>
      <w:r>
        <w:t xml:space="preserve">1.4 Definitions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78"/>
        <w:gridCol w:w="7925"/>
      </w:tblGrid>
      <w:tr>
        <w:trPr>
          <w:tblHeader w:val="true"/>
          <w:tblHeader w:val="true"/>
        </w:trPr>
        <w:tc>
          <w:tcPr>
            <w:tcW w:type="dxa" w:w="1579"/>
            <w:shd w:val="clear" w:color="auto" w:fill="DCE6F1"/>
          </w:tcPr>
          <w:p>
            <w:pPr>
              <w:pStyle w:val="Compact"/>
              <w:spacing w:after="20" w:before="20"/>
              <w:jc w:val="left"/>
            </w:pPr>
            <w:r>
              <w:rPr>
                <w:b/>
                <w:sz w:val="18"/>
              </w:rPr>
              <w:t xml:space="preserve">Term</w:t>
            </w:r>
          </w:p>
        </w:tc>
        <w:tc>
          <w:tcPr>
            <w:tcW w:type="dxa" w:w="7925"/>
            <w:shd w:val="clear" w:color="auto" w:fill="DCE6F1"/>
          </w:tcPr>
          <w:p>
            <w:pPr>
              <w:pStyle w:val="Compact"/>
              <w:spacing w:after="20" w:before="20"/>
              <w:jc w:val="left"/>
            </w:pPr>
            <w:r>
              <w:rPr>
                <w:b/>
                <w:sz w:val="18"/>
              </w:rPr>
              <w:t xml:space="preserve">Meaning</w:t>
            </w:r>
          </w:p>
        </w:tc>
      </w:tr>
      <w:tr>
        <w:tc>
          <w:tcPr>
            <w:tcW w:type="dxa" w:w="1579"/>
          </w:tcPr>
          <w:p>
            <w:pPr>
              <w:pStyle w:val="Compact"/>
              <w:spacing w:after="20" w:before="20"/>
              <w:jc w:val="left"/>
            </w:pPr>
            <w:r>
              <w:rPr>
                <w:sz w:val="18"/>
              </w:rPr>
              <w:t xml:space="preserve">API</w:t>
            </w:r>
          </w:p>
        </w:tc>
        <w:tc>
          <w:tcPr>
            <w:tcW w:type="dxa" w:w="7925"/>
          </w:tcPr>
          <w:p>
            <w:pPr>
              <w:pStyle w:val="Compact"/>
              <w:spacing w:after="20" w:before="20"/>
              <w:jc w:val="left"/>
            </w:pPr>
            <w:r>
              <w:rPr>
                <w:sz w:val="18"/>
              </w:rPr>
              <w:t xml:space="preserve">Application Programming Interface (here, HTTP/JSON endpoints under</w:t>
            </w:r>
            <w:r>
              <w:rPr>
                <w:sz w:val="18"/>
              </w:rPr>
              <w:t xml:space="preserve"> </w:t>
            </w:r>
            <w:r>
              <w:rPr>
                <w:rStyle w:val="VerbatimChar"/>
                <w:sz w:val="18"/>
              </w:rPr>
              <w:t xml:space="preserve">/api</w:t>
            </w:r>
            <w:r>
              <w:rPr>
                <w:sz w:val="18"/>
              </w:rPr>
              <w:t xml:space="preserve">)</w:t>
            </w:r>
          </w:p>
        </w:tc>
      </w:tr>
      <w:tr>
        <w:tc>
          <w:tcPr>
            <w:tcW w:type="dxa" w:w="1579"/>
          </w:tcPr>
          <w:p>
            <w:pPr>
              <w:pStyle w:val="Compact"/>
              <w:spacing w:after="20" w:before="20"/>
              <w:jc w:val="left"/>
            </w:pPr>
            <w:r>
              <w:rPr>
                <w:sz w:val="18"/>
              </w:rPr>
              <w:t xml:space="preserve">AC</w:t>
            </w:r>
          </w:p>
        </w:tc>
        <w:tc>
          <w:tcPr>
            <w:tcW w:type="dxa" w:w="7925"/>
          </w:tcPr>
          <w:p>
            <w:pPr>
              <w:pStyle w:val="Compact"/>
              <w:spacing w:after="20" w:before="20"/>
              <w:jc w:val="left"/>
            </w:pPr>
            <w:r>
              <w:rPr>
                <w:sz w:val="18"/>
              </w:rPr>
              <w:t xml:space="preserve">Acceptance Criterion</w:t>
            </w:r>
          </w:p>
        </w:tc>
      </w:tr>
      <w:tr>
        <w:tc>
          <w:tcPr>
            <w:tcW w:type="dxa" w:w="1579"/>
          </w:tcPr>
          <w:p>
            <w:pPr>
              <w:pStyle w:val="Compact"/>
              <w:spacing w:after="20" w:before="20"/>
              <w:jc w:val="left"/>
            </w:pPr>
            <w:r>
              <w:rPr>
                <w:sz w:val="18"/>
              </w:rPr>
              <w:t xml:space="preserve">bps</w:t>
            </w:r>
          </w:p>
        </w:tc>
        <w:tc>
          <w:tcPr>
            <w:tcW w:type="dxa" w:w="7925"/>
          </w:tcPr>
          <w:p>
            <w:pPr>
              <w:pStyle w:val="Compact"/>
              <w:spacing w:after="20" w:before="20"/>
              <w:jc w:val="left"/>
            </w:pPr>
            <w:r>
              <w:rPr>
                <w:sz w:val="18"/>
              </w:rPr>
              <w:t xml:space="preserve">Basis points (1 bps = 0.01 percentage point)</w:t>
            </w:r>
          </w:p>
        </w:tc>
      </w:tr>
      <w:tr>
        <w:tc>
          <w:tcPr>
            <w:tcW w:type="dxa" w:w="1579"/>
          </w:tcPr>
          <w:p>
            <w:pPr>
              <w:pStyle w:val="Compact"/>
              <w:spacing w:after="20" w:before="20"/>
              <w:jc w:val="left"/>
            </w:pPr>
            <w:r>
              <w:rPr>
                <w:sz w:val="18"/>
              </w:rPr>
              <w:t xml:space="preserve">CSV</w:t>
            </w:r>
          </w:p>
        </w:tc>
        <w:tc>
          <w:tcPr>
            <w:tcW w:type="dxa" w:w="7925"/>
          </w:tcPr>
          <w:p>
            <w:pPr>
              <w:pStyle w:val="Compact"/>
              <w:spacing w:after="20" w:before="20"/>
              <w:jc w:val="left"/>
            </w:pPr>
            <w:r>
              <w:rPr>
                <w:sz w:val="18"/>
              </w:rPr>
              <w:t xml:space="preserve">Comma-Separated Values file (bank statement export)</w:t>
            </w:r>
          </w:p>
        </w:tc>
      </w:tr>
      <w:tr>
        <w:tc>
          <w:tcPr>
            <w:tcW w:type="dxa" w:w="1579"/>
          </w:tcPr>
          <w:p>
            <w:pPr>
              <w:pStyle w:val="Compact"/>
              <w:spacing w:after="20" w:before="20"/>
              <w:jc w:val="left"/>
            </w:pPr>
            <w:r>
              <w:rPr>
                <w:sz w:val="18"/>
              </w:rPr>
              <w:t xml:space="preserve">EMI</w:t>
            </w:r>
          </w:p>
        </w:tc>
        <w:tc>
          <w:tcPr>
            <w:tcW w:type="dxa" w:w="7925"/>
          </w:tcPr>
          <w:p>
            <w:pPr>
              <w:pStyle w:val="Compact"/>
              <w:spacing w:after="20" w:before="20"/>
              <w:jc w:val="left"/>
            </w:pPr>
            <w:r>
              <w:rPr>
                <w:sz w:val="18"/>
              </w:rPr>
              <w:t xml:space="preserve">Equated Monthly Instalment of a loan</w:t>
            </w:r>
          </w:p>
        </w:tc>
      </w:tr>
      <w:tr>
        <w:tc>
          <w:tcPr>
            <w:tcW w:type="dxa" w:w="1579"/>
          </w:tcPr>
          <w:p>
            <w:pPr>
              <w:pStyle w:val="Compact"/>
              <w:spacing w:after="20" w:before="20"/>
              <w:jc w:val="left"/>
            </w:pPr>
            <w:r>
              <w:rPr>
                <w:sz w:val="18"/>
              </w:rPr>
              <w:t xml:space="preserve">EPF / PPF</w:t>
            </w:r>
          </w:p>
        </w:tc>
        <w:tc>
          <w:tcPr>
            <w:tcW w:type="dxa" w:w="7925"/>
          </w:tcPr>
          <w:p>
            <w:pPr>
              <w:pStyle w:val="Compact"/>
              <w:spacing w:after="20" w:before="20"/>
              <w:jc w:val="left"/>
            </w:pPr>
            <w:r>
              <w:rPr>
                <w:sz w:val="18"/>
              </w:rPr>
              <w:t xml:space="preserve">Employees’ Provident Fund / Public Provident Fund</w:t>
            </w:r>
          </w:p>
        </w:tc>
      </w:tr>
      <w:tr>
        <w:tc>
          <w:tcPr>
            <w:tcW w:type="dxa" w:w="1579"/>
          </w:tcPr>
          <w:p>
            <w:pPr>
              <w:pStyle w:val="Compact"/>
              <w:spacing w:after="20" w:before="20"/>
              <w:jc w:val="left"/>
            </w:pPr>
            <w:r>
              <w:rPr>
                <w:sz w:val="18"/>
              </w:rPr>
              <w:t xml:space="preserve">FD</w:t>
            </w:r>
          </w:p>
        </w:tc>
        <w:tc>
          <w:tcPr>
            <w:tcW w:type="dxa" w:w="7925"/>
          </w:tcPr>
          <w:p>
            <w:pPr>
              <w:pStyle w:val="Compact"/>
              <w:spacing w:after="20" w:before="20"/>
              <w:jc w:val="left"/>
            </w:pPr>
            <w:r>
              <w:rPr>
                <w:sz w:val="18"/>
              </w:rPr>
              <w:t xml:space="preserve">Fixed Deposit</w:t>
            </w:r>
          </w:p>
        </w:tc>
      </w:tr>
      <w:tr>
        <w:tc>
          <w:tcPr>
            <w:tcW w:type="dxa" w:w="1579"/>
          </w:tcPr>
          <w:p>
            <w:pPr>
              <w:pStyle w:val="Compact"/>
              <w:spacing w:after="20" w:before="20"/>
              <w:jc w:val="left"/>
            </w:pPr>
            <w:r>
              <w:rPr>
                <w:sz w:val="18"/>
              </w:rPr>
              <w:t xml:space="preserve">FOIR</w:t>
            </w:r>
          </w:p>
        </w:tc>
        <w:tc>
          <w:tcPr>
            <w:tcW w:type="dxa" w:w="7925"/>
          </w:tcPr>
          <w:p>
            <w:pPr>
              <w:pStyle w:val="Compact"/>
              <w:spacing w:after="20" w:before="20"/>
              <w:jc w:val="left"/>
            </w:pPr>
            <w:r>
              <w:rPr>
                <w:sz w:val="18"/>
              </w:rPr>
              <w:t xml:space="preserve">Fixed Obligation to Income Ratio (used in loan eligibility)</w:t>
            </w:r>
          </w:p>
        </w:tc>
      </w:tr>
      <w:tr>
        <w:tc>
          <w:tcPr>
            <w:tcW w:type="dxa" w:w="1579"/>
          </w:tcPr>
          <w:p>
            <w:pPr>
              <w:pStyle w:val="Compact"/>
              <w:spacing w:after="20" w:before="20"/>
              <w:jc w:val="left"/>
            </w:pPr>
            <w:r>
              <w:rPr>
                <w:sz w:val="18"/>
              </w:rPr>
              <w:t xml:space="preserve">FR / NFR</w:t>
            </w:r>
          </w:p>
        </w:tc>
        <w:tc>
          <w:tcPr>
            <w:tcW w:type="dxa" w:w="7925"/>
          </w:tcPr>
          <w:p>
            <w:pPr>
              <w:pStyle w:val="Compact"/>
              <w:spacing w:after="20" w:before="20"/>
              <w:jc w:val="left"/>
            </w:pPr>
            <w:r>
              <w:rPr>
                <w:sz w:val="18"/>
              </w:rPr>
              <w:t xml:space="preserve">Functional Requirement / Non-Functional Requirement</w:t>
            </w:r>
          </w:p>
        </w:tc>
      </w:tr>
      <w:tr>
        <w:tc>
          <w:tcPr>
            <w:tcW w:type="dxa" w:w="1579"/>
          </w:tcPr>
          <w:p>
            <w:pPr>
              <w:pStyle w:val="Compact"/>
              <w:spacing w:after="20" w:before="20"/>
              <w:jc w:val="left"/>
            </w:pPr>
            <w:r>
              <w:rPr>
                <w:sz w:val="18"/>
              </w:rPr>
              <w:t xml:space="preserve">FY</w:t>
            </w:r>
          </w:p>
        </w:tc>
        <w:tc>
          <w:tcPr>
            <w:tcW w:type="dxa" w:w="7925"/>
          </w:tcPr>
          <w:p>
            <w:pPr>
              <w:pStyle w:val="Compact"/>
              <w:spacing w:after="20" w:before="20"/>
              <w:jc w:val="left"/>
            </w:pPr>
            <w:r>
              <w:rPr>
                <w:sz w:val="18"/>
              </w:rPr>
              <w:t xml:space="preserve">Indian financial year, 1 April to 31 March</w:t>
            </w:r>
          </w:p>
        </w:tc>
      </w:tr>
      <w:tr>
        <w:tc>
          <w:tcPr>
            <w:tcW w:type="dxa" w:w="1579"/>
          </w:tcPr>
          <w:p>
            <w:pPr>
              <w:pStyle w:val="Compact"/>
              <w:spacing w:after="20" w:before="20"/>
              <w:jc w:val="left"/>
            </w:pPr>
            <w:r>
              <w:rPr>
                <w:sz w:val="18"/>
              </w:rPr>
              <w:t xml:space="preserve">JWT</w:t>
            </w:r>
          </w:p>
        </w:tc>
        <w:tc>
          <w:tcPr>
            <w:tcW w:type="dxa" w:w="7925"/>
          </w:tcPr>
          <w:p>
            <w:pPr>
              <w:pStyle w:val="Compact"/>
              <w:spacing w:after="20" w:before="20"/>
              <w:jc w:val="left"/>
            </w:pPr>
            <w:r>
              <w:rPr>
                <w:sz w:val="18"/>
              </w:rPr>
              <w:t xml:space="preserve">JSON Web Token (signed session token)</w:t>
            </w:r>
          </w:p>
        </w:tc>
      </w:tr>
      <w:tr>
        <w:tc>
          <w:tcPr>
            <w:tcW w:type="dxa" w:w="1579"/>
          </w:tcPr>
          <w:p>
            <w:pPr>
              <w:pStyle w:val="Compact"/>
              <w:spacing w:after="20" w:before="20"/>
              <w:jc w:val="left"/>
            </w:pPr>
            <w:r>
              <w:rPr>
                <w:sz w:val="18"/>
              </w:rPr>
              <w:t xml:space="preserve">OCR</w:t>
            </w:r>
          </w:p>
        </w:tc>
        <w:tc>
          <w:tcPr>
            <w:tcW w:type="dxa" w:w="7925"/>
          </w:tcPr>
          <w:p>
            <w:pPr>
              <w:pStyle w:val="Compact"/>
              <w:spacing w:after="20" w:before="20"/>
              <w:jc w:val="left"/>
            </w:pPr>
            <w:r>
              <w:rPr>
                <w:sz w:val="18"/>
              </w:rPr>
              <w:t xml:space="preserve">Optical Character Recognition</w:t>
            </w:r>
          </w:p>
        </w:tc>
      </w:tr>
      <w:tr>
        <w:tc>
          <w:tcPr>
            <w:tcW w:type="dxa" w:w="1579"/>
          </w:tcPr>
          <w:p>
            <w:pPr>
              <w:pStyle w:val="Compact"/>
              <w:spacing w:after="20" w:before="20"/>
              <w:jc w:val="left"/>
            </w:pPr>
            <w:r>
              <w:rPr>
                <w:sz w:val="18"/>
              </w:rPr>
              <w:t xml:space="preserve">PAN</w:t>
            </w:r>
          </w:p>
        </w:tc>
        <w:tc>
          <w:tcPr>
            <w:tcW w:type="dxa" w:w="7925"/>
          </w:tcPr>
          <w:p>
            <w:pPr>
              <w:pStyle w:val="Compact"/>
              <w:spacing w:after="20" w:before="20"/>
              <w:jc w:val="left"/>
            </w:pPr>
            <w:r>
              <w:rPr>
                <w:sz w:val="18"/>
              </w:rPr>
              <w:t xml:space="preserve">Permanent Account Number (Indian tax identifier, format ABCDE1234F)</w:t>
            </w:r>
          </w:p>
        </w:tc>
      </w:tr>
      <w:tr>
        <w:tc>
          <w:tcPr>
            <w:tcW w:type="dxa" w:w="1579"/>
          </w:tcPr>
          <w:p>
            <w:pPr>
              <w:pStyle w:val="Compact"/>
              <w:spacing w:after="20" w:before="20"/>
              <w:jc w:val="left"/>
            </w:pPr>
            <w:r>
              <w:rPr>
                <w:sz w:val="18"/>
              </w:rPr>
              <w:t xml:space="preserve">RBI</w:t>
            </w:r>
          </w:p>
        </w:tc>
        <w:tc>
          <w:tcPr>
            <w:tcW w:type="dxa" w:w="7925"/>
          </w:tcPr>
          <w:p>
            <w:pPr>
              <w:pStyle w:val="Compact"/>
              <w:spacing w:after="20" w:before="20"/>
              <w:jc w:val="left"/>
            </w:pPr>
            <w:r>
              <w:rPr>
                <w:sz w:val="18"/>
              </w:rPr>
              <w:t xml:space="preserve">Reserve Bank of India</w:t>
            </w:r>
          </w:p>
        </w:tc>
      </w:tr>
      <w:tr>
        <w:tc>
          <w:tcPr>
            <w:tcW w:type="dxa" w:w="1579"/>
          </w:tcPr>
          <w:p>
            <w:pPr>
              <w:pStyle w:val="Compact"/>
              <w:spacing w:after="20" w:before="20"/>
              <w:jc w:val="left"/>
            </w:pPr>
            <w:r>
              <w:rPr>
                <w:sz w:val="18"/>
              </w:rPr>
              <w:t xml:space="preserve">RSS</w:t>
            </w:r>
          </w:p>
        </w:tc>
        <w:tc>
          <w:tcPr>
            <w:tcW w:type="dxa" w:w="7925"/>
          </w:tcPr>
          <w:p>
            <w:pPr>
              <w:pStyle w:val="Compact"/>
              <w:spacing w:after="20" w:before="20"/>
              <w:jc w:val="left"/>
            </w:pPr>
            <w:r>
              <w:rPr>
                <w:sz w:val="18"/>
              </w:rPr>
              <w:t xml:space="preserve">Really Simple Syndication (news feed format)</w:t>
            </w:r>
          </w:p>
        </w:tc>
      </w:tr>
      <w:tr>
        <w:tc>
          <w:tcPr>
            <w:tcW w:type="dxa" w:w="1579"/>
          </w:tcPr>
          <w:p>
            <w:pPr>
              <w:pStyle w:val="Compact"/>
              <w:spacing w:after="20" w:before="20"/>
              <w:jc w:val="left"/>
            </w:pPr>
            <w:r>
              <w:rPr>
                <w:sz w:val="18"/>
              </w:rPr>
              <w:t xml:space="preserve">RTM</w:t>
            </w:r>
          </w:p>
        </w:tc>
        <w:tc>
          <w:tcPr>
            <w:tcW w:type="dxa" w:w="7925"/>
          </w:tcPr>
          <w:p>
            <w:pPr>
              <w:pStyle w:val="Compact"/>
              <w:spacing w:after="20" w:before="20"/>
              <w:jc w:val="left"/>
            </w:pPr>
            <w:r>
              <w:rPr>
                <w:sz w:val="18"/>
              </w:rPr>
              <w:t xml:space="preserve">Requirements Traceability Matrix</w:t>
            </w:r>
          </w:p>
        </w:tc>
      </w:tr>
      <w:tr>
        <w:tc>
          <w:tcPr>
            <w:tcW w:type="dxa" w:w="1579"/>
          </w:tcPr>
          <w:p>
            <w:pPr>
              <w:pStyle w:val="Compact"/>
              <w:spacing w:after="20" w:before="20"/>
              <w:jc w:val="left"/>
            </w:pPr>
            <w:r>
              <w:rPr>
                <w:sz w:val="18"/>
              </w:rPr>
              <w:t xml:space="preserve">SO / SR</w:t>
            </w:r>
          </w:p>
        </w:tc>
        <w:tc>
          <w:tcPr>
            <w:tcW w:type="dxa" w:w="7925"/>
          </w:tcPr>
          <w:p>
            <w:pPr>
              <w:pStyle w:val="Compact"/>
              <w:spacing w:after="20" w:before="20"/>
              <w:jc w:val="left"/>
            </w:pPr>
            <w:r>
              <w:rPr>
                <w:sz w:val="18"/>
              </w:rPr>
              <w:t xml:space="preserve">Security Objective / Security Requirement</w:t>
            </w:r>
          </w:p>
        </w:tc>
      </w:tr>
      <w:tr>
        <w:tc>
          <w:tcPr>
            <w:tcW w:type="dxa" w:w="1579"/>
          </w:tcPr>
          <w:p>
            <w:pPr>
              <w:pStyle w:val="Compact"/>
              <w:spacing w:after="20" w:before="20"/>
              <w:jc w:val="left"/>
            </w:pPr>
            <w:r>
              <w:rPr>
                <w:sz w:val="18"/>
              </w:rPr>
              <w:t xml:space="preserve">TC</w:t>
            </w:r>
          </w:p>
        </w:tc>
        <w:tc>
          <w:tcPr>
            <w:tcW w:type="dxa" w:w="7925"/>
          </w:tcPr>
          <w:p>
            <w:pPr>
              <w:pStyle w:val="Compact"/>
              <w:spacing w:after="20" w:before="20"/>
              <w:jc w:val="left"/>
            </w:pPr>
            <w:r>
              <w:rPr>
                <w:sz w:val="18"/>
              </w:rPr>
              <w:t xml:space="preserve">Test Case (defined in the STP)</w:t>
            </w:r>
          </w:p>
        </w:tc>
      </w:tr>
      <w:tr>
        <w:tc>
          <w:tcPr>
            <w:tcW w:type="dxa" w:w="1579"/>
          </w:tcPr>
          <w:p>
            <w:pPr>
              <w:pStyle w:val="Compact"/>
              <w:spacing w:after="20" w:before="20"/>
              <w:jc w:val="left"/>
            </w:pPr>
            <w:r>
              <w:rPr>
                <w:sz w:val="18"/>
              </w:rPr>
              <w:t xml:space="preserve">UI</w:t>
            </w:r>
          </w:p>
        </w:tc>
        <w:tc>
          <w:tcPr>
            <w:tcW w:type="dxa" w:w="7925"/>
          </w:tcPr>
          <w:p>
            <w:pPr>
              <w:pStyle w:val="Compact"/>
              <w:spacing w:after="20" w:before="20"/>
              <w:jc w:val="left"/>
            </w:pPr>
            <w:r>
              <w:rPr>
                <w:sz w:val="18"/>
              </w:rPr>
              <w:t xml:space="preserve">User Interface</w:t>
            </w:r>
          </w:p>
        </w:tc>
      </w:tr>
      <w:tr>
        <w:tc>
          <w:tcPr>
            <w:tcW w:type="dxa" w:w="1579"/>
          </w:tcPr>
          <w:p>
            <w:pPr>
              <w:pStyle w:val="Compact"/>
              <w:spacing w:after="20" w:before="20"/>
              <w:jc w:val="left"/>
            </w:pPr>
            <w:r>
              <w:rPr>
                <w:sz w:val="18"/>
              </w:rPr>
              <w:t xml:space="preserve">CMP-xx / SEQ-xx</w:t>
            </w:r>
          </w:p>
        </w:tc>
        <w:tc>
          <w:tcPr>
            <w:tcW w:type="dxa" w:w="7925"/>
          </w:tcPr>
          <w:p>
            <w:pPr>
              <w:pStyle w:val="Compact"/>
              <w:spacing w:after="20" w:before="20"/>
              <w:jc w:val="left"/>
            </w:pPr>
            <w:r>
              <w:rPr>
                <w:sz w:val="18"/>
              </w:rPr>
              <w:t xml:space="preserve">Component and sequence-diagram identifiers defined in the SAD</w:t>
            </w:r>
          </w:p>
        </w:tc>
      </w:tr>
    </w:tbl>
    <w:bookmarkEnd w:id="26"/>
    <w:bookmarkEnd w:id="27"/>
    <w:bookmarkStart w:id="33" w:name="overall-description"/>
    <w:p>
      <w:pPr>
        <w:pStyle w:val="Heading1"/>
      </w:pPr>
      <w:r>
        <w:t xml:space="preserve">2. Overall description</w:t>
      </w:r>
    </w:p>
    <w:bookmarkStart w:id="28" w:name="product-perspective"/>
    <w:p>
      <w:pPr>
        <w:pStyle w:val="Heading2"/>
      </w:pPr>
      <w:r>
        <w:t xml:space="preserve">2.1 Product perspective</w:t>
      </w:r>
    </w:p>
    <w:p>
      <w:pPr>
        <w:pStyle w:val="FirstParagraph"/>
      </w:pPr>
      <w:r>
        <w:t xml:space="preserve">WealthWise is a self-contained, browser-based full-stack web application. Users interact through a web UI; the UI calls the WealthWise HTTP API; the API applies authentication, authorisation and validation and delegates to business logic and data-access modules. All data is held in one relational database (PostgreSQL): users, assets and their valuation history, loans, EMI schedules, transactions, import batches, categorisation rules, document metadata, snapshots, scores, reminders and the cached news feed. Uploaded document and receipt files are kept in private server-side file storage that is not served publicly; files are downloaded only through an authenticated API. The only external system contacted at run time is the public RBI press-release RSS feed. WealthWise does not integrate with banks, bureaus or payment systems (see §1.2).</w:t>
      </w:r>
    </w:p>
    <w:bookmarkEnd w:id="28"/>
    <w:bookmarkStart w:id="29" w:name="major-product-functions"/>
    <w:p>
      <w:pPr>
        <w:pStyle w:val="Heading2"/>
      </w:pPr>
      <w:r>
        <w:t xml:space="preserve">2.2 Major product functions</w:t>
      </w:r>
    </w:p>
    <w:p>
      <w:pPr>
        <w:numPr>
          <w:ilvl w:val="0"/>
          <w:numId w:val="1002"/>
        </w:numPr>
        <w:pStyle w:val="Compact"/>
      </w:pPr>
      <w:r>
        <w:t xml:space="preserve">Register, log in, log out and maintain a signed session; enforce Individual / Advisor roles.</w:t>
      </w:r>
    </w:p>
    <w:p>
      <w:pPr>
        <w:numPr>
          <w:ilvl w:val="0"/>
          <w:numId w:val="1002"/>
        </w:numPr>
        <w:pStyle w:val="Compact"/>
      </w:pPr>
      <w:r>
        <w:t xml:space="preserve">Create, view, update and delete assets; keep a history of valuations.</w:t>
      </w:r>
    </w:p>
    <w:p>
      <w:pPr>
        <w:numPr>
          <w:ilvl w:val="0"/>
          <w:numId w:val="1002"/>
        </w:numPr>
        <w:pStyle w:val="Compact"/>
      </w:pPr>
      <w:r>
        <w:t xml:space="preserve">Create loans and generate the full EMI amortisation schedule automatically; edit, close or delete loans.</w:t>
      </w:r>
    </w:p>
    <w:p>
      <w:pPr>
        <w:numPr>
          <w:ilvl w:val="0"/>
          <w:numId w:val="1002"/>
        </w:numPr>
        <w:pStyle w:val="Compact"/>
      </w:pPr>
      <w:r>
        <w:t xml:space="preserve">Mark EMIs paid atomically (installment, ledger entry and loan closure together); detect overdue installments.</w:t>
      </w:r>
    </w:p>
    <w:p>
      <w:pPr>
        <w:numPr>
          <w:ilvl w:val="0"/>
          <w:numId w:val="1002"/>
        </w:numPr>
        <w:pStyle w:val="Compact"/>
      </w:pPr>
      <w:r>
        <w:t xml:space="preserve">Simulate and apply loan prepayments (reduce tenure or reduce EMI).</w:t>
      </w:r>
    </w:p>
    <w:p>
      <w:pPr>
        <w:numPr>
          <w:ilvl w:val="0"/>
          <w:numId w:val="1002"/>
        </w:numPr>
        <w:pStyle w:val="Compact"/>
      </w:pPr>
      <w:r>
        <w:t xml:space="preserve">Record and search income, expense, asset and loan transactions.</w:t>
      </w:r>
    </w:p>
    <w:p>
      <w:pPr>
        <w:numPr>
          <w:ilvl w:val="0"/>
          <w:numId w:val="1002"/>
        </w:numPr>
        <w:pStyle w:val="Compact"/>
      </w:pPr>
      <w:r>
        <w:t xml:space="preserve">Import bank-statement CSVs with preview, categorisation, de-duplication and atomic commit.</w:t>
      </w:r>
    </w:p>
    <w:p>
      <w:pPr>
        <w:numPr>
          <w:ilvl w:val="0"/>
          <w:numId w:val="1002"/>
        </w:numPr>
        <w:pStyle w:val="Compact"/>
      </w:pPr>
      <w:r>
        <w:t xml:space="preserve">Maintain keyword categorisation rules; scan receipts by OCR and confirm them as expenses.</w:t>
      </w:r>
    </w:p>
    <w:p>
      <w:pPr>
        <w:numPr>
          <w:ilvl w:val="0"/>
          <w:numId w:val="1002"/>
        </w:numPr>
        <w:pStyle w:val="Compact"/>
      </w:pPr>
      <w:r>
        <w:t xml:space="preserve">Store, tag, search and delete documents in a vault.</w:t>
      </w:r>
    </w:p>
    <w:p>
      <w:pPr>
        <w:numPr>
          <w:ilvl w:val="0"/>
          <w:numId w:val="1002"/>
        </w:numPr>
        <w:pStyle w:val="Compact"/>
      </w:pPr>
      <w:r>
        <w:t xml:space="preserve">Show a dashboard of net worth, allocation, payoff progress, dues, cash flow and recurring costs.</w:t>
      </w:r>
    </w:p>
    <w:p>
      <w:pPr>
        <w:numPr>
          <w:ilvl w:val="0"/>
          <w:numId w:val="1002"/>
        </w:numPr>
        <w:pStyle w:val="Compact"/>
      </w:pPr>
      <w:r>
        <w:t xml:space="preserve">Compute a derived credit score, compare loan products and project net worth under what-if scenarios.</w:t>
      </w:r>
    </w:p>
    <w:p>
      <w:pPr>
        <w:numPr>
          <w:ilvl w:val="0"/>
          <w:numId w:val="1002"/>
        </w:numPr>
        <w:pStyle w:val="Compact"/>
      </w:pPr>
      <w:r>
        <w:t xml:space="preserve">Produce financial-year reports and a PDF net worth statement.</w:t>
      </w:r>
    </w:p>
    <w:p>
      <w:pPr>
        <w:numPr>
          <w:ilvl w:val="0"/>
          <w:numId w:val="1002"/>
        </w:numPr>
        <w:pStyle w:val="Compact"/>
      </w:pPr>
      <w:r>
        <w:t xml:space="preserve">Generate in-app EMI reminders; show rate-related news and its impact on the user’s loans.</w:t>
      </w:r>
    </w:p>
    <w:p>
      <w:pPr>
        <w:numPr>
          <w:ilvl w:val="0"/>
          <w:numId w:val="1002"/>
        </w:numPr>
        <w:pStyle w:val="Compact"/>
      </w:pPr>
      <w:r>
        <w:t xml:space="preserve">Let advisors view their assigned clients.</w:t>
      </w:r>
    </w:p>
    <w:bookmarkEnd w:id="29"/>
    <w:bookmarkStart w:id="30" w:name="user-roles-and-characteristics"/>
    <w:p>
      <w:pPr>
        <w:pStyle w:val="Heading2"/>
      </w:pPr>
      <w:r>
        <w:t xml:space="preserve">2.3 User roles and characteristics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31"/>
        <w:gridCol w:w="2747"/>
        <w:gridCol w:w="4924"/>
      </w:tblGrid>
      <w:tr>
        <w:trPr>
          <w:tblHeader w:val="true"/>
          <w:tblHeader w:val="true"/>
        </w:trPr>
        <w:tc>
          <w:tcPr>
            <w:tcW w:type="dxa" w:w="1832"/>
            <w:shd w:val="clear" w:color="auto" w:fill="DCE6F1"/>
          </w:tcPr>
          <w:p>
            <w:pPr>
              <w:pStyle w:val="Compact"/>
              <w:spacing w:after="20" w:before="20"/>
              <w:jc w:val="left"/>
            </w:pPr>
            <w:r>
              <w:rPr>
                <w:b/>
                <w:sz w:val="18"/>
              </w:rPr>
              <w:t xml:space="preserve">Role</w:t>
            </w:r>
          </w:p>
        </w:tc>
        <w:tc>
          <w:tcPr>
            <w:tcW w:type="dxa" w:w="2747"/>
            <w:shd w:val="clear" w:color="auto" w:fill="DCE6F1"/>
          </w:tcPr>
          <w:p>
            <w:pPr>
              <w:pStyle w:val="Compact"/>
              <w:spacing w:after="20" w:before="20"/>
              <w:jc w:val="left"/>
            </w:pPr>
            <w:r>
              <w:rPr>
                <w:b/>
                <w:sz w:val="18"/>
              </w:rPr>
              <w:t xml:space="preserve">Description</w:t>
            </w:r>
          </w:p>
        </w:tc>
        <w:tc>
          <w:tcPr>
            <w:tcW w:type="dxa" w:w="4925"/>
            <w:shd w:val="clear" w:color="auto" w:fill="DCE6F1"/>
          </w:tcPr>
          <w:p>
            <w:pPr>
              <w:pStyle w:val="Compact"/>
              <w:spacing w:after="20" w:before="20"/>
              <w:jc w:val="left"/>
            </w:pPr>
            <w:r>
              <w:rPr>
                <w:b/>
                <w:sz w:val="18"/>
              </w:rPr>
              <w:t xml:space="preserve">Characteristics</w:t>
            </w:r>
          </w:p>
        </w:tc>
      </w:tr>
      <w:tr>
        <w:tc>
          <w:tcPr>
            <w:tcW w:type="dxa" w:w="1832"/>
          </w:tcPr>
          <w:p>
            <w:pPr>
              <w:pStyle w:val="Compact"/>
              <w:spacing w:after="20" w:before="20"/>
              <w:jc w:val="left"/>
            </w:pPr>
            <w:r>
              <w:rPr>
                <w:sz w:val="18"/>
              </w:rPr>
              <w:t xml:space="preserve">Individual User</w:t>
            </w:r>
          </w:p>
        </w:tc>
        <w:tc>
          <w:tcPr>
            <w:tcW w:type="dxa" w:w="2747"/>
          </w:tcPr>
          <w:p>
            <w:pPr>
              <w:pStyle w:val="Compact"/>
              <w:spacing w:after="20" w:before="20"/>
              <w:jc w:val="left"/>
            </w:pPr>
            <w:r>
              <w:rPr>
                <w:sz w:val="18"/>
              </w:rPr>
              <w:t xml:space="preserve">A person managing their own household finances</w:t>
            </w:r>
          </w:p>
        </w:tc>
        <w:tc>
          <w:tcPr>
            <w:tcW w:type="dxa" w:w="4925"/>
          </w:tcPr>
          <w:p>
            <w:pPr>
              <w:pStyle w:val="Compact"/>
              <w:spacing w:after="20" w:before="20"/>
              <w:jc w:val="left"/>
            </w:pPr>
            <w:r>
              <w:rPr>
                <w:sz w:val="18"/>
              </w:rPr>
              <w:t xml:space="preserve">Basic financial literacy; uses the system periodically to record data and review position; not expected to be technical</w:t>
            </w:r>
          </w:p>
        </w:tc>
      </w:tr>
      <w:tr>
        <w:tc>
          <w:tcPr>
            <w:tcW w:type="dxa" w:w="1832"/>
          </w:tcPr>
          <w:p>
            <w:pPr>
              <w:pStyle w:val="Compact"/>
              <w:spacing w:after="20" w:before="20"/>
              <w:jc w:val="left"/>
            </w:pPr>
            <w:r>
              <w:rPr>
                <w:sz w:val="18"/>
              </w:rPr>
              <w:t xml:space="preserve">Advisor</w:t>
            </w:r>
          </w:p>
        </w:tc>
        <w:tc>
          <w:tcPr>
            <w:tcW w:type="dxa" w:w="2747"/>
          </w:tcPr>
          <w:p>
            <w:pPr>
              <w:pStyle w:val="Compact"/>
              <w:spacing w:after="20" w:before="20"/>
              <w:jc w:val="left"/>
            </w:pPr>
            <w:r>
              <w:rPr>
                <w:sz w:val="18"/>
              </w:rPr>
              <w:t xml:space="preserve">A financial advisor with clients assigned to them</w:t>
            </w:r>
          </w:p>
        </w:tc>
        <w:tc>
          <w:tcPr>
            <w:tcW w:type="dxa" w:w="4925"/>
          </w:tcPr>
          <w:p>
            <w:pPr>
              <w:pStyle w:val="Compact"/>
              <w:spacing w:after="20" w:before="20"/>
              <w:jc w:val="left"/>
            </w:pPr>
            <w:r>
              <w:rPr>
                <w:sz w:val="18"/>
              </w:rPr>
              <w:t xml:space="preserve">Has all Individual capabilities for their own account, plus a client overview and read access to assigned clients’ data; may force a refresh of the news feed</w:t>
            </w:r>
          </w:p>
        </w:tc>
      </w:tr>
      <w:tr>
        <w:tc>
          <w:tcPr>
            <w:tcW w:type="dxa" w:w="1832"/>
          </w:tcPr>
          <w:p>
            <w:pPr>
              <w:pStyle w:val="Compact"/>
              <w:spacing w:after="20" w:before="20"/>
              <w:jc w:val="left"/>
            </w:pPr>
            <w:r>
              <w:rPr>
                <w:sz w:val="18"/>
              </w:rPr>
              <w:t xml:space="preserve">External system: RBI RSS feed</w:t>
            </w:r>
          </w:p>
        </w:tc>
        <w:tc>
          <w:tcPr>
            <w:tcW w:type="dxa" w:w="2747"/>
          </w:tcPr>
          <w:p>
            <w:pPr>
              <w:pStyle w:val="Compact"/>
              <w:spacing w:after="20" w:before="20"/>
              <w:jc w:val="left"/>
            </w:pPr>
            <w:r>
              <w:rPr>
                <w:sz w:val="18"/>
              </w:rPr>
              <w:t xml:space="preserve">Public source of press releases</w:t>
            </w:r>
          </w:p>
        </w:tc>
        <w:tc>
          <w:tcPr>
            <w:tcW w:type="dxa" w:w="4925"/>
          </w:tcPr>
          <w:p>
            <w:pPr>
              <w:pStyle w:val="Compact"/>
              <w:spacing w:after="20" w:before="20"/>
              <w:jc w:val="left"/>
            </w:pPr>
            <w:r>
              <w:rPr>
                <w:sz w:val="18"/>
              </w:rPr>
              <w:t xml:space="preserve">Read-only; may be unavailable</w:t>
            </w:r>
          </w:p>
        </w:tc>
      </w:tr>
    </w:tbl>
    <w:bookmarkEnd w:id="30"/>
    <w:bookmarkStart w:id="31" w:name="operating-environment"/>
    <w:p>
      <w:pPr>
        <w:pStyle w:val="Heading2"/>
      </w:pPr>
      <w:r>
        <w:t xml:space="preserve">2.4 Operating environment</w:t>
      </w:r>
    </w:p>
    <w:p>
      <w:pPr>
        <w:numPr>
          <w:ilvl w:val="0"/>
          <w:numId w:val="1003"/>
        </w:numPr>
        <w:pStyle w:val="Compact"/>
      </w:pPr>
      <w:r>
        <w:rPr>
          <w:bCs/>
          <w:b/>
        </w:rPr>
        <w:t xml:space="preserve">Server:</w:t>
      </w:r>
      <w:r>
        <w:t xml:space="preserve"> </w:t>
      </w:r>
      <w:r>
        <w:t xml:space="preserve">Node.js 20 or later (Node.js 22 used in continuous integration) running the Next.js 14 application; PostgreSQL 14 or later (16 recommended); a writable directory for uploaded files.</w:t>
      </w:r>
    </w:p>
    <w:p>
      <w:pPr>
        <w:numPr>
          <w:ilvl w:val="0"/>
          <w:numId w:val="1003"/>
        </w:numPr>
        <w:pStyle w:val="Compact"/>
      </w:pPr>
      <w:r>
        <w:rPr>
          <w:bCs/>
          <w:b/>
        </w:rPr>
        <w:t xml:space="preserve">Client:</w:t>
      </w:r>
      <w:r>
        <w:t xml:space="preserve"> </w:t>
      </w:r>
      <w:r>
        <w:t xml:space="preserve">a current desktop or mobile web browser with JavaScript and cookies enabled. The system was verified on current Chromium-based browsers (Google Chrome, Microsoft Edge); a formal list of supported browsers and versions is</w:t>
      </w:r>
      <w:r>
        <w:t xml:space="preserve"> </w:t>
      </w:r>
      <w:r>
        <w:rPr>
          <w:iCs/>
          <w:i/>
        </w:rPr>
        <w:t xml:space="preserve">To be confirmed</w:t>
      </w:r>
      <w:r>
        <w:t xml:space="preserve">.</w:t>
      </w:r>
    </w:p>
    <w:p>
      <w:pPr>
        <w:numPr>
          <w:ilvl w:val="0"/>
          <w:numId w:val="1003"/>
        </w:numPr>
        <w:pStyle w:val="Compact"/>
      </w:pPr>
      <w:r>
        <w:rPr>
          <w:bCs/>
          <w:b/>
        </w:rPr>
        <w:t xml:space="preserve">Hosting / deployment environment:</w:t>
      </w:r>
      <w:r>
        <w:t xml:space="preserve"> </w:t>
      </w:r>
      <w:r>
        <w:rPr>
          <w:iCs/>
          <w:i/>
        </w:rPr>
        <w:t xml:space="preserve">To be confirmed</w:t>
      </w:r>
      <w:r>
        <w:t xml:space="preserve"> </w:t>
      </w:r>
      <w:r>
        <w:t xml:space="preserve">(the system is currently run on a developer machine or lab server).</w:t>
      </w:r>
    </w:p>
    <w:bookmarkEnd w:id="31"/>
    <w:bookmarkStart w:id="32" w:name="constraints"/>
    <w:p>
      <w:pPr>
        <w:pStyle w:val="Heading2"/>
      </w:pPr>
      <w:r>
        <w:t xml:space="preserve">2.5 Constraints</w:t>
      </w:r>
    </w:p>
    <w:p>
      <w:pPr>
        <w:numPr>
          <w:ilvl w:val="0"/>
          <w:numId w:val="1004"/>
        </w:numPr>
        <w:pStyle w:val="Compact"/>
      </w:pPr>
      <w:r>
        <w:t xml:space="preserve">Implemented in TypeScript on Next.js (React) with PostgreSQL, as chosen by the team.</w:t>
      </w:r>
    </w:p>
    <w:p>
      <w:pPr>
        <w:numPr>
          <w:ilvl w:val="0"/>
          <w:numId w:val="1004"/>
        </w:numPr>
        <w:pStyle w:val="Compact"/>
      </w:pPr>
      <w:r>
        <w:t xml:space="preserve">All monetary values are held with exact decimal arithmetic (</w:t>
      </w:r>
      <w:r>
        <w:rPr>
          <w:rStyle w:val="VerbatimChar"/>
        </w:rPr>
        <w:t xml:space="preserve">NUMERIC(15,2)</w:t>
      </w:r>
      <w:r>
        <w:t xml:space="preserve">), never binary floating point.</w:t>
      </w:r>
    </w:p>
    <w:p>
      <w:pPr>
        <w:numPr>
          <w:ilvl w:val="0"/>
          <w:numId w:val="1004"/>
        </w:numPr>
        <w:pStyle w:val="Compact"/>
      </w:pPr>
      <w:r>
        <w:t xml:space="preserve">All credentials and secrets are supplied through environment variables; none may be hard-coded.</w:t>
      </w:r>
    </w:p>
    <w:p>
      <w:pPr>
        <w:numPr>
          <w:ilvl w:val="0"/>
          <w:numId w:val="1004"/>
        </w:numPr>
        <w:pStyle w:val="Compact"/>
      </w:pPr>
      <w:r>
        <w:t xml:space="preserve">Indian conventions apply: amounts in rupees (₹) with Indian digit grouping, dates in Indian formats on import, April–March financial year, PAN format ABCDE1234F.</w:t>
      </w:r>
    </w:p>
    <w:p>
      <w:pPr>
        <w:numPr>
          <w:ilvl w:val="0"/>
          <w:numId w:val="1004"/>
        </w:numPr>
        <w:pStyle w:val="Compact"/>
      </w:pPr>
      <w:r>
        <w:t xml:space="preserve">No real money movement, bureau scores or bank connections (see §1.2).</w:t>
      </w:r>
    </w:p>
    <w:p>
      <w:pPr>
        <w:numPr>
          <w:ilvl w:val="0"/>
          <w:numId w:val="1004"/>
        </w:numPr>
        <w:pStyle w:val="Compact"/>
      </w:pPr>
      <w:r>
        <w:t xml:space="preserve">Receipt OCR must run on the server with a bundled English language model (no third-party OCR service).</w:t>
      </w:r>
    </w:p>
    <w:bookmarkEnd w:id="32"/>
    <w:bookmarkEnd w:id="33"/>
    <w:bookmarkStart w:id="38" w:name="external-interface-requirements"/>
    <w:p>
      <w:pPr>
        <w:pStyle w:val="Heading1"/>
      </w:pPr>
      <w:r>
        <w:t xml:space="preserve">3. External interface requirements</w:t>
      </w:r>
    </w:p>
    <w:bookmarkStart w:id="34" w:name="user-interfaces"/>
    <w:p>
      <w:pPr>
        <w:pStyle w:val="Heading2"/>
      </w:pPr>
      <w:r>
        <w:t xml:space="preserve">3.1 User interfaces</w:t>
      </w:r>
    </w:p>
    <w:p>
      <w:pPr>
        <w:numPr>
          <w:ilvl w:val="0"/>
          <w:numId w:val="1005"/>
        </w:numPr>
        <w:pStyle w:val="Compact"/>
      </w:pPr>
      <w:r>
        <w:t xml:space="preserve">A responsive web UI with a persistent navigation bar: Dashboard, Assets, Loans, Dues, Ledger, Import, Receipts, Vault, Insights, Projection, Reports, News and Advisor (Individuals choose their advisor there; Advisors see their clients); plus a notification bell with unread count and a light/dark theme switch.</w:t>
      </w:r>
    </w:p>
    <w:p>
      <w:pPr>
        <w:numPr>
          <w:ilvl w:val="0"/>
          <w:numId w:val="1005"/>
        </w:numPr>
        <w:pStyle w:val="Compact"/>
      </w:pPr>
      <w:r>
        <w:t xml:space="preserve">Public pages: Login and Sign-up. All other pages require an authenticated session and redirect to Login otherwise.</w:t>
      </w:r>
    </w:p>
    <w:p>
      <w:pPr>
        <w:numPr>
          <w:ilvl w:val="0"/>
          <w:numId w:val="1005"/>
        </w:numPr>
        <w:pStyle w:val="Compact"/>
      </w:pPr>
      <w:r>
        <w:t xml:space="preserve">Forms display field-level validation messages returned by the API.</w:t>
      </w:r>
    </w:p>
    <w:p>
      <w:pPr>
        <w:numPr>
          <w:ilvl w:val="0"/>
          <w:numId w:val="1005"/>
        </w:numPr>
        <w:pStyle w:val="Compact"/>
      </w:pPr>
      <w:r>
        <w:t xml:space="preserve">Light and dark themes; the chosen theme persists in the browser.</w:t>
      </w:r>
    </w:p>
    <w:p>
      <w:pPr>
        <w:numPr>
          <w:ilvl w:val="0"/>
          <w:numId w:val="1005"/>
        </w:numPr>
        <w:pStyle w:val="Compact"/>
      </w:pPr>
      <w:r>
        <w:t xml:space="preserve">Monetary amounts use the ₹ symbol and Indian digit grouping (e.g. ₹92,00,000; ₹1.06 Cr) in a tabular (fixed-width digit) font.</w:t>
      </w:r>
    </w:p>
    <w:p>
      <w:pPr>
        <w:numPr>
          <w:ilvl w:val="0"/>
          <w:numId w:val="1005"/>
        </w:numPr>
        <w:pStyle w:val="Compact"/>
      </w:pPr>
      <w:r>
        <w:t xml:space="preserve">Charts always carry a legend, direct labels or an accompanying data table, so colour is never the only channel of information.</w:t>
      </w:r>
    </w:p>
    <w:bookmarkEnd w:id="34"/>
    <w:bookmarkStart w:id="35" w:name="hardware-interfaces"/>
    <w:p>
      <w:pPr>
        <w:pStyle w:val="Heading2"/>
      </w:pPr>
      <w:r>
        <w:t xml:space="preserve">3.2 Hardware interfaces</w:t>
      </w:r>
    </w:p>
    <w:p>
      <w:pPr>
        <w:pStyle w:val="FirstParagraph"/>
      </w:pPr>
      <w:r>
        <w:t xml:space="preserve">WealthWise has no dedicated hardware. Users need a device capable of running a web browser. Receipt images are supplied as image files (for example a phone camera photo) through the browser’s file picker. Server hardware requirements are</w:t>
      </w:r>
      <w:r>
        <w:t xml:space="preserve"> </w:t>
      </w:r>
      <w:r>
        <w:rPr>
          <w:iCs/>
          <w:i/>
        </w:rPr>
        <w:t xml:space="preserve">To be confirmed</w:t>
      </w:r>
      <w:r>
        <w:t xml:space="preserve">.</w:t>
      </w:r>
    </w:p>
    <w:bookmarkEnd w:id="35"/>
    <w:bookmarkStart w:id="36" w:name="software-interfaces"/>
    <w:p>
      <w:pPr>
        <w:pStyle w:val="Heading2"/>
      </w:pPr>
      <w:r>
        <w:t xml:space="preserve">3.3 Software interfaces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825"/>
        <w:gridCol w:w="2612"/>
        <w:gridCol w:w="3066"/>
      </w:tblGrid>
      <w:tr>
        <w:trPr>
          <w:tblHeader w:val="true"/>
          <w:tblHeader w:val="true"/>
        </w:trPr>
        <w:tc>
          <w:tcPr>
            <w:tcW w:type="dxa" w:w="3825"/>
            <w:shd w:val="clear" w:color="auto" w:fill="DCE6F1"/>
          </w:tcPr>
          <w:p>
            <w:pPr>
              <w:pStyle w:val="Compact"/>
              <w:spacing w:after="20" w:before="20"/>
              <w:jc w:val="left"/>
            </w:pPr>
            <w:r>
              <w:rPr>
                <w:b/>
                <w:sz w:val="18"/>
              </w:rPr>
              <w:t xml:space="preserve">Interface</w:t>
            </w:r>
          </w:p>
        </w:tc>
        <w:tc>
          <w:tcPr>
            <w:tcW w:type="dxa" w:w="2612"/>
            <w:shd w:val="clear" w:color="auto" w:fill="DCE6F1"/>
          </w:tcPr>
          <w:p>
            <w:pPr>
              <w:pStyle w:val="Compact"/>
              <w:spacing w:after="20" w:before="20"/>
              <w:jc w:val="left"/>
            </w:pPr>
            <w:r>
              <w:rPr>
                <w:b/>
                <w:sz w:val="18"/>
              </w:rPr>
              <w:t xml:space="preserve">Purpose</w:t>
            </w:r>
          </w:p>
        </w:tc>
        <w:tc>
          <w:tcPr>
            <w:tcW w:type="dxa" w:w="3067"/>
            <w:shd w:val="clear" w:color="auto" w:fill="DCE6F1"/>
          </w:tcPr>
          <w:p>
            <w:pPr>
              <w:pStyle w:val="Compact"/>
              <w:spacing w:after="20" w:before="20"/>
              <w:jc w:val="left"/>
            </w:pPr>
            <w:r>
              <w:rPr>
                <w:b/>
                <w:sz w:val="18"/>
              </w:rPr>
              <w:t xml:space="preserve">Notes</w:t>
            </w:r>
          </w:p>
        </w:tc>
      </w:tr>
      <w:tr>
        <w:tc>
          <w:tcPr>
            <w:tcW w:type="dxa" w:w="3825"/>
          </w:tcPr>
          <w:p>
            <w:pPr>
              <w:pStyle w:val="Compact"/>
              <w:spacing w:after="20" w:before="20"/>
              <w:jc w:val="left"/>
            </w:pPr>
            <w:r>
              <w:rPr>
                <w:sz w:val="18"/>
              </w:rPr>
              <w:t xml:space="preserve">PostgreSQL (via</w:t>
            </w:r>
            <w:r>
              <w:rPr>
                <w:sz w:val="18"/>
              </w:rPr>
              <w:t xml:space="preserve"> </w:t>
            </w:r>
            <w:r>
              <w:rPr>
                <w:rStyle w:val="VerbatimChar"/>
                <w:sz w:val="18"/>
              </w:rPr>
              <w:t xml:space="preserve">pg</w:t>
            </w:r>
            <w:r>
              <w:rPr>
                <w:sz w:val="18"/>
              </w:rPr>
              <w:t xml:space="preserve"> </w:t>
            </w:r>
            <w:r>
              <w:rPr>
                <w:sz w:val="18"/>
              </w:rPr>
              <w:t xml:space="preserve">driver, parameterised SQL)</w:t>
            </w:r>
          </w:p>
        </w:tc>
        <w:tc>
          <w:tcPr>
            <w:tcW w:type="dxa" w:w="2612"/>
          </w:tcPr>
          <w:p>
            <w:pPr>
              <w:pStyle w:val="Compact"/>
              <w:spacing w:after="20" w:before="20"/>
              <w:jc w:val="left"/>
            </w:pPr>
            <w:r>
              <w:rPr>
                <w:sz w:val="18"/>
              </w:rPr>
              <w:t xml:space="preserve">System of record for all data, including valuation history, import batches, document metadata and the news cache</w:t>
            </w:r>
          </w:p>
        </w:tc>
        <w:tc>
          <w:tcPr>
            <w:tcW w:type="dxa" w:w="3067"/>
          </w:tcPr>
          <w:p>
            <w:pPr>
              <w:pStyle w:val="Compact"/>
              <w:spacing w:after="20" w:before="20"/>
              <w:jc w:val="left"/>
            </w:pPr>
            <w:r>
              <w:rPr>
                <w:sz w:val="18"/>
              </w:rPr>
              <w:t xml:space="preserve">Required</w:t>
            </w:r>
          </w:p>
        </w:tc>
      </w:tr>
      <w:tr>
        <w:tc>
          <w:tcPr>
            <w:tcW w:type="dxa" w:w="3825"/>
          </w:tcPr>
          <w:p>
            <w:pPr>
              <w:pStyle w:val="Compact"/>
              <w:spacing w:after="20" w:before="20"/>
              <w:jc w:val="left"/>
            </w:pPr>
            <w:r>
              <w:rPr>
                <w:sz w:val="18"/>
              </w:rPr>
              <w:t xml:space="preserve">Private server file storage (</w:t>
            </w:r>
            <w:r>
              <w:rPr>
                <w:rStyle w:val="VerbatimChar"/>
                <w:sz w:val="18"/>
              </w:rPr>
              <w:t xml:space="preserve">uploads/</w:t>
            </w:r>
            <w:r>
              <w:rPr>
                <w:sz w:val="18"/>
              </w:rPr>
              <w:t xml:space="preserve">, configurable with</w:t>
            </w:r>
            <w:r>
              <w:rPr>
                <w:sz w:val="18"/>
              </w:rPr>
              <w:t xml:space="preserve"> </w:t>
            </w:r>
            <w:r>
              <w:rPr>
                <w:rStyle w:val="VerbatimChar"/>
                <w:sz w:val="18"/>
              </w:rPr>
              <w:t xml:space="preserve">UPLOAD_DIR</w:t>
            </w:r>
            <w:r>
              <w:rPr>
                <w:sz w:val="18"/>
              </w:rPr>
              <w:t xml:space="preserve">)</w:t>
            </w:r>
          </w:p>
        </w:tc>
        <w:tc>
          <w:tcPr>
            <w:tcW w:type="dxa" w:w="2612"/>
          </w:tcPr>
          <w:p>
            <w:pPr>
              <w:pStyle w:val="Compact"/>
              <w:spacing w:after="20" w:before="20"/>
              <w:jc w:val="left"/>
            </w:pPr>
            <w:r>
              <w:rPr>
                <w:sz w:val="18"/>
              </w:rPr>
              <w:t xml:space="preserve">Uploaded document and receipt files</w:t>
            </w:r>
          </w:p>
        </w:tc>
        <w:tc>
          <w:tcPr>
            <w:tcW w:type="dxa" w:w="3067"/>
          </w:tcPr>
          <w:p>
            <w:pPr>
              <w:pStyle w:val="Compact"/>
              <w:spacing w:after="20" w:before="20"/>
              <w:jc w:val="left"/>
            </w:pPr>
            <w:r>
              <w:rPr>
                <w:sz w:val="18"/>
              </w:rPr>
              <w:t xml:space="preserve">Generated file names; never served directly; vault reports unavailable if not writable</w:t>
            </w:r>
          </w:p>
        </w:tc>
      </w:tr>
      <w:tr>
        <w:tc>
          <w:tcPr>
            <w:tcW w:type="dxa" w:w="3825"/>
          </w:tcPr>
          <w:p>
            <w:pPr>
              <w:pStyle w:val="Compact"/>
              <w:spacing w:after="20" w:before="20"/>
              <w:jc w:val="left"/>
            </w:pPr>
            <w:r>
              <w:rPr>
                <w:sz w:val="18"/>
              </w:rPr>
              <w:t xml:space="preserve">RBI press-release RSS feed (</w:t>
            </w:r>
            <w:r>
              <w:rPr>
                <w:rStyle w:val="VerbatimChar"/>
                <w:sz w:val="18"/>
              </w:rPr>
              <w:t xml:space="preserve">https://www.rbi.org.in/pressreleases_rss.xml</w:t>
            </w:r>
            <w:r>
              <w:rPr>
                <w:sz w:val="18"/>
              </w:rPr>
              <w:t xml:space="preserve">)</w:t>
            </w:r>
          </w:p>
        </w:tc>
        <w:tc>
          <w:tcPr>
            <w:tcW w:type="dxa" w:w="2612"/>
          </w:tcPr>
          <w:p>
            <w:pPr>
              <w:pStyle w:val="Compact"/>
              <w:spacing w:after="20" w:before="20"/>
              <w:jc w:val="left"/>
            </w:pPr>
            <w:r>
              <w:rPr>
                <w:sz w:val="18"/>
              </w:rPr>
              <w:t xml:space="preserve">Source of news articles</w:t>
            </w:r>
          </w:p>
        </w:tc>
        <w:tc>
          <w:tcPr>
            <w:tcW w:type="dxa" w:w="3067"/>
          </w:tcPr>
          <w:p>
            <w:pPr>
              <w:pStyle w:val="Compact"/>
              <w:spacing w:after="20" w:before="20"/>
              <w:jc w:val="left"/>
            </w:pPr>
            <w:r>
              <w:rPr>
                <w:sz w:val="18"/>
              </w:rPr>
              <w:t xml:space="preserve">Read-only; illustrative sample articles shown when unavailable</w:t>
            </w:r>
          </w:p>
        </w:tc>
      </w:tr>
      <w:tr>
        <w:tc>
          <w:tcPr>
            <w:tcW w:type="dxa" w:w="3825"/>
          </w:tcPr>
          <w:p>
            <w:pPr>
              <w:pStyle w:val="Compact"/>
              <w:spacing w:after="20" w:before="20"/>
              <w:jc w:val="left"/>
            </w:pPr>
            <w:r>
              <w:rPr>
                <w:sz w:val="18"/>
              </w:rPr>
              <w:t xml:space="preserve">Tesseract OCR library (server-side, bundled English model)</w:t>
            </w:r>
          </w:p>
        </w:tc>
        <w:tc>
          <w:tcPr>
            <w:tcW w:type="dxa" w:w="2612"/>
          </w:tcPr>
          <w:p>
            <w:pPr>
              <w:pStyle w:val="Compact"/>
              <w:spacing w:after="20" w:before="20"/>
              <w:jc w:val="left"/>
            </w:pPr>
            <w:r>
              <w:rPr>
                <w:sz w:val="18"/>
              </w:rPr>
              <w:t xml:space="preserve">Receipt text extraction</w:t>
            </w:r>
          </w:p>
        </w:tc>
        <w:tc>
          <w:tcPr>
            <w:tcW w:type="dxa" w:w="3067"/>
          </w:tcPr>
          <w:p>
            <w:pPr>
              <w:pStyle w:val="Compact"/>
              <w:spacing w:after="20" w:before="20"/>
              <w:jc w:val="left"/>
            </w:pPr>
            <w:r>
              <w:rPr>
                <w:sz w:val="18"/>
              </w:rPr>
              <w:t xml:space="preserve">No external OCR service</w:t>
            </w:r>
          </w:p>
        </w:tc>
      </w:tr>
      <w:tr>
        <w:tc>
          <w:tcPr>
            <w:tcW w:type="dxa" w:w="3825"/>
          </w:tcPr>
          <w:p>
            <w:pPr>
              <w:pStyle w:val="Compact"/>
              <w:spacing w:after="20" w:before="20"/>
              <w:jc w:val="left"/>
            </w:pPr>
            <w:r>
              <w:rPr>
                <w:sz w:val="18"/>
              </w:rPr>
              <w:t xml:space="preserve">PDF generation library (</w:t>
            </w:r>
            <w:r>
              <w:rPr>
                <w:rStyle w:val="VerbatimChar"/>
                <w:sz w:val="18"/>
              </w:rPr>
              <w:t xml:space="preserve">pdfkit</w:t>
            </w:r>
            <w:r>
              <w:rPr>
                <w:sz w:val="18"/>
              </w:rPr>
              <w:t xml:space="preserve">)</w:t>
            </w:r>
          </w:p>
        </w:tc>
        <w:tc>
          <w:tcPr>
            <w:tcW w:type="dxa" w:w="2612"/>
          </w:tcPr>
          <w:p>
            <w:pPr>
              <w:pStyle w:val="Compact"/>
              <w:spacing w:after="20" w:before="20"/>
              <w:jc w:val="left"/>
            </w:pPr>
            <w:r>
              <w:rPr>
                <w:sz w:val="18"/>
              </w:rPr>
              <w:t xml:space="preserve">Net worth statement</w:t>
            </w:r>
          </w:p>
        </w:tc>
        <w:tc>
          <w:tcPr>
            <w:tcW w:type="dxa" w:w="3067"/>
          </w:tcPr>
          <w:p>
            <w:pPr>
              <w:pStyle w:val="Compact"/>
              <w:spacing w:after="20" w:before="20"/>
              <w:jc w:val="left"/>
            </w:pPr>
            <w:r>
              <w:rPr>
                <w:sz w:val="18"/>
              </w:rPr>
              <w:t xml:space="preserve">Built-in Helvetica font; amounts written as</w:t>
            </w:r>
            <w:r>
              <w:rPr>
                <w:sz w:val="18"/>
              </w:rPr>
              <w:t xml:space="preserve"> </w:t>
            </w:r>
            <w:r>
              <w:rPr>
                <w:sz w:val="18"/>
              </w:rPr>
              <w:t xml:space="preserve">“</w:t>
            </w:r>
            <w:r>
              <w:rPr>
                <w:sz w:val="18"/>
              </w:rPr>
              <w:t xml:space="preserve">Rs.</w:t>
            </w:r>
            <w:r>
              <w:rPr>
                <w:sz w:val="18"/>
              </w:rPr>
              <w:t xml:space="preserve">”</w:t>
            </w:r>
            <w:r>
              <w:rPr>
                <w:sz w:val="18"/>
              </w:rPr>
              <w:t xml:space="preserve"> </w:t>
            </w:r>
            <w:r>
              <w:rPr>
                <w:sz w:val="18"/>
              </w:rPr>
              <w:t xml:space="preserve">with Indian digit grouping</w:t>
            </w:r>
          </w:p>
        </w:tc>
      </w:tr>
    </w:tbl>
    <w:bookmarkEnd w:id="36"/>
    <w:bookmarkStart w:id="37" w:name="communications"/>
    <w:p>
      <w:pPr>
        <w:pStyle w:val="Heading2"/>
      </w:pPr>
      <w:r>
        <w:t xml:space="preserve">3.4 Communications</w:t>
      </w:r>
    </w:p>
    <w:p>
      <w:pPr>
        <w:numPr>
          <w:ilvl w:val="0"/>
          <w:numId w:val="1006"/>
        </w:numPr>
        <w:pStyle w:val="Compact"/>
      </w:pPr>
      <w:r>
        <w:t xml:space="preserve">Browser ↔ server communication uses HTTP requests carrying JSON or multipart form data; the session is carried in the</w:t>
      </w:r>
      <w:r>
        <w:t xml:space="preserve"> </w:t>
      </w:r>
      <w:r>
        <w:rPr>
          <w:rStyle w:val="VerbatimChar"/>
        </w:rPr>
        <w:t xml:space="preserve">ww_session</w:t>
      </w:r>
      <w:r>
        <w:t xml:space="preserve"> </w:t>
      </w:r>
      <w:r>
        <w:t xml:space="preserve">cookie.</w:t>
      </w:r>
    </w:p>
    <w:p>
      <w:pPr>
        <w:numPr>
          <w:ilvl w:val="0"/>
          <w:numId w:val="1006"/>
        </w:numPr>
        <w:pStyle w:val="Compact"/>
      </w:pPr>
      <w:r>
        <w:t xml:space="preserve">The session cookie is</w:t>
      </w:r>
      <w:r>
        <w:t xml:space="preserve"> </w:t>
      </w:r>
      <w:r>
        <w:rPr>
          <w:rStyle w:val="VerbatimChar"/>
        </w:rPr>
        <w:t xml:space="preserve">httpOnly</w:t>
      </w:r>
      <w:r>
        <w:t xml:space="preserve">,</w:t>
      </w:r>
      <w:r>
        <w:t xml:space="preserve"> </w:t>
      </w:r>
      <w:r>
        <w:rPr>
          <w:rStyle w:val="VerbatimChar"/>
        </w:rPr>
        <w:t xml:space="preserve">SameSite=Lax</w:t>
      </w:r>
      <w:r>
        <w:t xml:space="preserve">, and marked</w:t>
      </w:r>
      <w:r>
        <w:t xml:space="preserve"> </w:t>
      </w:r>
      <w:r>
        <w:rPr>
          <w:rStyle w:val="VerbatimChar"/>
        </w:rPr>
        <w:t xml:space="preserve">Secure</w:t>
      </w:r>
      <w:r>
        <w:t xml:space="preserve"> </w:t>
      </w:r>
      <w:r>
        <w:t xml:space="preserve">in production.</w:t>
      </w:r>
    </w:p>
    <w:p>
      <w:pPr>
        <w:numPr>
          <w:ilvl w:val="0"/>
          <w:numId w:val="1006"/>
        </w:numPr>
        <w:pStyle w:val="Compact"/>
      </w:pPr>
      <w:r>
        <w:t xml:space="preserve">Use of HTTPS/TLS for the deployed system is required in production; the TLS termination point and certificate arrangement are</w:t>
      </w:r>
      <w:r>
        <w:t xml:space="preserve"> </w:t>
      </w:r>
      <w:r>
        <w:rPr>
          <w:iCs/>
          <w:i/>
        </w:rPr>
        <w:t xml:space="preserve">To be confirmed</w:t>
      </w:r>
      <w:r>
        <w:t xml:space="preserve"> </w:t>
      </w:r>
      <w:r>
        <w:t xml:space="preserve">with the deployment environment.</w:t>
      </w:r>
    </w:p>
    <w:p>
      <w:pPr>
        <w:numPr>
          <w:ilvl w:val="0"/>
          <w:numId w:val="1006"/>
        </w:numPr>
        <w:pStyle w:val="Compact"/>
      </w:pPr>
      <w:r>
        <w:t xml:space="preserve">Server ↔ RBI feed: outbound HTTP GET of the RSS document; failures are tolerated.</w:t>
      </w:r>
    </w:p>
    <w:bookmarkEnd w:id="37"/>
    <w:bookmarkEnd w:id="38"/>
    <w:bookmarkStart w:id="50" w:name="system-features-detailed"/>
    <w:p>
      <w:pPr>
        <w:pStyle w:val="Heading1"/>
      </w:pPr>
      <w:r>
        <w:t xml:space="preserve">4. System features (detailed)</w:t>
      </w:r>
    </w:p>
    <w:p>
      <w:pPr>
        <w:pStyle w:val="FirstParagraph"/>
      </w:pPr>
      <w:r>
        <w:t xml:space="preserve">Each requirement below includes acceptance-criteria and test-case references. Functional requirement IDs follow FR-nn; acceptance criteria AC-nn (detailed in §6); test cases TC-nnn are defined in the STP.</w:t>
      </w:r>
    </w:p>
    <w:bookmarkStart w:id="39" w:name="authentication-and-access-control"/>
    <w:p>
      <w:pPr>
        <w:pStyle w:val="Heading2"/>
      </w:pPr>
      <w:r>
        <w:t xml:space="preserve">4.1 Authentication and Access Control</w:t>
      </w:r>
    </w:p>
    <w:p>
      <w:pPr>
        <w:pStyle w:val="FirstParagraph"/>
      </w:pPr>
      <w:r>
        <w:t xml:space="preserve">Description: Allow people to create accounts and sign in; maintain a signed session; restrict features by role.</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26"/>
        <w:gridCol w:w="2381"/>
        <w:gridCol w:w="1247"/>
        <w:gridCol w:w="1014"/>
        <w:gridCol w:w="1335"/>
        <w:gridCol w:w="1326"/>
        <w:gridCol w:w="1472"/>
      </w:tblGrid>
      <w:tr>
        <w:trPr>
          <w:tblHeader w:val="true"/>
          <w:tblHeader w:val="true"/>
        </w:trPr>
        <w:tc>
          <w:tcPr>
            <w:tcW w:type="dxa" w:w="727"/>
            <w:shd w:val="clear" w:color="auto" w:fill="DCE6F1"/>
          </w:tcPr>
          <w:p>
            <w:pPr>
              <w:pStyle w:val="Compact"/>
              <w:spacing w:after="20" w:before="20"/>
              <w:jc w:val="left"/>
            </w:pPr>
            <w:r>
              <w:rPr>
                <w:b/>
                <w:sz w:val="16"/>
              </w:rPr>
              <w:t xml:space="preserve">Req ID</w:t>
            </w:r>
          </w:p>
        </w:tc>
        <w:tc>
          <w:tcPr>
            <w:tcW w:type="dxa" w:w="2382"/>
            <w:shd w:val="clear" w:color="auto" w:fill="DCE6F1"/>
          </w:tcPr>
          <w:p>
            <w:pPr>
              <w:pStyle w:val="Compact"/>
              <w:spacing w:after="20" w:before="20"/>
              <w:jc w:val="left"/>
            </w:pPr>
            <w:r>
              <w:rPr>
                <w:b/>
                <w:sz w:val="16"/>
              </w:rPr>
              <w:t xml:space="preserve">Requirement (shall…)</w:t>
            </w:r>
          </w:p>
        </w:tc>
        <w:tc>
          <w:tcPr>
            <w:tcW w:type="dxa" w:w="1247"/>
            <w:shd w:val="clear" w:color="auto" w:fill="DCE6F1"/>
          </w:tcPr>
          <w:p>
            <w:pPr>
              <w:pStyle w:val="Compact"/>
              <w:spacing w:after="20" w:before="20"/>
              <w:jc w:val="left"/>
            </w:pPr>
            <w:r>
              <w:rPr>
                <w:b/>
                <w:sz w:val="16"/>
              </w:rPr>
              <w:t xml:space="preserve">Type</w:t>
            </w:r>
          </w:p>
        </w:tc>
        <w:tc>
          <w:tcPr>
            <w:tcW w:type="dxa" w:w="1014"/>
            <w:shd w:val="clear" w:color="auto" w:fill="DCE6F1"/>
          </w:tcPr>
          <w:p>
            <w:pPr>
              <w:pStyle w:val="Compact"/>
              <w:spacing w:after="20" w:before="20"/>
              <w:jc w:val="left"/>
            </w:pPr>
            <w:r>
              <w:rPr>
                <w:b/>
                <w:sz w:val="16"/>
              </w:rPr>
              <w:t xml:space="preserve">Priority</w:t>
            </w:r>
          </w:p>
        </w:tc>
        <w:tc>
          <w:tcPr>
            <w:tcW w:type="dxa" w:w="1336"/>
            <w:shd w:val="clear" w:color="auto" w:fill="DCE6F1"/>
          </w:tcPr>
          <w:p>
            <w:pPr>
              <w:pStyle w:val="Compact"/>
              <w:spacing w:after="20" w:before="20"/>
              <w:jc w:val="left"/>
            </w:pPr>
            <w:r>
              <w:rPr>
                <w:b/>
                <w:sz w:val="16"/>
              </w:rPr>
              <w:t xml:space="preserve">Source / Stakeholder</w:t>
            </w:r>
          </w:p>
        </w:tc>
        <w:tc>
          <w:tcPr>
            <w:tcW w:type="dxa" w:w="1327"/>
            <w:shd w:val="clear" w:color="auto" w:fill="DCE6F1"/>
          </w:tcPr>
          <w:p>
            <w:pPr>
              <w:pStyle w:val="Compact"/>
              <w:spacing w:after="20" w:before="20"/>
              <w:jc w:val="left"/>
            </w:pPr>
            <w:r>
              <w:rPr>
                <w:b/>
                <w:sz w:val="16"/>
              </w:rPr>
              <w:t xml:space="preserve">Acceptance criteria / Test case ref</w:t>
            </w:r>
          </w:p>
        </w:tc>
        <w:tc>
          <w:tcPr>
            <w:tcW w:type="dxa" w:w="1472"/>
            <w:shd w:val="clear" w:color="auto" w:fill="DCE6F1"/>
          </w:tcPr>
          <w:p>
            <w:pPr>
              <w:pStyle w:val="Compact"/>
              <w:spacing w:after="20" w:before="20"/>
              <w:jc w:val="left"/>
            </w:pPr>
            <w:r>
              <w:rPr>
                <w:b/>
                <w:sz w:val="16"/>
              </w:rPr>
              <w:t xml:space="preserve">Comments / Dependencies</w:t>
            </w:r>
          </w:p>
        </w:tc>
      </w:tr>
      <w:tr>
        <w:tc>
          <w:tcPr>
            <w:tcW w:type="dxa" w:w="727"/>
          </w:tcPr>
          <w:p>
            <w:pPr>
              <w:pStyle w:val="Compact"/>
              <w:spacing w:after="20" w:before="20"/>
              <w:jc w:val="left"/>
            </w:pPr>
            <w:r>
              <w:rPr>
                <w:sz w:val="16"/>
              </w:rPr>
              <w:t xml:space="preserve">FR-01</w:t>
            </w:r>
          </w:p>
        </w:tc>
        <w:tc>
          <w:tcPr>
            <w:tcW w:type="dxa" w:w="2382"/>
          </w:tcPr>
          <w:p>
            <w:pPr>
              <w:pStyle w:val="Compact"/>
              <w:spacing w:after="20" w:before="20"/>
              <w:jc w:val="left"/>
            </w:pPr>
            <w:r>
              <w:rPr>
                <w:sz w:val="16"/>
              </w:rPr>
              <w:t xml:space="preserve">The system shall allow a visitor to register with name (2–120 chars), email, password (min. 8 chars), role (Individual by default, or Advisor) and an optional PAN in the format ABCDE1234F; on success it shall create the account and start a session.</w:t>
            </w:r>
          </w:p>
        </w:tc>
        <w:tc>
          <w:tcPr>
            <w:tcW w:type="dxa" w:w="1247"/>
          </w:tcPr>
          <w:p>
            <w:pPr>
              <w:pStyle w:val="Compact"/>
              <w:spacing w:after="20" w:before="20"/>
              <w:jc w:val="left"/>
            </w:pPr>
            <w:r>
              <w:rPr>
                <w:sz w:val="16"/>
              </w:rPr>
              <w:t xml:space="preserve">Functional</w:t>
            </w:r>
          </w:p>
        </w:tc>
        <w:tc>
          <w:tcPr>
            <w:tcW w:type="dxa" w:w="1014"/>
          </w:tcPr>
          <w:p>
            <w:pPr>
              <w:pStyle w:val="Compact"/>
              <w:spacing w:after="20" w:before="20"/>
              <w:jc w:val="left"/>
            </w:pPr>
            <w:r>
              <w:rPr>
                <w:sz w:val="16"/>
              </w:rPr>
              <w:t xml:space="preserve">High</w:t>
            </w:r>
          </w:p>
        </w:tc>
        <w:tc>
          <w:tcPr>
            <w:tcW w:type="dxa" w:w="1336"/>
          </w:tcPr>
          <w:p>
            <w:pPr>
              <w:pStyle w:val="Compact"/>
              <w:spacing w:after="20" w:before="20"/>
              <w:jc w:val="left"/>
            </w:pPr>
            <w:r>
              <w:rPr>
                <w:sz w:val="16"/>
              </w:rPr>
              <w:t xml:space="preserve">Users</w:t>
            </w:r>
          </w:p>
        </w:tc>
        <w:tc>
          <w:tcPr>
            <w:tcW w:type="dxa" w:w="1327"/>
          </w:tcPr>
          <w:p>
            <w:pPr>
              <w:pStyle w:val="Compact"/>
              <w:spacing w:after="20" w:before="20"/>
              <w:jc w:val="left"/>
            </w:pPr>
            <w:r>
              <w:rPr>
                <w:sz w:val="16"/>
              </w:rPr>
              <w:t xml:space="preserve">AC-01 · TC-001, TC-002, TC-003, TC-004</w:t>
            </w:r>
          </w:p>
        </w:tc>
        <w:tc>
          <w:tcPr>
            <w:tcW w:type="dxa" w:w="1472"/>
          </w:tcPr>
          <w:p>
            <w:pPr>
              <w:pStyle w:val="Compact"/>
              <w:spacing w:after="20" w:before="20"/>
              <w:jc w:val="left"/>
            </w:pPr>
            <w:r>
              <w:rPr>
                <w:sz w:val="16"/>
              </w:rPr>
              <w:t xml:space="preserve">Email and PAN must be unique; SR-01</w:t>
            </w:r>
          </w:p>
        </w:tc>
      </w:tr>
      <w:tr>
        <w:tc>
          <w:tcPr>
            <w:tcW w:type="dxa" w:w="727"/>
          </w:tcPr>
          <w:p>
            <w:pPr>
              <w:pStyle w:val="Compact"/>
              <w:spacing w:after="20" w:before="20"/>
              <w:jc w:val="left"/>
            </w:pPr>
            <w:r>
              <w:rPr>
                <w:sz w:val="16"/>
              </w:rPr>
              <w:t xml:space="preserve">FR-02</w:t>
            </w:r>
          </w:p>
        </w:tc>
        <w:tc>
          <w:tcPr>
            <w:tcW w:type="dxa" w:w="2382"/>
          </w:tcPr>
          <w:p>
            <w:pPr>
              <w:pStyle w:val="Compact"/>
              <w:spacing w:after="20" w:before="20"/>
              <w:jc w:val="left"/>
            </w:pPr>
            <w:r>
              <w:rPr>
                <w:sz w:val="16"/>
              </w:rPr>
              <w:t xml:space="preserve">The system shall authenticate a user by email and password and, on success, issue a signed session token in a session cookie.</w:t>
            </w:r>
          </w:p>
        </w:tc>
        <w:tc>
          <w:tcPr>
            <w:tcW w:type="dxa" w:w="1247"/>
          </w:tcPr>
          <w:p>
            <w:pPr>
              <w:pStyle w:val="Compact"/>
              <w:spacing w:after="20" w:before="20"/>
              <w:jc w:val="left"/>
            </w:pPr>
            <w:r>
              <w:rPr>
                <w:sz w:val="16"/>
              </w:rPr>
              <w:t xml:space="preserve">Functional</w:t>
            </w:r>
          </w:p>
        </w:tc>
        <w:tc>
          <w:tcPr>
            <w:tcW w:type="dxa" w:w="1014"/>
          </w:tcPr>
          <w:p>
            <w:pPr>
              <w:pStyle w:val="Compact"/>
              <w:spacing w:after="20" w:before="20"/>
              <w:jc w:val="left"/>
            </w:pPr>
            <w:r>
              <w:rPr>
                <w:sz w:val="16"/>
              </w:rPr>
              <w:t xml:space="preserve">High</w:t>
            </w:r>
          </w:p>
        </w:tc>
        <w:tc>
          <w:tcPr>
            <w:tcW w:type="dxa" w:w="1336"/>
          </w:tcPr>
          <w:p>
            <w:pPr>
              <w:pStyle w:val="Compact"/>
              <w:spacing w:after="20" w:before="20"/>
              <w:jc w:val="left"/>
            </w:pPr>
            <w:r>
              <w:rPr>
                <w:sz w:val="16"/>
              </w:rPr>
              <w:t xml:space="preserve">Users / Security</w:t>
            </w:r>
          </w:p>
        </w:tc>
        <w:tc>
          <w:tcPr>
            <w:tcW w:type="dxa" w:w="1327"/>
          </w:tcPr>
          <w:p>
            <w:pPr>
              <w:pStyle w:val="Compact"/>
              <w:spacing w:after="20" w:before="20"/>
              <w:jc w:val="left"/>
            </w:pPr>
            <w:r>
              <w:rPr>
                <w:sz w:val="16"/>
              </w:rPr>
              <w:t xml:space="preserve">AC-02 · TC-005, TC-006</w:t>
            </w:r>
          </w:p>
        </w:tc>
        <w:tc>
          <w:tcPr>
            <w:tcW w:type="dxa" w:w="1472"/>
          </w:tcPr>
          <w:p>
            <w:pPr>
              <w:pStyle w:val="Compact"/>
              <w:spacing w:after="20" w:before="20"/>
              <w:jc w:val="left"/>
            </w:pPr>
            <w:r>
              <w:rPr>
                <w:sz w:val="16"/>
              </w:rPr>
              <w:t xml:space="preserve">SR-01, SR-02, SR-03</w:t>
            </w:r>
          </w:p>
        </w:tc>
      </w:tr>
      <w:tr>
        <w:tc>
          <w:tcPr>
            <w:tcW w:type="dxa" w:w="727"/>
          </w:tcPr>
          <w:p>
            <w:pPr>
              <w:pStyle w:val="Compact"/>
              <w:spacing w:after="20" w:before="20"/>
              <w:jc w:val="left"/>
            </w:pPr>
            <w:r>
              <w:rPr>
                <w:sz w:val="16"/>
              </w:rPr>
              <w:t xml:space="preserve">FR-03</w:t>
            </w:r>
          </w:p>
        </w:tc>
        <w:tc>
          <w:tcPr>
            <w:tcW w:type="dxa" w:w="2382"/>
          </w:tcPr>
          <w:p>
            <w:pPr>
              <w:pStyle w:val="Compact"/>
              <w:spacing w:after="20" w:before="20"/>
              <w:jc w:val="left"/>
            </w:pPr>
            <w:r>
              <w:rPr>
                <w:sz w:val="16"/>
              </w:rPr>
              <w:t xml:space="preserve">The system shall allow a signed-in user to log out, ending the session, and shall report the current signed-in user (or none) on request.</w:t>
            </w:r>
          </w:p>
        </w:tc>
        <w:tc>
          <w:tcPr>
            <w:tcW w:type="dxa" w:w="1247"/>
          </w:tcPr>
          <w:p>
            <w:pPr>
              <w:pStyle w:val="Compact"/>
              <w:spacing w:after="20" w:before="20"/>
              <w:jc w:val="left"/>
            </w:pPr>
            <w:r>
              <w:rPr>
                <w:sz w:val="16"/>
              </w:rPr>
              <w:t xml:space="preserve">Functional</w:t>
            </w:r>
          </w:p>
        </w:tc>
        <w:tc>
          <w:tcPr>
            <w:tcW w:type="dxa" w:w="1014"/>
          </w:tcPr>
          <w:p>
            <w:pPr>
              <w:pStyle w:val="Compact"/>
              <w:spacing w:after="20" w:before="20"/>
              <w:jc w:val="left"/>
            </w:pPr>
            <w:r>
              <w:rPr>
                <w:sz w:val="16"/>
              </w:rPr>
              <w:t xml:space="preserve">High</w:t>
            </w:r>
          </w:p>
        </w:tc>
        <w:tc>
          <w:tcPr>
            <w:tcW w:type="dxa" w:w="1336"/>
          </w:tcPr>
          <w:p>
            <w:pPr>
              <w:pStyle w:val="Compact"/>
              <w:spacing w:after="20" w:before="20"/>
              <w:jc w:val="left"/>
            </w:pPr>
            <w:r>
              <w:rPr>
                <w:sz w:val="16"/>
              </w:rPr>
              <w:t xml:space="preserve">Users</w:t>
            </w:r>
          </w:p>
        </w:tc>
        <w:tc>
          <w:tcPr>
            <w:tcW w:type="dxa" w:w="1327"/>
          </w:tcPr>
          <w:p>
            <w:pPr>
              <w:pStyle w:val="Compact"/>
              <w:spacing w:after="20" w:before="20"/>
              <w:jc w:val="left"/>
            </w:pPr>
            <w:r>
              <w:rPr>
                <w:sz w:val="16"/>
              </w:rPr>
              <w:t xml:space="preserve">AC-03 · TC-007</w:t>
            </w:r>
          </w:p>
        </w:tc>
        <w:tc>
          <w:tcPr>
            <w:tcW w:type="dxa" w:w="1472"/>
          </w:tcPr>
          <w:p>
            <w:pPr>
              <w:pStyle w:val="Compact"/>
              <w:spacing w:after="20" w:before="20"/>
              <w:jc w:val="left"/>
            </w:pPr>
            <w:r>
              <w:rPr>
                <w:sz w:val="16"/>
              </w:rPr>
              <w:t xml:space="preserve">—</w:t>
            </w:r>
          </w:p>
        </w:tc>
      </w:tr>
      <w:tr>
        <w:tc>
          <w:tcPr>
            <w:tcW w:type="dxa" w:w="727"/>
          </w:tcPr>
          <w:p>
            <w:pPr>
              <w:pStyle w:val="Compact"/>
              <w:spacing w:after="20" w:before="20"/>
              <w:jc w:val="left"/>
            </w:pPr>
            <w:r>
              <w:rPr>
                <w:sz w:val="16"/>
              </w:rPr>
              <w:t xml:space="preserve">FR-04</w:t>
            </w:r>
          </w:p>
        </w:tc>
        <w:tc>
          <w:tcPr>
            <w:tcW w:type="dxa" w:w="2382"/>
          </w:tcPr>
          <w:p>
            <w:pPr>
              <w:pStyle w:val="Compact"/>
              <w:spacing w:after="20" w:before="20"/>
              <w:jc w:val="left"/>
            </w:pPr>
            <w:r>
              <w:rPr>
                <w:sz w:val="16"/>
              </w:rPr>
              <w:t xml:space="preserve">The system shall restrict all application pages and APIs (other than sign-up, login, logout and current-user) to authenticated users, and restrict advisor-only functions (client overview, news refresh) to the Advisor role.</w:t>
            </w:r>
          </w:p>
        </w:tc>
        <w:tc>
          <w:tcPr>
            <w:tcW w:type="dxa" w:w="1247"/>
          </w:tcPr>
          <w:p>
            <w:pPr>
              <w:pStyle w:val="Compact"/>
              <w:spacing w:after="20" w:before="20"/>
              <w:jc w:val="left"/>
            </w:pPr>
            <w:r>
              <w:rPr>
                <w:sz w:val="16"/>
              </w:rPr>
              <w:t xml:space="preserve">Functional</w:t>
            </w:r>
          </w:p>
        </w:tc>
        <w:tc>
          <w:tcPr>
            <w:tcW w:type="dxa" w:w="1014"/>
          </w:tcPr>
          <w:p>
            <w:pPr>
              <w:pStyle w:val="Compact"/>
              <w:spacing w:after="20" w:before="20"/>
              <w:jc w:val="left"/>
            </w:pPr>
            <w:r>
              <w:rPr>
                <w:sz w:val="16"/>
              </w:rPr>
              <w:t xml:space="preserve">High</w:t>
            </w:r>
          </w:p>
        </w:tc>
        <w:tc>
          <w:tcPr>
            <w:tcW w:type="dxa" w:w="1336"/>
          </w:tcPr>
          <w:p>
            <w:pPr>
              <w:pStyle w:val="Compact"/>
              <w:spacing w:after="20" w:before="20"/>
              <w:jc w:val="left"/>
            </w:pPr>
            <w:r>
              <w:rPr>
                <w:sz w:val="16"/>
              </w:rPr>
              <w:t xml:space="preserve">Security</w:t>
            </w:r>
          </w:p>
        </w:tc>
        <w:tc>
          <w:tcPr>
            <w:tcW w:type="dxa" w:w="1327"/>
          </w:tcPr>
          <w:p>
            <w:pPr>
              <w:pStyle w:val="Compact"/>
              <w:spacing w:after="20" w:before="20"/>
              <w:jc w:val="left"/>
            </w:pPr>
            <w:r>
              <w:rPr>
                <w:sz w:val="16"/>
              </w:rPr>
              <w:t xml:space="preserve">AC-04 · TC-008, TC-009</w:t>
            </w:r>
          </w:p>
        </w:tc>
        <w:tc>
          <w:tcPr>
            <w:tcW w:type="dxa" w:w="1472"/>
          </w:tcPr>
          <w:p>
            <w:pPr>
              <w:pStyle w:val="Compact"/>
              <w:spacing w:after="20" w:before="20"/>
              <w:jc w:val="left"/>
            </w:pPr>
            <w:r>
              <w:rPr>
                <w:sz w:val="16"/>
              </w:rPr>
              <w:t xml:space="preserve">SR-04</w:t>
            </w:r>
          </w:p>
        </w:tc>
      </w:tr>
    </w:tbl>
    <w:bookmarkEnd w:id="39"/>
    <w:bookmarkStart w:id="40" w:name="asset-management"/>
    <w:p>
      <w:pPr>
        <w:pStyle w:val="Heading2"/>
      </w:pPr>
      <w:r>
        <w:t xml:space="preserve">4.2 Asset Management</w:t>
      </w:r>
    </w:p>
    <w:p>
      <w:pPr>
        <w:pStyle w:val="FirstParagraph"/>
      </w:pPr>
      <w:r>
        <w:t xml:space="preserve">Description: Record what the user owns and how its value changes over time.</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10"/>
        <w:gridCol w:w="2497"/>
        <w:gridCol w:w="1217"/>
        <w:gridCol w:w="1004"/>
        <w:gridCol w:w="1298"/>
        <w:gridCol w:w="1267"/>
        <w:gridCol w:w="1508"/>
      </w:tblGrid>
      <w:tr>
        <w:trPr>
          <w:tblHeader w:val="true"/>
          <w:tblHeader w:val="true"/>
        </w:trPr>
        <w:tc>
          <w:tcPr>
            <w:tcW w:type="dxa" w:w="711"/>
            <w:shd w:val="clear" w:color="auto" w:fill="DCE6F1"/>
          </w:tcPr>
          <w:p>
            <w:pPr>
              <w:pStyle w:val="Compact"/>
              <w:spacing w:after="20" w:before="20"/>
              <w:jc w:val="left"/>
            </w:pPr>
            <w:r>
              <w:rPr>
                <w:b/>
                <w:sz w:val="16"/>
              </w:rPr>
              <w:t xml:space="preserve">Req ID</w:t>
            </w:r>
          </w:p>
        </w:tc>
        <w:tc>
          <w:tcPr>
            <w:tcW w:type="dxa" w:w="2498"/>
            <w:shd w:val="clear" w:color="auto" w:fill="DCE6F1"/>
          </w:tcPr>
          <w:p>
            <w:pPr>
              <w:pStyle w:val="Compact"/>
              <w:spacing w:after="20" w:before="20"/>
              <w:jc w:val="left"/>
            </w:pPr>
            <w:r>
              <w:rPr>
                <w:b/>
                <w:sz w:val="16"/>
              </w:rPr>
              <w:t xml:space="preserve">Requirement (shall…)</w:t>
            </w:r>
          </w:p>
        </w:tc>
        <w:tc>
          <w:tcPr>
            <w:tcW w:type="dxa" w:w="1217"/>
            <w:shd w:val="clear" w:color="auto" w:fill="DCE6F1"/>
          </w:tcPr>
          <w:p>
            <w:pPr>
              <w:pStyle w:val="Compact"/>
              <w:spacing w:after="20" w:before="20"/>
              <w:jc w:val="left"/>
            </w:pPr>
            <w:r>
              <w:rPr>
                <w:b/>
                <w:sz w:val="16"/>
              </w:rPr>
              <w:t xml:space="preserve">Type</w:t>
            </w:r>
          </w:p>
        </w:tc>
        <w:tc>
          <w:tcPr>
            <w:tcW w:type="dxa" w:w="1005"/>
            <w:shd w:val="clear" w:color="auto" w:fill="DCE6F1"/>
          </w:tcPr>
          <w:p>
            <w:pPr>
              <w:pStyle w:val="Compact"/>
              <w:spacing w:after="20" w:before="20"/>
              <w:jc w:val="left"/>
            </w:pPr>
            <w:r>
              <w:rPr>
                <w:b/>
                <w:sz w:val="16"/>
              </w:rPr>
              <w:t xml:space="preserve">Priority</w:t>
            </w:r>
          </w:p>
        </w:tc>
        <w:tc>
          <w:tcPr>
            <w:tcW w:type="dxa" w:w="1298"/>
            <w:shd w:val="clear" w:color="auto" w:fill="DCE6F1"/>
          </w:tcPr>
          <w:p>
            <w:pPr>
              <w:pStyle w:val="Compact"/>
              <w:spacing w:after="20" w:before="20"/>
              <w:jc w:val="left"/>
            </w:pPr>
            <w:r>
              <w:rPr>
                <w:b/>
                <w:sz w:val="16"/>
              </w:rPr>
              <w:t xml:space="preserve">Source / Stakeholder</w:t>
            </w:r>
          </w:p>
        </w:tc>
        <w:tc>
          <w:tcPr>
            <w:tcW w:type="dxa" w:w="1267"/>
            <w:shd w:val="clear" w:color="auto" w:fill="DCE6F1"/>
          </w:tcPr>
          <w:p>
            <w:pPr>
              <w:pStyle w:val="Compact"/>
              <w:spacing w:after="20" w:before="20"/>
              <w:jc w:val="left"/>
            </w:pPr>
            <w:r>
              <w:rPr>
                <w:b/>
                <w:sz w:val="16"/>
              </w:rPr>
              <w:t xml:space="preserve">Acceptance criteria / Test case ref</w:t>
            </w:r>
          </w:p>
        </w:tc>
        <w:tc>
          <w:tcPr>
            <w:tcW w:type="dxa" w:w="1508"/>
            <w:shd w:val="clear" w:color="auto" w:fill="DCE6F1"/>
          </w:tcPr>
          <w:p>
            <w:pPr>
              <w:pStyle w:val="Compact"/>
              <w:spacing w:after="20" w:before="20"/>
              <w:jc w:val="left"/>
            </w:pPr>
            <w:r>
              <w:rPr>
                <w:b/>
                <w:sz w:val="16"/>
              </w:rPr>
              <w:t xml:space="preserve">Comments / Dependencies</w:t>
            </w:r>
          </w:p>
        </w:tc>
      </w:tr>
      <w:tr>
        <w:tc>
          <w:tcPr>
            <w:tcW w:type="dxa" w:w="711"/>
          </w:tcPr>
          <w:p>
            <w:pPr>
              <w:pStyle w:val="Compact"/>
              <w:spacing w:after="20" w:before="20"/>
              <w:jc w:val="left"/>
            </w:pPr>
            <w:r>
              <w:rPr>
                <w:sz w:val="16"/>
              </w:rPr>
              <w:t xml:space="preserve">FR-05</w:t>
            </w:r>
          </w:p>
        </w:tc>
        <w:tc>
          <w:tcPr>
            <w:tcW w:type="dxa" w:w="2498"/>
          </w:tcPr>
          <w:p>
            <w:pPr>
              <w:pStyle w:val="Compact"/>
              <w:spacing w:after="20" w:before="20"/>
              <w:jc w:val="left"/>
            </w:pPr>
            <w:r>
              <w:rPr>
                <w:sz w:val="16"/>
              </w:rPr>
              <w:t xml:space="preserve">The system shall let a user create, list, view, update and delete assets of type gold, property, equity, mutual fund, EPF, PPF, FD, vehicle, cash or other, each with name, liquidity (liquid/illiquid, defaulted by type), purchase value, current value (both ≥ 0), purchase date, valuation date (not before the purchase date) and notes.</w:t>
            </w:r>
          </w:p>
        </w:tc>
        <w:tc>
          <w:tcPr>
            <w:tcW w:type="dxa" w:w="1217"/>
          </w:tcPr>
          <w:p>
            <w:pPr>
              <w:pStyle w:val="Compact"/>
              <w:spacing w:after="20" w:before="20"/>
              <w:jc w:val="left"/>
            </w:pPr>
            <w:r>
              <w:rPr>
                <w:sz w:val="16"/>
              </w:rPr>
              <w:t xml:space="preserve">Functional</w:t>
            </w:r>
          </w:p>
        </w:tc>
        <w:tc>
          <w:tcPr>
            <w:tcW w:type="dxa" w:w="1005"/>
          </w:tcPr>
          <w:p>
            <w:pPr>
              <w:pStyle w:val="Compact"/>
              <w:spacing w:after="20" w:before="20"/>
              <w:jc w:val="left"/>
            </w:pPr>
            <w:r>
              <w:rPr>
                <w:sz w:val="16"/>
              </w:rPr>
              <w:t xml:space="preserve">High</w:t>
            </w:r>
          </w:p>
        </w:tc>
        <w:tc>
          <w:tcPr>
            <w:tcW w:type="dxa" w:w="1298"/>
          </w:tcPr>
          <w:p>
            <w:pPr>
              <w:pStyle w:val="Compact"/>
              <w:spacing w:after="20" w:before="20"/>
              <w:jc w:val="left"/>
            </w:pPr>
            <w:r>
              <w:rPr>
                <w:sz w:val="16"/>
              </w:rPr>
              <w:t xml:space="preserve">Users</w:t>
            </w:r>
          </w:p>
        </w:tc>
        <w:tc>
          <w:tcPr>
            <w:tcW w:type="dxa" w:w="1267"/>
          </w:tcPr>
          <w:p>
            <w:pPr>
              <w:pStyle w:val="Compact"/>
              <w:spacing w:after="20" w:before="20"/>
              <w:jc w:val="left"/>
            </w:pPr>
            <w:r>
              <w:rPr>
                <w:sz w:val="16"/>
              </w:rPr>
              <w:t xml:space="preserve">AC-05 · TC-010, TC-011, TC-012, TC-014</w:t>
            </w:r>
          </w:p>
        </w:tc>
        <w:tc>
          <w:tcPr>
            <w:tcW w:type="dxa" w:w="1508"/>
          </w:tcPr>
          <w:p>
            <w:pPr>
              <w:pStyle w:val="Compact"/>
              <w:spacing w:after="20" w:before="20"/>
              <w:jc w:val="left"/>
            </w:pPr>
            <w:r>
              <w:rPr>
                <w:sz w:val="16"/>
              </w:rPr>
              <w:t xml:space="preserve">Deleting an asset keeps ledger history (link set to null)</w:t>
            </w:r>
          </w:p>
        </w:tc>
      </w:tr>
      <w:tr>
        <w:tc>
          <w:tcPr>
            <w:tcW w:type="dxa" w:w="711"/>
          </w:tcPr>
          <w:p>
            <w:pPr>
              <w:pStyle w:val="Compact"/>
              <w:spacing w:after="20" w:before="20"/>
              <w:jc w:val="left"/>
            </w:pPr>
            <w:r>
              <w:rPr>
                <w:sz w:val="16"/>
              </w:rPr>
              <w:t xml:space="preserve">FR-06</w:t>
            </w:r>
          </w:p>
        </w:tc>
        <w:tc>
          <w:tcPr>
            <w:tcW w:type="dxa" w:w="2498"/>
          </w:tcPr>
          <w:p>
            <w:pPr>
              <w:pStyle w:val="Compact"/>
              <w:spacing w:after="20" w:before="20"/>
              <w:jc w:val="left"/>
            </w:pPr>
            <w:r>
              <w:rPr>
                <w:sz w:val="16"/>
              </w:rPr>
              <w:t xml:space="preserve">The system shall record a valuation-history entry each time an asset is created or revalued, and show that history on the asset’s detail view.</w:t>
            </w:r>
          </w:p>
        </w:tc>
        <w:tc>
          <w:tcPr>
            <w:tcW w:type="dxa" w:w="1217"/>
          </w:tcPr>
          <w:p>
            <w:pPr>
              <w:pStyle w:val="Compact"/>
              <w:spacing w:after="20" w:before="20"/>
              <w:jc w:val="left"/>
            </w:pPr>
            <w:r>
              <w:rPr>
                <w:sz w:val="16"/>
              </w:rPr>
              <w:t xml:space="preserve">Functional</w:t>
            </w:r>
          </w:p>
        </w:tc>
        <w:tc>
          <w:tcPr>
            <w:tcW w:type="dxa" w:w="1005"/>
          </w:tcPr>
          <w:p>
            <w:pPr>
              <w:pStyle w:val="Compact"/>
              <w:spacing w:after="20" w:before="20"/>
              <w:jc w:val="left"/>
            </w:pPr>
            <w:r>
              <w:rPr>
                <w:sz w:val="16"/>
              </w:rPr>
              <w:t xml:space="preserve">Medium</w:t>
            </w:r>
          </w:p>
        </w:tc>
        <w:tc>
          <w:tcPr>
            <w:tcW w:type="dxa" w:w="1298"/>
          </w:tcPr>
          <w:p>
            <w:pPr>
              <w:pStyle w:val="Compact"/>
              <w:spacing w:after="20" w:before="20"/>
              <w:jc w:val="left"/>
            </w:pPr>
            <w:r>
              <w:rPr>
                <w:sz w:val="16"/>
              </w:rPr>
              <w:t xml:space="preserve">Users</w:t>
            </w:r>
          </w:p>
        </w:tc>
        <w:tc>
          <w:tcPr>
            <w:tcW w:type="dxa" w:w="1267"/>
          </w:tcPr>
          <w:p>
            <w:pPr>
              <w:pStyle w:val="Compact"/>
              <w:spacing w:after="20" w:before="20"/>
              <w:jc w:val="left"/>
            </w:pPr>
            <w:r>
              <w:rPr>
                <w:sz w:val="16"/>
              </w:rPr>
              <w:t xml:space="preserve">AC-06 · TC-013</w:t>
            </w:r>
          </w:p>
        </w:tc>
        <w:tc>
          <w:tcPr>
            <w:tcW w:type="dxa" w:w="1508"/>
          </w:tcPr>
          <w:p>
            <w:pPr>
              <w:pStyle w:val="Compact"/>
              <w:spacing w:after="20" w:before="20"/>
              <w:jc w:val="left"/>
            </w:pPr>
            <w:r>
              <w:rPr>
                <w:sz w:val="16"/>
              </w:rPr>
              <w:t xml:space="preserve">History kept in PostgreSQL</w:t>
            </w:r>
          </w:p>
        </w:tc>
      </w:tr>
    </w:tbl>
    <w:bookmarkEnd w:id="40"/>
    <w:bookmarkStart w:id="41" w:name="loan-and-emi-management"/>
    <w:p>
      <w:pPr>
        <w:pStyle w:val="Heading2"/>
      </w:pPr>
      <w:r>
        <w:t xml:space="preserve">4.3 Loan and EMI Management</w:t>
      </w:r>
    </w:p>
    <w:p>
      <w:pPr>
        <w:pStyle w:val="FirstParagraph"/>
      </w:pPr>
      <w:r>
        <w:t xml:space="preserve">Description: Record loans, generate repayment schedules, track payments and dues, and model prepayments.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11"/>
        <w:gridCol w:w="2531"/>
        <w:gridCol w:w="1218"/>
        <w:gridCol w:w="1002"/>
        <w:gridCol w:w="1298"/>
        <w:gridCol w:w="1261"/>
        <w:gridCol w:w="1480"/>
      </w:tblGrid>
      <w:tr>
        <w:trPr>
          <w:tblHeader w:val="true"/>
          <w:tblHeader w:val="true"/>
        </w:trPr>
        <w:tc>
          <w:tcPr>
            <w:tcW w:type="dxa" w:w="711"/>
            <w:shd w:val="clear" w:color="auto" w:fill="DCE6F1"/>
          </w:tcPr>
          <w:p>
            <w:pPr>
              <w:pStyle w:val="Compact"/>
              <w:spacing w:after="20" w:before="20"/>
              <w:jc w:val="left"/>
            </w:pPr>
            <w:r>
              <w:rPr>
                <w:b/>
                <w:sz w:val="16"/>
              </w:rPr>
              <w:t xml:space="preserve">Req ID</w:t>
            </w:r>
          </w:p>
        </w:tc>
        <w:tc>
          <w:tcPr>
            <w:tcW w:type="dxa" w:w="2531"/>
            <w:shd w:val="clear" w:color="auto" w:fill="DCE6F1"/>
          </w:tcPr>
          <w:p>
            <w:pPr>
              <w:pStyle w:val="Compact"/>
              <w:spacing w:after="20" w:before="20"/>
              <w:jc w:val="left"/>
            </w:pPr>
            <w:r>
              <w:rPr>
                <w:b/>
                <w:sz w:val="16"/>
              </w:rPr>
              <w:t xml:space="preserve">Requirement (shall…)</w:t>
            </w:r>
          </w:p>
        </w:tc>
        <w:tc>
          <w:tcPr>
            <w:tcW w:type="dxa" w:w="1218"/>
            <w:shd w:val="clear" w:color="auto" w:fill="DCE6F1"/>
          </w:tcPr>
          <w:p>
            <w:pPr>
              <w:pStyle w:val="Compact"/>
              <w:spacing w:after="20" w:before="20"/>
              <w:jc w:val="left"/>
            </w:pPr>
            <w:r>
              <w:rPr>
                <w:b/>
                <w:sz w:val="16"/>
              </w:rPr>
              <w:t xml:space="preserve">Type</w:t>
            </w:r>
          </w:p>
        </w:tc>
        <w:tc>
          <w:tcPr>
            <w:tcW w:type="dxa" w:w="1003"/>
            <w:shd w:val="clear" w:color="auto" w:fill="DCE6F1"/>
          </w:tcPr>
          <w:p>
            <w:pPr>
              <w:pStyle w:val="Compact"/>
              <w:spacing w:after="20" w:before="20"/>
              <w:jc w:val="left"/>
            </w:pPr>
            <w:r>
              <w:rPr>
                <w:b/>
                <w:sz w:val="16"/>
              </w:rPr>
              <w:t xml:space="preserve">Priority</w:t>
            </w:r>
          </w:p>
        </w:tc>
        <w:tc>
          <w:tcPr>
            <w:tcW w:type="dxa" w:w="1299"/>
            <w:shd w:val="clear" w:color="auto" w:fill="DCE6F1"/>
          </w:tcPr>
          <w:p>
            <w:pPr>
              <w:pStyle w:val="Compact"/>
              <w:spacing w:after="20" w:before="20"/>
              <w:jc w:val="left"/>
            </w:pPr>
            <w:r>
              <w:rPr>
                <w:b/>
                <w:sz w:val="16"/>
              </w:rPr>
              <w:t xml:space="preserve">Source / Stakeholder</w:t>
            </w:r>
          </w:p>
        </w:tc>
        <w:tc>
          <w:tcPr>
            <w:tcW w:type="dxa" w:w="1262"/>
            <w:shd w:val="clear" w:color="auto" w:fill="DCE6F1"/>
          </w:tcPr>
          <w:p>
            <w:pPr>
              <w:pStyle w:val="Compact"/>
              <w:spacing w:after="20" w:before="20"/>
              <w:jc w:val="left"/>
            </w:pPr>
            <w:r>
              <w:rPr>
                <w:b/>
                <w:sz w:val="16"/>
              </w:rPr>
              <w:t xml:space="preserve">Acceptance criteria / Test case ref</w:t>
            </w:r>
          </w:p>
        </w:tc>
        <w:tc>
          <w:tcPr>
            <w:tcW w:type="dxa" w:w="1480"/>
            <w:shd w:val="clear" w:color="auto" w:fill="DCE6F1"/>
          </w:tcPr>
          <w:p>
            <w:pPr>
              <w:pStyle w:val="Compact"/>
              <w:spacing w:after="20" w:before="20"/>
              <w:jc w:val="left"/>
            </w:pPr>
            <w:r>
              <w:rPr>
                <w:b/>
                <w:sz w:val="16"/>
              </w:rPr>
              <w:t xml:space="preserve">Comments / Dependencies</w:t>
            </w:r>
          </w:p>
        </w:tc>
      </w:tr>
      <w:tr>
        <w:tc>
          <w:tcPr>
            <w:tcW w:type="dxa" w:w="711"/>
          </w:tcPr>
          <w:p>
            <w:pPr>
              <w:pStyle w:val="Compact"/>
              <w:spacing w:after="20" w:before="20"/>
              <w:jc w:val="left"/>
            </w:pPr>
            <w:r>
              <w:rPr>
                <w:sz w:val="16"/>
              </w:rPr>
              <w:t xml:space="preserve">FR-07</w:t>
            </w:r>
          </w:p>
        </w:tc>
        <w:tc>
          <w:tcPr>
            <w:tcW w:type="dxa" w:w="2531"/>
          </w:tcPr>
          <w:p>
            <w:pPr>
              <w:pStyle w:val="Compact"/>
              <w:spacing w:after="20" w:before="20"/>
              <w:jc w:val="left"/>
            </w:pPr>
            <w:r>
              <w:rPr>
                <w:sz w:val="16"/>
              </w:rPr>
              <w:t xml:space="preserve">The system shall let a user create a loan (type home, vehicle, personal, education, gold, business or credit card; lender; principal &gt; 0; annual rate &gt; 0 and ≤ 60 %; fixed or floating; tenure 1–480 months; start date) and shall automatically generate its complete reducing-balance EMI schedule in the same atomic operation.</w:t>
            </w:r>
          </w:p>
        </w:tc>
        <w:tc>
          <w:tcPr>
            <w:tcW w:type="dxa" w:w="1218"/>
          </w:tcPr>
          <w:p>
            <w:pPr>
              <w:pStyle w:val="Compact"/>
              <w:spacing w:after="20" w:before="20"/>
              <w:jc w:val="left"/>
            </w:pPr>
            <w:r>
              <w:rPr>
                <w:sz w:val="16"/>
              </w:rPr>
              <w:t xml:space="preserve">Functional</w:t>
            </w:r>
          </w:p>
        </w:tc>
        <w:tc>
          <w:tcPr>
            <w:tcW w:type="dxa" w:w="1003"/>
          </w:tcPr>
          <w:p>
            <w:pPr>
              <w:pStyle w:val="Compact"/>
              <w:spacing w:after="20" w:before="20"/>
              <w:jc w:val="left"/>
            </w:pPr>
            <w:r>
              <w:rPr>
                <w:sz w:val="16"/>
              </w:rPr>
              <w:t xml:space="preserve">High</w:t>
            </w:r>
          </w:p>
        </w:tc>
        <w:tc>
          <w:tcPr>
            <w:tcW w:type="dxa" w:w="1299"/>
          </w:tcPr>
          <w:p>
            <w:pPr>
              <w:pStyle w:val="Compact"/>
              <w:spacing w:after="20" w:before="20"/>
              <w:jc w:val="left"/>
            </w:pPr>
            <w:r>
              <w:rPr>
                <w:sz w:val="16"/>
              </w:rPr>
              <w:t xml:space="preserve">Users</w:t>
            </w:r>
          </w:p>
        </w:tc>
        <w:tc>
          <w:tcPr>
            <w:tcW w:type="dxa" w:w="1262"/>
          </w:tcPr>
          <w:p>
            <w:pPr>
              <w:pStyle w:val="Compact"/>
              <w:spacing w:after="20" w:before="20"/>
              <w:jc w:val="left"/>
            </w:pPr>
            <w:r>
              <w:rPr>
                <w:sz w:val="16"/>
              </w:rPr>
              <w:t xml:space="preserve">AC-07 · TC-015, TC-016</w:t>
            </w:r>
          </w:p>
        </w:tc>
        <w:tc>
          <w:tcPr>
            <w:tcW w:type="dxa" w:w="1480"/>
          </w:tcPr>
          <w:p>
            <w:pPr>
              <w:pStyle w:val="Compact"/>
              <w:spacing w:after="20" w:before="20"/>
              <w:jc w:val="left"/>
            </w:pPr>
            <w:r>
              <w:rPr>
                <w:sz w:val="16"/>
              </w:rPr>
              <w:t xml:space="preserve">NFR-02, NFR-03</w:t>
            </w:r>
          </w:p>
        </w:tc>
      </w:tr>
      <w:tr>
        <w:tc>
          <w:tcPr>
            <w:tcW w:type="dxa" w:w="711"/>
          </w:tcPr>
          <w:p>
            <w:pPr>
              <w:pStyle w:val="Compact"/>
              <w:spacing w:after="20" w:before="20"/>
              <w:jc w:val="left"/>
            </w:pPr>
            <w:r>
              <w:rPr>
                <w:sz w:val="16"/>
              </w:rPr>
              <w:t xml:space="preserve">FR-08</w:t>
            </w:r>
          </w:p>
        </w:tc>
        <w:tc>
          <w:tcPr>
            <w:tcW w:type="dxa" w:w="2531"/>
          </w:tcPr>
          <w:p>
            <w:pPr>
              <w:pStyle w:val="Compact"/>
              <w:spacing w:after="20" w:before="20"/>
              <w:jc w:val="left"/>
            </w:pPr>
            <w:r>
              <w:rPr>
                <w:sz w:val="16"/>
              </w:rPr>
              <w:t xml:space="preserve">The system shall list a user’s loans with payoff progress (installments paid, outstanding balance, next due date), show each loan’s amortisation schedule, allow loan terms to be edited (regenerating the schedule) only while no installment has been paid, and allow the loan status to be changed or the loan deleted.</w:t>
            </w:r>
          </w:p>
        </w:tc>
        <w:tc>
          <w:tcPr>
            <w:tcW w:type="dxa" w:w="1218"/>
          </w:tcPr>
          <w:p>
            <w:pPr>
              <w:pStyle w:val="Compact"/>
              <w:spacing w:after="20" w:before="20"/>
              <w:jc w:val="left"/>
            </w:pPr>
            <w:r>
              <w:rPr>
                <w:sz w:val="16"/>
              </w:rPr>
              <w:t xml:space="preserve">Functional</w:t>
            </w:r>
          </w:p>
        </w:tc>
        <w:tc>
          <w:tcPr>
            <w:tcW w:type="dxa" w:w="1003"/>
          </w:tcPr>
          <w:p>
            <w:pPr>
              <w:pStyle w:val="Compact"/>
              <w:spacing w:after="20" w:before="20"/>
              <w:jc w:val="left"/>
            </w:pPr>
            <w:r>
              <w:rPr>
                <w:sz w:val="16"/>
              </w:rPr>
              <w:t xml:space="preserve">High</w:t>
            </w:r>
          </w:p>
        </w:tc>
        <w:tc>
          <w:tcPr>
            <w:tcW w:type="dxa" w:w="1299"/>
          </w:tcPr>
          <w:p>
            <w:pPr>
              <w:pStyle w:val="Compact"/>
              <w:spacing w:after="20" w:before="20"/>
              <w:jc w:val="left"/>
            </w:pPr>
            <w:r>
              <w:rPr>
                <w:sz w:val="16"/>
              </w:rPr>
              <w:t xml:space="preserve">Users</w:t>
            </w:r>
          </w:p>
        </w:tc>
        <w:tc>
          <w:tcPr>
            <w:tcW w:type="dxa" w:w="1262"/>
          </w:tcPr>
          <w:p>
            <w:pPr>
              <w:pStyle w:val="Compact"/>
              <w:spacing w:after="20" w:before="20"/>
              <w:jc w:val="left"/>
            </w:pPr>
            <w:r>
              <w:rPr>
                <w:sz w:val="16"/>
              </w:rPr>
              <w:t xml:space="preserve">AC-08 · TC-017, TC-018</w:t>
            </w:r>
          </w:p>
        </w:tc>
        <w:tc>
          <w:tcPr>
            <w:tcW w:type="dxa" w:w="1480"/>
          </w:tcPr>
          <w:p>
            <w:pPr>
              <w:pStyle w:val="Compact"/>
              <w:spacing w:after="20" w:before="20"/>
              <w:jc w:val="left"/>
            </w:pPr>
            <w:r>
              <w:rPr>
                <w:sz w:val="16"/>
              </w:rPr>
              <w:t xml:space="preserve">Edit after payment refused with HTTP 409</w:t>
            </w:r>
          </w:p>
        </w:tc>
      </w:tr>
      <w:tr>
        <w:tc>
          <w:tcPr>
            <w:tcW w:type="dxa" w:w="711"/>
          </w:tcPr>
          <w:p>
            <w:pPr>
              <w:pStyle w:val="Compact"/>
              <w:spacing w:after="20" w:before="20"/>
              <w:jc w:val="left"/>
            </w:pPr>
            <w:r>
              <w:rPr>
                <w:sz w:val="16"/>
              </w:rPr>
              <w:t xml:space="preserve">FR-09</w:t>
            </w:r>
          </w:p>
        </w:tc>
        <w:tc>
          <w:tcPr>
            <w:tcW w:type="dxa" w:w="2531"/>
          </w:tcPr>
          <w:p>
            <w:pPr>
              <w:pStyle w:val="Compact"/>
              <w:spacing w:after="20" w:before="20"/>
              <w:jc w:val="left"/>
            </w:pPr>
            <w:r>
              <w:rPr>
                <w:sz w:val="16"/>
              </w:rPr>
              <w:t xml:space="preserve">The system shall let a user mark an unpaid EMI installment as paid; in one atomic operation it shall set the installment to paid with today’s date, record a matching loan-type ledger entry, and close the loan if no unpaid installments remain. A second payment of the same installment shall be refused.</w:t>
            </w:r>
          </w:p>
        </w:tc>
        <w:tc>
          <w:tcPr>
            <w:tcW w:type="dxa" w:w="1218"/>
          </w:tcPr>
          <w:p>
            <w:pPr>
              <w:pStyle w:val="Compact"/>
              <w:spacing w:after="20" w:before="20"/>
              <w:jc w:val="left"/>
            </w:pPr>
            <w:r>
              <w:rPr>
                <w:sz w:val="16"/>
              </w:rPr>
              <w:t xml:space="preserve">Functional</w:t>
            </w:r>
          </w:p>
        </w:tc>
        <w:tc>
          <w:tcPr>
            <w:tcW w:type="dxa" w:w="1003"/>
          </w:tcPr>
          <w:p>
            <w:pPr>
              <w:pStyle w:val="Compact"/>
              <w:spacing w:after="20" w:before="20"/>
              <w:jc w:val="left"/>
            </w:pPr>
            <w:r>
              <w:rPr>
                <w:sz w:val="16"/>
              </w:rPr>
              <w:t xml:space="preserve">High</w:t>
            </w:r>
          </w:p>
        </w:tc>
        <w:tc>
          <w:tcPr>
            <w:tcW w:type="dxa" w:w="1299"/>
          </w:tcPr>
          <w:p>
            <w:pPr>
              <w:pStyle w:val="Compact"/>
              <w:spacing w:after="20" w:before="20"/>
              <w:jc w:val="left"/>
            </w:pPr>
            <w:r>
              <w:rPr>
                <w:sz w:val="16"/>
              </w:rPr>
              <w:t xml:space="preserve">Users</w:t>
            </w:r>
          </w:p>
        </w:tc>
        <w:tc>
          <w:tcPr>
            <w:tcW w:type="dxa" w:w="1262"/>
          </w:tcPr>
          <w:p>
            <w:pPr>
              <w:pStyle w:val="Compact"/>
              <w:spacing w:after="20" w:before="20"/>
              <w:jc w:val="left"/>
            </w:pPr>
            <w:r>
              <w:rPr>
                <w:sz w:val="16"/>
              </w:rPr>
              <w:t xml:space="preserve">AC-09 · TC-019, TC-020, TC-021</w:t>
            </w:r>
          </w:p>
        </w:tc>
        <w:tc>
          <w:tcPr>
            <w:tcW w:type="dxa" w:w="1480"/>
          </w:tcPr>
          <w:p>
            <w:pPr>
              <w:pStyle w:val="Compact"/>
              <w:spacing w:after="20" w:before="20"/>
              <w:jc w:val="left"/>
            </w:pPr>
            <w:r>
              <w:rPr>
                <w:sz w:val="16"/>
              </w:rPr>
              <w:t xml:space="preserve">NFR-03; no money moves</w:t>
            </w:r>
          </w:p>
        </w:tc>
      </w:tr>
      <w:tr>
        <w:tc>
          <w:tcPr>
            <w:tcW w:type="dxa" w:w="711"/>
          </w:tcPr>
          <w:p>
            <w:pPr>
              <w:pStyle w:val="Compact"/>
              <w:spacing w:after="20" w:before="20"/>
              <w:jc w:val="left"/>
            </w:pPr>
            <w:r>
              <w:rPr>
                <w:sz w:val="16"/>
              </w:rPr>
              <w:t xml:space="preserve">FR-10</w:t>
            </w:r>
          </w:p>
        </w:tc>
        <w:tc>
          <w:tcPr>
            <w:tcW w:type="dxa" w:w="2531"/>
          </w:tcPr>
          <w:p>
            <w:pPr>
              <w:pStyle w:val="Compact"/>
              <w:spacing w:after="20" w:before="20"/>
              <w:jc w:val="left"/>
            </w:pPr>
            <w:r>
              <w:rPr>
                <w:sz w:val="16"/>
              </w:rPr>
              <w:t xml:space="preserve">The system shall mark past-due unpaid installments as overdue and present upcoming and overdue EMIs grouped as overdue, this week, this month and upcoming.</w:t>
            </w:r>
          </w:p>
        </w:tc>
        <w:tc>
          <w:tcPr>
            <w:tcW w:type="dxa" w:w="1218"/>
          </w:tcPr>
          <w:p>
            <w:pPr>
              <w:pStyle w:val="Compact"/>
              <w:spacing w:after="20" w:before="20"/>
              <w:jc w:val="left"/>
            </w:pPr>
            <w:r>
              <w:rPr>
                <w:sz w:val="16"/>
              </w:rPr>
              <w:t xml:space="preserve">Functional</w:t>
            </w:r>
          </w:p>
        </w:tc>
        <w:tc>
          <w:tcPr>
            <w:tcW w:type="dxa" w:w="1003"/>
          </w:tcPr>
          <w:p>
            <w:pPr>
              <w:pStyle w:val="Compact"/>
              <w:spacing w:after="20" w:before="20"/>
              <w:jc w:val="left"/>
            </w:pPr>
            <w:r>
              <w:rPr>
                <w:sz w:val="16"/>
              </w:rPr>
              <w:t xml:space="preserve">High</w:t>
            </w:r>
          </w:p>
        </w:tc>
        <w:tc>
          <w:tcPr>
            <w:tcW w:type="dxa" w:w="1299"/>
          </w:tcPr>
          <w:p>
            <w:pPr>
              <w:pStyle w:val="Compact"/>
              <w:spacing w:after="20" w:before="20"/>
              <w:jc w:val="left"/>
            </w:pPr>
            <w:r>
              <w:rPr>
                <w:sz w:val="16"/>
              </w:rPr>
              <w:t xml:space="preserve">Users</w:t>
            </w:r>
          </w:p>
        </w:tc>
        <w:tc>
          <w:tcPr>
            <w:tcW w:type="dxa" w:w="1262"/>
          </w:tcPr>
          <w:p>
            <w:pPr>
              <w:pStyle w:val="Compact"/>
              <w:spacing w:after="20" w:before="20"/>
              <w:jc w:val="left"/>
            </w:pPr>
            <w:r>
              <w:rPr>
                <w:sz w:val="16"/>
              </w:rPr>
              <w:t xml:space="preserve">AC-10 · TC-022</w:t>
            </w:r>
          </w:p>
        </w:tc>
        <w:tc>
          <w:tcPr>
            <w:tcW w:type="dxa" w:w="1480"/>
          </w:tcPr>
          <w:p>
            <w:pPr>
              <w:pStyle w:val="Compact"/>
              <w:spacing w:after="20" w:before="20"/>
              <w:jc w:val="left"/>
            </w:pPr>
            <w:r>
              <w:rPr>
                <w:sz w:val="16"/>
              </w:rPr>
              <w:t xml:space="preserve">Default look-ahead 45 days (max 365)</w:t>
            </w:r>
          </w:p>
        </w:tc>
      </w:tr>
      <w:tr>
        <w:tc>
          <w:tcPr>
            <w:tcW w:type="dxa" w:w="711"/>
          </w:tcPr>
          <w:p>
            <w:pPr>
              <w:pStyle w:val="Compact"/>
              <w:spacing w:after="20" w:before="20"/>
              <w:jc w:val="left"/>
            </w:pPr>
            <w:r>
              <w:rPr>
                <w:sz w:val="16"/>
              </w:rPr>
              <w:t xml:space="preserve">FR-11</w:t>
            </w:r>
          </w:p>
        </w:tc>
        <w:tc>
          <w:tcPr>
            <w:tcW w:type="dxa" w:w="2531"/>
          </w:tcPr>
          <w:p>
            <w:pPr>
              <w:pStyle w:val="Compact"/>
              <w:spacing w:after="20" w:before="20"/>
              <w:jc w:val="left"/>
            </w:pPr>
            <w:r>
              <w:rPr>
                <w:sz w:val="16"/>
              </w:rPr>
              <w:t xml:space="preserve">The system shall simulate a prepayment amount on a loan, comparing</w:t>
            </w:r>
            <w:r>
              <w:rPr>
                <w:sz w:val="16"/>
              </w:rPr>
              <w:t xml:space="preserve"> </w:t>
            </w:r>
            <w:r>
              <w:rPr>
                <w:sz w:val="16"/>
              </w:rPr>
              <w:t xml:space="preserve">“</w:t>
            </w:r>
            <w:r>
              <w:rPr>
                <w:sz w:val="16"/>
              </w:rPr>
              <w:t xml:space="preserve">reduce tenure</w:t>
            </w:r>
            <w:r>
              <w:rPr>
                <w:sz w:val="16"/>
              </w:rPr>
              <w:t xml:space="preserve">”</w:t>
            </w:r>
            <w:r>
              <w:rPr>
                <w:sz w:val="16"/>
              </w:rPr>
              <w:t xml:space="preserve"> </w:t>
            </w:r>
            <w:r>
              <w:rPr>
                <w:sz w:val="16"/>
              </w:rPr>
              <w:t xml:space="preserve">and</w:t>
            </w:r>
            <w:r>
              <w:rPr>
                <w:sz w:val="16"/>
              </w:rPr>
              <w:t xml:space="preserve"> </w:t>
            </w:r>
            <w:r>
              <w:rPr>
                <w:sz w:val="16"/>
              </w:rPr>
              <w:t xml:space="preserve">“</w:t>
            </w:r>
            <w:r>
              <w:rPr>
                <w:sz w:val="16"/>
              </w:rPr>
              <w:t xml:space="preserve">reduce EMI</w:t>
            </w:r>
            <w:r>
              <w:rPr>
                <w:sz w:val="16"/>
              </w:rPr>
              <w:t xml:space="preserve">”</w:t>
            </w:r>
            <w:r>
              <w:rPr>
                <w:sz w:val="16"/>
              </w:rPr>
              <w:t xml:space="preserve"> </w:t>
            </w:r>
            <w:r>
              <w:rPr>
                <w:sz w:val="16"/>
              </w:rPr>
              <w:t xml:space="preserve">modes (interest saved, new tenure/EMI) without changing data, and shall apply a chosen prepayment, optionally funded from one of the user’s assets, rejecting amounts greater than the outstanding balance or than the funding asset’s value.</w:t>
            </w:r>
          </w:p>
        </w:tc>
        <w:tc>
          <w:tcPr>
            <w:tcW w:type="dxa" w:w="1218"/>
          </w:tcPr>
          <w:p>
            <w:pPr>
              <w:pStyle w:val="Compact"/>
              <w:spacing w:after="20" w:before="20"/>
              <w:jc w:val="left"/>
            </w:pPr>
            <w:r>
              <w:rPr>
                <w:sz w:val="16"/>
              </w:rPr>
              <w:t xml:space="preserve">Functional</w:t>
            </w:r>
          </w:p>
        </w:tc>
        <w:tc>
          <w:tcPr>
            <w:tcW w:type="dxa" w:w="1003"/>
          </w:tcPr>
          <w:p>
            <w:pPr>
              <w:pStyle w:val="Compact"/>
              <w:spacing w:after="20" w:before="20"/>
              <w:jc w:val="left"/>
            </w:pPr>
            <w:r>
              <w:rPr>
                <w:sz w:val="16"/>
              </w:rPr>
              <w:t xml:space="preserve">Medium</w:t>
            </w:r>
          </w:p>
        </w:tc>
        <w:tc>
          <w:tcPr>
            <w:tcW w:type="dxa" w:w="1299"/>
          </w:tcPr>
          <w:p>
            <w:pPr>
              <w:pStyle w:val="Compact"/>
              <w:spacing w:after="20" w:before="20"/>
              <w:jc w:val="left"/>
            </w:pPr>
            <w:r>
              <w:rPr>
                <w:sz w:val="16"/>
              </w:rPr>
              <w:t xml:space="preserve">Users</w:t>
            </w:r>
          </w:p>
        </w:tc>
        <w:tc>
          <w:tcPr>
            <w:tcW w:type="dxa" w:w="1262"/>
          </w:tcPr>
          <w:p>
            <w:pPr>
              <w:pStyle w:val="Compact"/>
              <w:spacing w:after="20" w:before="20"/>
              <w:jc w:val="left"/>
            </w:pPr>
            <w:r>
              <w:rPr>
                <w:sz w:val="16"/>
              </w:rPr>
              <w:t xml:space="preserve">AC-11 · TC-023, TC-024, TC-025</w:t>
            </w:r>
          </w:p>
        </w:tc>
        <w:tc>
          <w:tcPr>
            <w:tcW w:type="dxa" w:w="1480"/>
          </w:tcPr>
          <w:p>
            <w:pPr>
              <w:pStyle w:val="Compact"/>
              <w:spacing w:after="20" w:before="20"/>
              <w:jc w:val="left"/>
            </w:pPr>
            <w:r>
              <w:rPr>
                <w:sz w:val="16"/>
              </w:rPr>
              <w:t xml:space="preserve">Funded prepayment leaves net worth unchanged</w:t>
            </w:r>
          </w:p>
        </w:tc>
      </w:tr>
    </w:tbl>
    <w:bookmarkEnd w:id="41"/>
    <w:bookmarkStart w:id="42" w:name="transaction-ledger"/>
    <w:p>
      <w:pPr>
        <w:pStyle w:val="Heading2"/>
      </w:pPr>
      <w:r>
        <w:t xml:space="preserve">4.4 Transaction Ledger</w:t>
      </w:r>
    </w:p>
    <w:p>
      <w:pPr>
        <w:pStyle w:val="FirstParagraph"/>
      </w:pPr>
      <w:r>
        <w:t xml:space="preserve">Description: Keep a single ledger of income, expenses and asset/loan movements.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25"/>
        <w:gridCol w:w="2515"/>
        <w:gridCol w:w="1244"/>
        <w:gridCol w:w="1019"/>
        <w:gridCol w:w="1312"/>
        <w:gridCol w:w="1288"/>
        <w:gridCol w:w="1398"/>
      </w:tblGrid>
      <w:tr>
        <w:trPr>
          <w:tblHeader w:val="true"/>
          <w:tblHeader w:val="true"/>
        </w:trPr>
        <w:tc>
          <w:tcPr>
            <w:tcW w:type="dxa" w:w="725"/>
            <w:shd w:val="clear" w:color="auto" w:fill="DCE6F1"/>
          </w:tcPr>
          <w:p>
            <w:pPr>
              <w:pStyle w:val="Compact"/>
              <w:spacing w:after="20" w:before="20"/>
              <w:jc w:val="left"/>
            </w:pPr>
            <w:r>
              <w:rPr>
                <w:b/>
                <w:sz w:val="16"/>
              </w:rPr>
              <w:t xml:space="preserve">Req ID</w:t>
            </w:r>
          </w:p>
        </w:tc>
        <w:tc>
          <w:tcPr>
            <w:tcW w:type="dxa" w:w="2516"/>
            <w:shd w:val="clear" w:color="auto" w:fill="DCE6F1"/>
          </w:tcPr>
          <w:p>
            <w:pPr>
              <w:pStyle w:val="Compact"/>
              <w:spacing w:after="20" w:before="20"/>
              <w:jc w:val="left"/>
            </w:pPr>
            <w:r>
              <w:rPr>
                <w:b/>
                <w:sz w:val="16"/>
              </w:rPr>
              <w:t xml:space="preserve">Requirement (shall…)</w:t>
            </w:r>
          </w:p>
        </w:tc>
        <w:tc>
          <w:tcPr>
            <w:tcW w:type="dxa" w:w="1244"/>
            <w:shd w:val="clear" w:color="auto" w:fill="DCE6F1"/>
          </w:tcPr>
          <w:p>
            <w:pPr>
              <w:pStyle w:val="Compact"/>
              <w:spacing w:after="20" w:before="20"/>
              <w:jc w:val="left"/>
            </w:pPr>
            <w:r>
              <w:rPr>
                <w:b/>
                <w:sz w:val="16"/>
              </w:rPr>
              <w:t xml:space="preserve">Type</w:t>
            </w:r>
          </w:p>
        </w:tc>
        <w:tc>
          <w:tcPr>
            <w:tcW w:type="dxa" w:w="1019"/>
            <w:shd w:val="clear" w:color="auto" w:fill="DCE6F1"/>
          </w:tcPr>
          <w:p>
            <w:pPr>
              <w:pStyle w:val="Compact"/>
              <w:spacing w:after="20" w:before="20"/>
              <w:jc w:val="left"/>
            </w:pPr>
            <w:r>
              <w:rPr>
                <w:b/>
                <w:sz w:val="16"/>
              </w:rPr>
              <w:t xml:space="preserve">Priority</w:t>
            </w:r>
          </w:p>
        </w:tc>
        <w:tc>
          <w:tcPr>
            <w:tcW w:type="dxa" w:w="1313"/>
            <w:shd w:val="clear" w:color="auto" w:fill="DCE6F1"/>
          </w:tcPr>
          <w:p>
            <w:pPr>
              <w:pStyle w:val="Compact"/>
              <w:spacing w:after="20" w:before="20"/>
              <w:jc w:val="left"/>
            </w:pPr>
            <w:r>
              <w:rPr>
                <w:b/>
                <w:sz w:val="16"/>
              </w:rPr>
              <w:t xml:space="preserve">Source / Stakeholder</w:t>
            </w:r>
          </w:p>
        </w:tc>
        <w:tc>
          <w:tcPr>
            <w:tcW w:type="dxa" w:w="1289"/>
            <w:shd w:val="clear" w:color="auto" w:fill="DCE6F1"/>
          </w:tcPr>
          <w:p>
            <w:pPr>
              <w:pStyle w:val="Compact"/>
              <w:spacing w:after="20" w:before="20"/>
              <w:jc w:val="left"/>
            </w:pPr>
            <w:r>
              <w:rPr>
                <w:b/>
                <w:sz w:val="16"/>
              </w:rPr>
              <w:t xml:space="preserve">Acceptance criteria / Test case ref</w:t>
            </w:r>
          </w:p>
        </w:tc>
        <w:tc>
          <w:tcPr>
            <w:tcW w:type="dxa" w:w="1398"/>
            <w:shd w:val="clear" w:color="auto" w:fill="DCE6F1"/>
          </w:tcPr>
          <w:p>
            <w:pPr>
              <w:pStyle w:val="Compact"/>
              <w:spacing w:after="20" w:before="20"/>
              <w:jc w:val="left"/>
            </w:pPr>
            <w:r>
              <w:rPr>
                <w:b/>
                <w:sz w:val="16"/>
              </w:rPr>
              <w:t xml:space="preserve">Comments / Dependencies</w:t>
            </w:r>
          </w:p>
        </w:tc>
      </w:tr>
      <w:tr>
        <w:tc>
          <w:tcPr>
            <w:tcW w:type="dxa" w:w="725"/>
          </w:tcPr>
          <w:p>
            <w:pPr>
              <w:pStyle w:val="Compact"/>
              <w:spacing w:after="20" w:before="20"/>
              <w:jc w:val="left"/>
            </w:pPr>
            <w:r>
              <w:rPr>
                <w:sz w:val="16"/>
              </w:rPr>
              <w:t xml:space="preserve">FR-12</w:t>
            </w:r>
          </w:p>
        </w:tc>
        <w:tc>
          <w:tcPr>
            <w:tcW w:type="dxa" w:w="2516"/>
          </w:tcPr>
          <w:p>
            <w:pPr>
              <w:pStyle w:val="Compact"/>
              <w:spacing w:after="20" w:before="20"/>
              <w:jc w:val="left"/>
            </w:pPr>
            <w:r>
              <w:rPr>
                <w:sz w:val="16"/>
              </w:rPr>
              <w:t xml:space="preserve">The system shall let a user record a transaction (type income, expense, asset or loan; amount &gt; 0; date; category; optional description; optional related asset or loan), list transactions filtered by type, date range and category (up to 500 per request), and delete a transaction.</w:t>
            </w:r>
          </w:p>
        </w:tc>
        <w:tc>
          <w:tcPr>
            <w:tcW w:type="dxa" w:w="1244"/>
          </w:tcPr>
          <w:p>
            <w:pPr>
              <w:pStyle w:val="Compact"/>
              <w:spacing w:after="20" w:before="20"/>
              <w:jc w:val="left"/>
            </w:pPr>
            <w:r>
              <w:rPr>
                <w:sz w:val="16"/>
              </w:rPr>
              <w:t xml:space="preserve">Functional</w:t>
            </w:r>
          </w:p>
        </w:tc>
        <w:tc>
          <w:tcPr>
            <w:tcW w:type="dxa" w:w="1019"/>
          </w:tcPr>
          <w:p>
            <w:pPr>
              <w:pStyle w:val="Compact"/>
              <w:spacing w:after="20" w:before="20"/>
              <w:jc w:val="left"/>
            </w:pPr>
            <w:r>
              <w:rPr>
                <w:sz w:val="16"/>
              </w:rPr>
              <w:t xml:space="preserve">High</w:t>
            </w:r>
          </w:p>
        </w:tc>
        <w:tc>
          <w:tcPr>
            <w:tcW w:type="dxa" w:w="1313"/>
          </w:tcPr>
          <w:p>
            <w:pPr>
              <w:pStyle w:val="Compact"/>
              <w:spacing w:after="20" w:before="20"/>
              <w:jc w:val="left"/>
            </w:pPr>
            <w:r>
              <w:rPr>
                <w:sz w:val="16"/>
              </w:rPr>
              <w:t xml:space="preserve">Users</w:t>
            </w:r>
          </w:p>
        </w:tc>
        <w:tc>
          <w:tcPr>
            <w:tcW w:type="dxa" w:w="1289"/>
          </w:tcPr>
          <w:p>
            <w:pPr>
              <w:pStyle w:val="Compact"/>
              <w:spacing w:after="20" w:before="20"/>
              <w:jc w:val="left"/>
            </w:pPr>
            <w:r>
              <w:rPr>
                <w:sz w:val="16"/>
              </w:rPr>
              <w:t xml:space="preserve">AC-12 · TC-026, TC-027</w:t>
            </w:r>
          </w:p>
        </w:tc>
        <w:tc>
          <w:tcPr>
            <w:tcW w:type="dxa" w:w="1398"/>
          </w:tcPr>
          <w:p>
            <w:pPr>
              <w:pStyle w:val="Compact"/>
              <w:spacing w:after="20" w:before="20"/>
              <w:jc w:val="left"/>
            </w:pPr>
            <w:r>
              <w:rPr>
                <w:sz w:val="16"/>
              </w:rPr>
              <w:t xml:space="preserve">—</w:t>
            </w:r>
          </w:p>
        </w:tc>
      </w:tr>
      <w:tr>
        <w:tc>
          <w:tcPr>
            <w:tcW w:type="dxa" w:w="725"/>
          </w:tcPr>
          <w:p>
            <w:pPr>
              <w:pStyle w:val="Compact"/>
              <w:spacing w:after="20" w:before="20"/>
              <w:jc w:val="left"/>
            </w:pPr>
            <w:r>
              <w:rPr>
                <w:sz w:val="16"/>
              </w:rPr>
              <w:t xml:space="preserve">FR-13</w:t>
            </w:r>
          </w:p>
        </w:tc>
        <w:tc>
          <w:tcPr>
            <w:tcW w:type="dxa" w:w="2516"/>
          </w:tcPr>
          <w:p>
            <w:pPr>
              <w:pStyle w:val="Compact"/>
              <w:spacing w:after="20" w:before="20"/>
              <w:jc w:val="left"/>
            </w:pPr>
            <w:r>
              <w:rPr>
                <w:sz w:val="16"/>
              </w:rPr>
              <w:t xml:space="preserve">The system shall provide full-text search over transaction descriptions and categories that matches word stems (e.g. </w:t>
            </w:r>
            <w:r>
              <w:rPr>
                <w:sz w:val="16"/>
              </w:rPr>
              <w:t xml:space="preserve">“</w:t>
            </w:r>
            <w:r>
              <w:rPr>
                <w:sz w:val="16"/>
              </w:rPr>
              <w:t xml:space="preserve">pharmacy</w:t>
            </w:r>
            <w:r>
              <w:rPr>
                <w:sz w:val="16"/>
              </w:rPr>
              <w:t xml:space="preserve">”</w:t>
            </w:r>
            <w:r>
              <w:rPr>
                <w:sz w:val="16"/>
              </w:rPr>
              <w:t xml:space="preserve"> </w:t>
            </w:r>
            <w:r>
              <w:rPr>
                <w:sz w:val="16"/>
              </w:rPr>
              <w:t xml:space="preserve">finds</w:t>
            </w:r>
            <w:r>
              <w:rPr>
                <w:sz w:val="16"/>
              </w:rPr>
              <w:t xml:space="preserve"> </w:t>
            </w:r>
            <w:r>
              <w:rPr>
                <w:sz w:val="16"/>
              </w:rPr>
              <w:t xml:space="preserve">“</w:t>
            </w:r>
            <w:r>
              <w:rPr>
                <w:sz w:val="16"/>
              </w:rPr>
              <w:t xml:space="preserve">Pharmacies</w:t>
            </w:r>
            <w:r>
              <w:rPr>
                <w:sz w:val="16"/>
              </w:rPr>
              <w:t xml:space="preserve">”</w:t>
            </w:r>
            <w:r>
              <w:rPr>
                <w:sz w:val="16"/>
              </w:rPr>
              <w:t xml:space="preserve">) and quoted phrases.</w:t>
            </w:r>
          </w:p>
        </w:tc>
        <w:tc>
          <w:tcPr>
            <w:tcW w:type="dxa" w:w="1244"/>
          </w:tcPr>
          <w:p>
            <w:pPr>
              <w:pStyle w:val="Compact"/>
              <w:spacing w:after="20" w:before="20"/>
              <w:jc w:val="left"/>
            </w:pPr>
            <w:r>
              <w:rPr>
                <w:sz w:val="16"/>
              </w:rPr>
              <w:t xml:space="preserve">Functional</w:t>
            </w:r>
          </w:p>
        </w:tc>
        <w:tc>
          <w:tcPr>
            <w:tcW w:type="dxa" w:w="1019"/>
          </w:tcPr>
          <w:p>
            <w:pPr>
              <w:pStyle w:val="Compact"/>
              <w:spacing w:after="20" w:before="20"/>
              <w:jc w:val="left"/>
            </w:pPr>
            <w:r>
              <w:rPr>
                <w:sz w:val="16"/>
              </w:rPr>
              <w:t xml:space="preserve">Medium</w:t>
            </w:r>
          </w:p>
        </w:tc>
        <w:tc>
          <w:tcPr>
            <w:tcW w:type="dxa" w:w="1313"/>
          </w:tcPr>
          <w:p>
            <w:pPr>
              <w:pStyle w:val="Compact"/>
              <w:spacing w:after="20" w:before="20"/>
              <w:jc w:val="left"/>
            </w:pPr>
            <w:r>
              <w:rPr>
                <w:sz w:val="16"/>
              </w:rPr>
              <w:t xml:space="preserve">Users</w:t>
            </w:r>
          </w:p>
        </w:tc>
        <w:tc>
          <w:tcPr>
            <w:tcW w:type="dxa" w:w="1289"/>
          </w:tcPr>
          <w:p>
            <w:pPr>
              <w:pStyle w:val="Compact"/>
              <w:spacing w:after="20" w:before="20"/>
              <w:jc w:val="left"/>
            </w:pPr>
            <w:r>
              <w:rPr>
                <w:sz w:val="16"/>
              </w:rPr>
              <w:t xml:space="preserve">AC-13 · TC-028</w:t>
            </w:r>
          </w:p>
        </w:tc>
        <w:tc>
          <w:tcPr>
            <w:tcW w:type="dxa" w:w="1398"/>
          </w:tcPr>
          <w:p>
            <w:pPr>
              <w:pStyle w:val="Compact"/>
              <w:spacing w:after="20" w:before="20"/>
              <w:jc w:val="left"/>
            </w:pPr>
            <w:r>
              <w:rPr>
                <w:sz w:val="16"/>
              </w:rPr>
              <w:t xml:space="preserve">—</w:t>
            </w:r>
          </w:p>
        </w:tc>
      </w:tr>
    </w:tbl>
    <w:bookmarkEnd w:id="42"/>
    <w:bookmarkStart w:id="43" w:name="X32fbb97bbd6b856c47a8623eb7d75a0c7bec107"/>
    <w:p>
      <w:pPr>
        <w:pStyle w:val="Heading2"/>
      </w:pPr>
      <w:r>
        <w:t xml:space="preserve">4.5 Statement Import, Categorisation and Receipts</w:t>
      </w:r>
    </w:p>
    <w:p>
      <w:pPr>
        <w:pStyle w:val="FirstParagraph"/>
      </w:pPr>
      <w:r>
        <w:t xml:space="preserve">Description: Bring bank and receipt data into the ledger with minimal typing.</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06"/>
        <w:gridCol w:w="2313"/>
        <w:gridCol w:w="1209"/>
        <w:gridCol w:w="1001"/>
        <w:gridCol w:w="1294"/>
        <w:gridCol w:w="1251"/>
        <w:gridCol w:w="1727"/>
      </w:tblGrid>
      <w:tr>
        <w:trPr>
          <w:tblHeader w:val="true"/>
          <w:tblHeader w:val="true"/>
        </w:trPr>
        <w:tc>
          <w:tcPr>
            <w:tcW w:type="dxa" w:w="707"/>
            <w:shd w:val="clear" w:color="auto" w:fill="DCE6F1"/>
          </w:tcPr>
          <w:p>
            <w:pPr>
              <w:pStyle w:val="Compact"/>
              <w:spacing w:after="20" w:before="20"/>
              <w:jc w:val="left"/>
            </w:pPr>
            <w:r>
              <w:rPr>
                <w:b/>
                <w:sz w:val="16"/>
              </w:rPr>
              <w:t xml:space="preserve">Req ID</w:t>
            </w:r>
          </w:p>
        </w:tc>
        <w:tc>
          <w:tcPr>
            <w:tcW w:type="dxa" w:w="2313"/>
            <w:shd w:val="clear" w:color="auto" w:fill="DCE6F1"/>
          </w:tcPr>
          <w:p>
            <w:pPr>
              <w:pStyle w:val="Compact"/>
              <w:spacing w:after="20" w:before="20"/>
              <w:jc w:val="left"/>
            </w:pPr>
            <w:r>
              <w:rPr>
                <w:b/>
                <w:sz w:val="16"/>
              </w:rPr>
              <w:t xml:space="preserve">Requirement (shall…)</w:t>
            </w:r>
          </w:p>
        </w:tc>
        <w:tc>
          <w:tcPr>
            <w:tcW w:type="dxa" w:w="1209"/>
            <w:shd w:val="clear" w:color="auto" w:fill="DCE6F1"/>
          </w:tcPr>
          <w:p>
            <w:pPr>
              <w:pStyle w:val="Compact"/>
              <w:spacing w:after="20" w:before="20"/>
              <w:jc w:val="left"/>
            </w:pPr>
            <w:r>
              <w:rPr>
                <w:b/>
                <w:sz w:val="16"/>
              </w:rPr>
              <w:t xml:space="preserve">Type</w:t>
            </w:r>
          </w:p>
        </w:tc>
        <w:tc>
          <w:tcPr>
            <w:tcW w:type="dxa" w:w="1001"/>
            <w:shd w:val="clear" w:color="auto" w:fill="DCE6F1"/>
          </w:tcPr>
          <w:p>
            <w:pPr>
              <w:pStyle w:val="Compact"/>
              <w:spacing w:after="20" w:before="20"/>
              <w:jc w:val="left"/>
            </w:pPr>
            <w:r>
              <w:rPr>
                <w:b/>
                <w:sz w:val="16"/>
              </w:rPr>
              <w:t xml:space="preserve">Priority</w:t>
            </w:r>
          </w:p>
        </w:tc>
        <w:tc>
          <w:tcPr>
            <w:tcW w:type="dxa" w:w="1294"/>
            <w:shd w:val="clear" w:color="auto" w:fill="DCE6F1"/>
          </w:tcPr>
          <w:p>
            <w:pPr>
              <w:pStyle w:val="Compact"/>
              <w:spacing w:after="20" w:before="20"/>
              <w:jc w:val="left"/>
            </w:pPr>
            <w:r>
              <w:rPr>
                <w:b/>
                <w:sz w:val="16"/>
              </w:rPr>
              <w:t xml:space="preserve">Source / Stakeholder</w:t>
            </w:r>
          </w:p>
        </w:tc>
        <w:tc>
          <w:tcPr>
            <w:tcW w:type="dxa" w:w="1252"/>
            <w:shd w:val="clear" w:color="auto" w:fill="DCE6F1"/>
          </w:tcPr>
          <w:p>
            <w:pPr>
              <w:pStyle w:val="Compact"/>
              <w:spacing w:after="20" w:before="20"/>
              <w:jc w:val="left"/>
            </w:pPr>
            <w:r>
              <w:rPr>
                <w:b/>
                <w:sz w:val="16"/>
              </w:rPr>
              <w:t xml:space="preserve">Acceptance criteria / Test case ref</w:t>
            </w:r>
          </w:p>
        </w:tc>
        <w:tc>
          <w:tcPr>
            <w:tcW w:type="dxa" w:w="1728"/>
            <w:shd w:val="clear" w:color="auto" w:fill="DCE6F1"/>
          </w:tcPr>
          <w:p>
            <w:pPr>
              <w:pStyle w:val="Compact"/>
              <w:spacing w:after="20" w:before="20"/>
              <w:jc w:val="left"/>
            </w:pPr>
            <w:r>
              <w:rPr>
                <w:b/>
                <w:sz w:val="16"/>
              </w:rPr>
              <w:t xml:space="preserve">Comments / Dependencies</w:t>
            </w:r>
          </w:p>
        </w:tc>
      </w:tr>
      <w:tr>
        <w:tc>
          <w:tcPr>
            <w:tcW w:type="dxa" w:w="707"/>
          </w:tcPr>
          <w:p>
            <w:pPr>
              <w:pStyle w:val="Compact"/>
              <w:spacing w:after="20" w:before="20"/>
              <w:jc w:val="left"/>
            </w:pPr>
            <w:r>
              <w:rPr>
                <w:sz w:val="16"/>
              </w:rPr>
              <w:t xml:space="preserve">FR-14</w:t>
            </w:r>
          </w:p>
        </w:tc>
        <w:tc>
          <w:tcPr>
            <w:tcW w:type="dxa" w:w="2313"/>
          </w:tcPr>
          <w:p>
            <w:pPr>
              <w:pStyle w:val="Compact"/>
              <w:spacing w:after="20" w:before="20"/>
              <w:jc w:val="left"/>
            </w:pPr>
            <w:r>
              <w:rPr>
                <w:sz w:val="16"/>
              </w:rPr>
              <w:t xml:space="preserve">The system shall import a bank-statement CSV (≤ 5 MB) in two steps: (1) a preview that locates the header row, maps columns by name for HDFC, ICICI, SBI, Axis and Kotak layouts, parses Indian dates and amounts, lists rejected rows with reasons, categorises rows and flags rows already imported; and (2) a commit that inserts the confirmed rows atomically, skipping duplicates, and reports inserted and skipped counts. Import history shall be viewable.</w:t>
            </w:r>
          </w:p>
        </w:tc>
        <w:tc>
          <w:tcPr>
            <w:tcW w:type="dxa" w:w="1209"/>
          </w:tcPr>
          <w:p>
            <w:pPr>
              <w:pStyle w:val="Compact"/>
              <w:spacing w:after="20" w:before="20"/>
              <w:jc w:val="left"/>
            </w:pPr>
            <w:r>
              <w:rPr>
                <w:sz w:val="16"/>
              </w:rPr>
              <w:t xml:space="preserve">Functional</w:t>
            </w:r>
          </w:p>
        </w:tc>
        <w:tc>
          <w:tcPr>
            <w:tcW w:type="dxa" w:w="1001"/>
          </w:tcPr>
          <w:p>
            <w:pPr>
              <w:pStyle w:val="Compact"/>
              <w:spacing w:after="20" w:before="20"/>
              <w:jc w:val="left"/>
            </w:pPr>
            <w:r>
              <w:rPr>
                <w:sz w:val="16"/>
              </w:rPr>
              <w:t xml:space="preserve">High</w:t>
            </w:r>
          </w:p>
        </w:tc>
        <w:tc>
          <w:tcPr>
            <w:tcW w:type="dxa" w:w="1294"/>
          </w:tcPr>
          <w:p>
            <w:pPr>
              <w:pStyle w:val="Compact"/>
              <w:spacing w:after="20" w:before="20"/>
              <w:jc w:val="left"/>
            </w:pPr>
            <w:r>
              <w:rPr>
                <w:sz w:val="16"/>
              </w:rPr>
              <w:t xml:space="preserve">Users</w:t>
            </w:r>
          </w:p>
        </w:tc>
        <w:tc>
          <w:tcPr>
            <w:tcW w:type="dxa" w:w="1252"/>
          </w:tcPr>
          <w:p>
            <w:pPr>
              <w:pStyle w:val="Compact"/>
              <w:spacing w:after="20" w:before="20"/>
              <w:jc w:val="left"/>
            </w:pPr>
            <w:r>
              <w:rPr>
                <w:sz w:val="16"/>
              </w:rPr>
              <w:t xml:space="preserve">AC-14 · TC-029, TC-030, TC-031, TC-032</w:t>
            </w:r>
          </w:p>
        </w:tc>
        <w:tc>
          <w:tcPr>
            <w:tcW w:type="dxa" w:w="1728"/>
          </w:tcPr>
          <w:p>
            <w:pPr>
              <w:pStyle w:val="Compact"/>
              <w:spacing w:after="20" w:before="20"/>
              <w:jc w:val="left"/>
            </w:pPr>
            <w:r>
              <w:rPr>
                <w:sz w:val="16"/>
              </w:rPr>
              <w:t xml:space="preserve">NFR-03</w:t>
            </w:r>
          </w:p>
        </w:tc>
      </w:tr>
      <w:tr>
        <w:tc>
          <w:tcPr>
            <w:tcW w:type="dxa" w:w="707"/>
          </w:tcPr>
          <w:p>
            <w:pPr>
              <w:pStyle w:val="Compact"/>
              <w:spacing w:after="20" w:before="20"/>
              <w:jc w:val="left"/>
            </w:pPr>
            <w:r>
              <w:rPr>
                <w:sz w:val="16"/>
              </w:rPr>
              <w:t xml:space="preserve">FR-15</w:t>
            </w:r>
          </w:p>
        </w:tc>
        <w:tc>
          <w:tcPr>
            <w:tcW w:type="dxa" w:w="2313"/>
          </w:tcPr>
          <w:p>
            <w:pPr>
              <w:pStyle w:val="Compact"/>
              <w:spacing w:after="20" w:before="20"/>
              <w:jc w:val="left"/>
            </w:pPr>
            <w:r>
              <w:rPr>
                <w:sz w:val="16"/>
              </w:rPr>
              <w:t xml:space="preserve">The system shall categorise transactions using keyword rules, where a user’s own rule takes precedence over system rules, then priority, then longest keyword; users shall be able to list, add and delete their own rules, and adding a rule shall re-categorise the user’s existing transactions.</w:t>
            </w:r>
          </w:p>
        </w:tc>
        <w:tc>
          <w:tcPr>
            <w:tcW w:type="dxa" w:w="1209"/>
          </w:tcPr>
          <w:p>
            <w:pPr>
              <w:pStyle w:val="Compact"/>
              <w:spacing w:after="20" w:before="20"/>
              <w:jc w:val="left"/>
            </w:pPr>
            <w:r>
              <w:rPr>
                <w:sz w:val="16"/>
              </w:rPr>
              <w:t xml:space="preserve">Functional</w:t>
            </w:r>
          </w:p>
        </w:tc>
        <w:tc>
          <w:tcPr>
            <w:tcW w:type="dxa" w:w="1001"/>
          </w:tcPr>
          <w:p>
            <w:pPr>
              <w:pStyle w:val="Compact"/>
              <w:spacing w:after="20" w:before="20"/>
              <w:jc w:val="left"/>
            </w:pPr>
            <w:r>
              <w:rPr>
                <w:sz w:val="16"/>
              </w:rPr>
              <w:t xml:space="preserve">Medium</w:t>
            </w:r>
          </w:p>
        </w:tc>
        <w:tc>
          <w:tcPr>
            <w:tcW w:type="dxa" w:w="1294"/>
          </w:tcPr>
          <w:p>
            <w:pPr>
              <w:pStyle w:val="Compact"/>
              <w:spacing w:after="20" w:before="20"/>
              <w:jc w:val="left"/>
            </w:pPr>
            <w:r>
              <w:rPr>
                <w:sz w:val="16"/>
              </w:rPr>
              <w:t xml:space="preserve">Users</w:t>
            </w:r>
          </w:p>
        </w:tc>
        <w:tc>
          <w:tcPr>
            <w:tcW w:type="dxa" w:w="1252"/>
          </w:tcPr>
          <w:p>
            <w:pPr>
              <w:pStyle w:val="Compact"/>
              <w:spacing w:after="20" w:before="20"/>
              <w:jc w:val="left"/>
            </w:pPr>
            <w:r>
              <w:rPr>
                <w:sz w:val="16"/>
              </w:rPr>
              <w:t xml:space="preserve">AC-15 · TC-029, TC-033</w:t>
            </w:r>
          </w:p>
        </w:tc>
        <w:tc>
          <w:tcPr>
            <w:tcW w:type="dxa" w:w="1728"/>
          </w:tcPr>
          <w:p>
            <w:pPr>
              <w:pStyle w:val="Compact"/>
              <w:spacing w:after="20" w:before="20"/>
              <w:jc w:val="left"/>
            </w:pPr>
            <w:r>
              <w:rPr>
                <w:sz w:val="16"/>
              </w:rPr>
              <w:t xml:space="preserve">Unmatched rows →</w:t>
            </w:r>
            <w:r>
              <w:rPr>
                <w:sz w:val="16"/>
              </w:rPr>
              <w:t xml:space="preserve"> </w:t>
            </w:r>
            <w:r>
              <w:rPr>
                <w:sz w:val="16"/>
              </w:rPr>
              <w:t xml:space="preserve">“</w:t>
            </w:r>
            <w:r>
              <w:rPr>
                <w:sz w:val="16"/>
              </w:rPr>
              <w:t xml:space="preserve">Uncategorized</w:t>
            </w:r>
            <w:r>
              <w:rPr>
                <w:sz w:val="16"/>
              </w:rPr>
              <w:t xml:space="preserve">”</w:t>
            </w:r>
          </w:p>
        </w:tc>
      </w:tr>
      <w:tr>
        <w:tc>
          <w:tcPr>
            <w:tcW w:type="dxa" w:w="707"/>
          </w:tcPr>
          <w:p>
            <w:pPr>
              <w:pStyle w:val="Compact"/>
              <w:spacing w:after="20" w:before="20"/>
              <w:jc w:val="left"/>
            </w:pPr>
            <w:r>
              <w:rPr>
                <w:sz w:val="16"/>
              </w:rPr>
              <w:t xml:space="preserve">FR-16</w:t>
            </w:r>
          </w:p>
        </w:tc>
        <w:tc>
          <w:tcPr>
            <w:tcW w:type="dxa" w:w="2313"/>
          </w:tcPr>
          <w:p>
            <w:pPr>
              <w:pStyle w:val="Compact"/>
              <w:spacing w:after="20" w:before="20"/>
              <w:jc w:val="left"/>
            </w:pPr>
            <w:r>
              <w:rPr>
                <w:sz w:val="16"/>
              </w:rPr>
              <w:t xml:space="preserve">The system shall extract merchant, total amount and date from an uploaded receipt image (JPEG, PNG or WebP, ≤ 8 MB) by server-side OCR and suggest a category without saving anything; after the user confirms or corrects the fields, it shall record an expense, refuse a duplicate receipt (same merchant, amount and date), and optionally file the image in the document vault.</w:t>
            </w:r>
          </w:p>
        </w:tc>
        <w:tc>
          <w:tcPr>
            <w:tcW w:type="dxa" w:w="1209"/>
          </w:tcPr>
          <w:p>
            <w:pPr>
              <w:pStyle w:val="Compact"/>
              <w:spacing w:after="20" w:before="20"/>
              <w:jc w:val="left"/>
            </w:pPr>
            <w:r>
              <w:rPr>
                <w:sz w:val="16"/>
              </w:rPr>
              <w:t xml:space="preserve">Functional</w:t>
            </w:r>
          </w:p>
        </w:tc>
        <w:tc>
          <w:tcPr>
            <w:tcW w:type="dxa" w:w="1001"/>
          </w:tcPr>
          <w:p>
            <w:pPr>
              <w:pStyle w:val="Compact"/>
              <w:spacing w:after="20" w:before="20"/>
              <w:jc w:val="left"/>
            </w:pPr>
            <w:r>
              <w:rPr>
                <w:sz w:val="16"/>
              </w:rPr>
              <w:t xml:space="preserve">Medium</w:t>
            </w:r>
          </w:p>
        </w:tc>
        <w:tc>
          <w:tcPr>
            <w:tcW w:type="dxa" w:w="1294"/>
          </w:tcPr>
          <w:p>
            <w:pPr>
              <w:pStyle w:val="Compact"/>
              <w:spacing w:after="20" w:before="20"/>
              <w:jc w:val="left"/>
            </w:pPr>
            <w:r>
              <w:rPr>
                <w:sz w:val="16"/>
              </w:rPr>
              <w:t xml:space="preserve">Users</w:t>
            </w:r>
          </w:p>
        </w:tc>
        <w:tc>
          <w:tcPr>
            <w:tcW w:type="dxa" w:w="1252"/>
          </w:tcPr>
          <w:p>
            <w:pPr>
              <w:pStyle w:val="Compact"/>
              <w:spacing w:after="20" w:before="20"/>
              <w:jc w:val="left"/>
            </w:pPr>
            <w:r>
              <w:rPr>
                <w:sz w:val="16"/>
              </w:rPr>
              <w:t xml:space="preserve">AC-16 · TC-034, TC-035</w:t>
            </w:r>
          </w:p>
        </w:tc>
        <w:tc>
          <w:tcPr>
            <w:tcW w:type="dxa" w:w="1728"/>
          </w:tcPr>
          <w:p>
            <w:pPr>
              <w:pStyle w:val="Compact"/>
              <w:spacing w:after="20" w:before="20"/>
              <w:jc w:val="left"/>
            </w:pPr>
            <w:r>
              <w:rPr>
                <w:sz w:val="16"/>
              </w:rPr>
              <w:t xml:space="preserve">Vault filing is best-effort</w:t>
            </w:r>
          </w:p>
        </w:tc>
      </w:tr>
    </w:tbl>
    <w:bookmarkEnd w:id="43"/>
    <w:bookmarkStart w:id="44" w:name="document-vault"/>
    <w:p>
      <w:pPr>
        <w:pStyle w:val="Heading2"/>
      </w:pPr>
      <w:r>
        <w:t xml:space="preserve">4.6 Document Vault</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14"/>
        <w:gridCol w:w="2396"/>
        <w:gridCol w:w="1224"/>
        <w:gridCol w:w="1012"/>
        <w:gridCol w:w="1302"/>
        <w:gridCol w:w="1298"/>
        <w:gridCol w:w="1555"/>
      </w:tblGrid>
      <w:tr>
        <w:trPr>
          <w:tblHeader w:val="true"/>
          <w:tblHeader w:val="true"/>
        </w:trPr>
        <w:tc>
          <w:tcPr>
            <w:tcW w:type="dxa" w:w="715"/>
            <w:shd w:val="clear" w:color="auto" w:fill="DCE6F1"/>
          </w:tcPr>
          <w:p>
            <w:pPr>
              <w:pStyle w:val="Compact"/>
              <w:spacing w:after="20" w:before="20"/>
              <w:jc w:val="left"/>
            </w:pPr>
            <w:r>
              <w:rPr>
                <w:b/>
                <w:sz w:val="16"/>
              </w:rPr>
              <w:t xml:space="preserve">Req ID</w:t>
            </w:r>
          </w:p>
        </w:tc>
        <w:tc>
          <w:tcPr>
            <w:tcW w:type="dxa" w:w="2396"/>
            <w:shd w:val="clear" w:color="auto" w:fill="DCE6F1"/>
          </w:tcPr>
          <w:p>
            <w:pPr>
              <w:pStyle w:val="Compact"/>
              <w:spacing w:after="20" w:before="20"/>
              <w:jc w:val="left"/>
            </w:pPr>
            <w:r>
              <w:rPr>
                <w:b/>
                <w:sz w:val="16"/>
              </w:rPr>
              <w:t xml:space="preserve">Requirement (shall…)</w:t>
            </w:r>
          </w:p>
        </w:tc>
        <w:tc>
          <w:tcPr>
            <w:tcW w:type="dxa" w:w="1224"/>
            <w:shd w:val="clear" w:color="auto" w:fill="DCE6F1"/>
          </w:tcPr>
          <w:p>
            <w:pPr>
              <w:pStyle w:val="Compact"/>
              <w:spacing w:after="20" w:before="20"/>
              <w:jc w:val="left"/>
            </w:pPr>
            <w:r>
              <w:rPr>
                <w:b/>
                <w:sz w:val="16"/>
              </w:rPr>
              <w:t xml:space="preserve">Type</w:t>
            </w:r>
          </w:p>
        </w:tc>
        <w:tc>
          <w:tcPr>
            <w:tcW w:type="dxa" w:w="1013"/>
            <w:shd w:val="clear" w:color="auto" w:fill="DCE6F1"/>
          </w:tcPr>
          <w:p>
            <w:pPr>
              <w:pStyle w:val="Compact"/>
              <w:spacing w:after="20" w:before="20"/>
              <w:jc w:val="left"/>
            </w:pPr>
            <w:r>
              <w:rPr>
                <w:b/>
                <w:sz w:val="16"/>
              </w:rPr>
              <w:t xml:space="preserve">Priority</w:t>
            </w:r>
          </w:p>
        </w:tc>
        <w:tc>
          <w:tcPr>
            <w:tcW w:type="dxa" w:w="1302"/>
            <w:shd w:val="clear" w:color="auto" w:fill="DCE6F1"/>
          </w:tcPr>
          <w:p>
            <w:pPr>
              <w:pStyle w:val="Compact"/>
              <w:spacing w:after="20" w:before="20"/>
              <w:jc w:val="left"/>
            </w:pPr>
            <w:r>
              <w:rPr>
                <w:b/>
                <w:sz w:val="16"/>
              </w:rPr>
              <w:t xml:space="preserve">Source / Stakeholder</w:t>
            </w:r>
          </w:p>
        </w:tc>
        <w:tc>
          <w:tcPr>
            <w:tcW w:type="dxa" w:w="1298"/>
            <w:shd w:val="clear" w:color="auto" w:fill="DCE6F1"/>
          </w:tcPr>
          <w:p>
            <w:pPr>
              <w:pStyle w:val="Compact"/>
              <w:spacing w:after="20" w:before="20"/>
              <w:jc w:val="left"/>
            </w:pPr>
            <w:r>
              <w:rPr>
                <w:b/>
                <w:sz w:val="16"/>
              </w:rPr>
              <w:t xml:space="preserve">Acceptance criteria / Test case ref</w:t>
            </w:r>
          </w:p>
        </w:tc>
        <w:tc>
          <w:tcPr>
            <w:tcW w:type="dxa" w:w="1556"/>
            <w:shd w:val="clear" w:color="auto" w:fill="DCE6F1"/>
          </w:tcPr>
          <w:p>
            <w:pPr>
              <w:pStyle w:val="Compact"/>
              <w:spacing w:after="20" w:before="20"/>
              <w:jc w:val="left"/>
            </w:pPr>
            <w:r>
              <w:rPr>
                <w:b/>
                <w:sz w:val="16"/>
              </w:rPr>
              <w:t xml:space="preserve">Comments / Dependencies</w:t>
            </w:r>
          </w:p>
        </w:tc>
      </w:tr>
      <w:tr>
        <w:tc>
          <w:tcPr>
            <w:tcW w:type="dxa" w:w="715"/>
          </w:tcPr>
          <w:p>
            <w:pPr>
              <w:pStyle w:val="Compact"/>
              <w:spacing w:after="20" w:before="20"/>
              <w:jc w:val="left"/>
            </w:pPr>
            <w:r>
              <w:rPr>
                <w:sz w:val="16"/>
              </w:rPr>
              <w:t xml:space="preserve">FR-17</w:t>
            </w:r>
          </w:p>
        </w:tc>
        <w:tc>
          <w:tcPr>
            <w:tcW w:type="dxa" w:w="2396"/>
          </w:tcPr>
          <w:p>
            <w:pPr>
              <w:pStyle w:val="Compact"/>
              <w:spacing w:after="20" w:before="20"/>
              <w:jc w:val="left"/>
            </w:pPr>
            <w:r>
              <w:rPr>
                <w:sz w:val="16"/>
              </w:rPr>
              <w:t xml:space="preserve">The system shall let a user upload documents (PDF, JPEG, PNG or WebP, ≤ 10 MB) with a title, tags and an optional link to a loan or asset; list them filtered by link, tag or search text with summary statistics; download them (owner only); and delete them. When the file storage cannot be written it shall state that the vault is unavailable rather than fail silently.</w:t>
            </w:r>
          </w:p>
        </w:tc>
        <w:tc>
          <w:tcPr>
            <w:tcW w:type="dxa" w:w="1224"/>
          </w:tcPr>
          <w:p>
            <w:pPr>
              <w:pStyle w:val="Compact"/>
              <w:spacing w:after="20" w:before="20"/>
              <w:jc w:val="left"/>
            </w:pPr>
            <w:r>
              <w:rPr>
                <w:sz w:val="16"/>
              </w:rPr>
              <w:t xml:space="preserve">Functional</w:t>
            </w:r>
          </w:p>
        </w:tc>
        <w:tc>
          <w:tcPr>
            <w:tcW w:type="dxa" w:w="1013"/>
          </w:tcPr>
          <w:p>
            <w:pPr>
              <w:pStyle w:val="Compact"/>
              <w:spacing w:after="20" w:before="20"/>
              <w:jc w:val="left"/>
            </w:pPr>
            <w:r>
              <w:rPr>
                <w:sz w:val="16"/>
              </w:rPr>
              <w:t xml:space="preserve">Medium</w:t>
            </w:r>
          </w:p>
        </w:tc>
        <w:tc>
          <w:tcPr>
            <w:tcW w:type="dxa" w:w="1302"/>
          </w:tcPr>
          <w:p>
            <w:pPr>
              <w:pStyle w:val="Compact"/>
              <w:spacing w:after="20" w:before="20"/>
              <w:jc w:val="left"/>
            </w:pPr>
            <w:r>
              <w:rPr>
                <w:sz w:val="16"/>
              </w:rPr>
              <w:t xml:space="preserve">Users</w:t>
            </w:r>
          </w:p>
        </w:tc>
        <w:tc>
          <w:tcPr>
            <w:tcW w:type="dxa" w:w="1298"/>
          </w:tcPr>
          <w:p>
            <w:pPr>
              <w:pStyle w:val="Compact"/>
              <w:spacing w:after="20" w:before="20"/>
              <w:jc w:val="left"/>
            </w:pPr>
            <w:r>
              <w:rPr>
                <w:sz w:val="16"/>
              </w:rPr>
              <w:t xml:space="preserve">AC-17 · TC-036, TC-037, TC-038</w:t>
            </w:r>
          </w:p>
        </w:tc>
        <w:tc>
          <w:tcPr>
            <w:tcW w:type="dxa" w:w="1556"/>
          </w:tcPr>
          <w:p>
            <w:pPr>
              <w:pStyle w:val="Compact"/>
              <w:spacing w:after="20" w:before="20"/>
              <w:jc w:val="left"/>
            </w:pPr>
            <w:r>
              <w:rPr>
                <w:sz w:val="16"/>
              </w:rPr>
              <w:t xml:space="preserve">Metadata in PostgreSQL; files in private storage</w:t>
            </w:r>
          </w:p>
        </w:tc>
      </w:tr>
    </w:tbl>
    <w:bookmarkEnd w:id="44"/>
    <w:bookmarkStart w:id="45" w:name="dashboard-and-analytics"/>
    <w:p>
      <w:pPr>
        <w:pStyle w:val="Heading2"/>
      </w:pPr>
      <w:r>
        <w:t xml:space="preserve">4.7 Dashboard and Analytics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01"/>
        <w:gridCol w:w="2667"/>
        <w:gridCol w:w="1199"/>
        <w:gridCol w:w="993"/>
        <w:gridCol w:w="1288"/>
        <w:gridCol w:w="1219"/>
        <w:gridCol w:w="1434"/>
      </w:tblGrid>
      <w:tr>
        <w:trPr>
          <w:tblHeader w:val="true"/>
          <w:tblHeader w:val="true"/>
        </w:trPr>
        <w:tc>
          <w:tcPr>
            <w:tcW w:type="dxa" w:w="701"/>
            <w:shd w:val="clear" w:color="auto" w:fill="DCE6F1"/>
          </w:tcPr>
          <w:p>
            <w:pPr>
              <w:pStyle w:val="Compact"/>
              <w:spacing w:after="20" w:before="20"/>
              <w:jc w:val="left"/>
            </w:pPr>
            <w:r>
              <w:rPr>
                <w:b/>
                <w:sz w:val="16"/>
              </w:rPr>
              <w:t xml:space="preserve">Req ID</w:t>
            </w:r>
          </w:p>
        </w:tc>
        <w:tc>
          <w:tcPr>
            <w:tcW w:type="dxa" w:w="2667"/>
            <w:shd w:val="clear" w:color="auto" w:fill="DCE6F1"/>
          </w:tcPr>
          <w:p>
            <w:pPr>
              <w:pStyle w:val="Compact"/>
              <w:spacing w:after="20" w:before="20"/>
              <w:jc w:val="left"/>
            </w:pPr>
            <w:r>
              <w:rPr>
                <w:b/>
                <w:sz w:val="16"/>
              </w:rPr>
              <w:t xml:space="preserve">Requirement (shall…)</w:t>
            </w:r>
          </w:p>
        </w:tc>
        <w:tc>
          <w:tcPr>
            <w:tcW w:type="dxa" w:w="1200"/>
            <w:shd w:val="clear" w:color="auto" w:fill="DCE6F1"/>
          </w:tcPr>
          <w:p>
            <w:pPr>
              <w:pStyle w:val="Compact"/>
              <w:spacing w:after="20" w:before="20"/>
              <w:jc w:val="left"/>
            </w:pPr>
            <w:r>
              <w:rPr>
                <w:b/>
                <w:sz w:val="16"/>
              </w:rPr>
              <w:t xml:space="preserve">Type</w:t>
            </w:r>
          </w:p>
        </w:tc>
        <w:tc>
          <w:tcPr>
            <w:tcW w:type="dxa" w:w="993"/>
            <w:shd w:val="clear" w:color="auto" w:fill="DCE6F1"/>
          </w:tcPr>
          <w:p>
            <w:pPr>
              <w:pStyle w:val="Compact"/>
              <w:spacing w:after="20" w:before="20"/>
              <w:jc w:val="left"/>
            </w:pPr>
            <w:r>
              <w:rPr>
                <w:b/>
                <w:sz w:val="16"/>
              </w:rPr>
              <w:t xml:space="preserve">Priority</w:t>
            </w:r>
          </w:p>
        </w:tc>
        <w:tc>
          <w:tcPr>
            <w:tcW w:type="dxa" w:w="1289"/>
            <w:shd w:val="clear" w:color="auto" w:fill="DCE6F1"/>
          </w:tcPr>
          <w:p>
            <w:pPr>
              <w:pStyle w:val="Compact"/>
              <w:spacing w:after="20" w:before="20"/>
              <w:jc w:val="left"/>
            </w:pPr>
            <w:r>
              <w:rPr>
                <w:b/>
                <w:sz w:val="16"/>
              </w:rPr>
              <w:t xml:space="preserve">Source / Stakeholder</w:t>
            </w:r>
          </w:p>
        </w:tc>
        <w:tc>
          <w:tcPr>
            <w:tcW w:type="dxa" w:w="1219"/>
            <w:shd w:val="clear" w:color="auto" w:fill="DCE6F1"/>
          </w:tcPr>
          <w:p>
            <w:pPr>
              <w:pStyle w:val="Compact"/>
              <w:spacing w:after="20" w:before="20"/>
              <w:jc w:val="left"/>
            </w:pPr>
            <w:r>
              <w:rPr>
                <w:b/>
                <w:sz w:val="16"/>
              </w:rPr>
              <w:t xml:space="preserve">Acceptance criteria / Test case ref</w:t>
            </w:r>
          </w:p>
        </w:tc>
        <w:tc>
          <w:tcPr>
            <w:tcW w:type="dxa" w:w="1435"/>
            <w:shd w:val="clear" w:color="auto" w:fill="DCE6F1"/>
          </w:tcPr>
          <w:p>
            <w:pPr>
              <w:pStyle w:val="Compact"/>
              <w:spacing w:after="20" w:before="20"/>
              <w:jc w:val="left"/>
            </w:pPr>
            <w:r>
              <w:rPr>
                <w:b/>
                <w:sz w:val="16"/>
              </w:rPr>
              <w:t xml:space="preserve">Comments / Dependencies</w:t>
            </w:r>
          </w:p>
        </w:tc>
      </w:tr>
      <w:tr>
        <w:tc>
          <w:tcPr>
            <w:tcW w:type="dxa" w:w="701"/>
          </w:tcPr>
          <w:p>
            <w:pPr>
              <w:pStyle w:val="Compact"/>
              <w:spacing w:after="20" w:before="20"/>
              <w:jc w:val="left"/>
            </w:pPr>
            <w:r>
              <w:rPr>
                <w:sz w:val="16"/>
              </w:rPr>
              <w:t xml:space="preserve">FR-18</w:t>
            </w:r>
          </w:p>
        </w:tc>
        <w:tc>
          <w:tcPr>
            <w:tcW w:type="dxa" w:w="2667"/>
          </w:tcPr>
          <w:p>
            <w:pPr>
              <w:pStyle w:val="Compact"/>
              <w:spacing w:after="20" w:before="20"/>
              <w:jc w:val="left"/>
            </w:pPr>
            <w:r>
              <w:rPr>
                <w:sz w:val="16"/>
              </w:rPr>
              <w:t xml:space="preserve">The system shall present a dashboard showing current net worth (assets, liabilities, net worth), the net worth trend with month-on-month change, asset allocation by type with percentage share, loan payoff progress, the next upcoming dues, 12-month income-versus-expense cash flow and recurring expenses (categories appearing in at least 3 distinct months). Today’s net worth snapshot shall be saved (one per day) each time the dashboard is loaded, so the trend reflects changes to assets, loans and EMI payments.</w:t>
            </w:r>
          </w:p>
        </w:tc>
        <w:tc>
          <w:tcPr>
            <w:tcW w:type="dxa" w:w="1200"/>
          </w:tcPr>
          <w:p>
            <w:pPr>
              <w:pStyle w:val="Compact"/>
              <w:spacing w:after="20" w:before="20"/>
              <w:jc w:val="left"/>
            </w:pPr>
            <w:r>
              <w:rPr>
                <w:sz w:val="16"/>
              </w:rPr>
              <w:t xml:space="preserve">Functional</w:t>
            </w:r>
          </w:p>
        </w:tc>
        <w:tc>
          <w:tcPr>
            <w:tcW w:type="dxa" w:w="993"/>
          </w:tcPr>
          <w:p>
            <w:pPr>
              <w:pStyle w:val="Compact"/>
              <w:spacing w:after="20" w:before="20"/>
              <w:jc w:val="left"/>
            </w:pPr>
            <w:r>
              <w:rPr>
                <w:sz w:val="16"/>
              </w:rPr>
              <w:t xml:space="preserve">High</w:t>
            </w:r>
          </w:p>
        </w:tc>
        <w:tc>
          <w:tcPr>
            <w:tcW w:type="dxa" w:w="1289"/>
          </w:tcPr>
          <w:p>
            <w:pPr>
              <w:pStyle w:val="Compact"/>
              <w:spacing w:after="20" w:before="20"/>
              <w:jc w:val="left"/>
            </w:pPr>
            <w:r>
              <w:rPr>
                <w:sz w:val="16"/>
              </w:rPr>
              <w:t xml:space="preserve">Users</w:t>
            </w:r>
          </w:p>
        </w:tc>
        <w:tc>
          <w:tcPr>
            <w:tcW w:type="dxa" w:w="1219"/>
          </w:tcPr>
          <w:p>
            <w:pPr>
              <w:pStyle w:val="Compact"/>
              <w:spacing w:after="20" w:before="20"/>
              <w:jc w:val="left"/>
            </w:pPr>
            <w:r>
              <w:rPr>
                <w:sz w:val="16"/>
              </w:rPr>
              <w:t xml:space="preserve">AC-18 · TC-039, TC-010</w:t>
            </w:r>
          </w:p>
        </w:tc>
        <w:tc>
          <w:tcPr>
            <w:tcW w:type="dxa" w:w="1435"/>
          </w:tcPr>
          <w:p>
            <w:pPr>
              <w:pStyle w:val="Compact"/>
              <w:spacing w:after="20" w:before="20"/>
              <w:jc w:val="left"/>
            </w:pPr>
            <w:r>
              <w:rPr>
                <w:sz w:val="16"/>
              </w:rPr>
              <w:t xml:space="preserve">A new user sees zeros, not an error</w:t>
            </w:r>
          </w:p>
        </w:tc>
      </w:tr>
    </w:tbl>
    <w:bookmarkEnd w:id="45"/>
    <w:bookmarkStart w:id="46" w:name="insights"/>
    <w:p>
      <w:pPr>
        <w:pStyle w:val="Heading2"/>
      </w:pPr>
      <w:r>
        <w:t xml:space="preserve">4.8 Insights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06"/>
        <w:gridCol w:w="2641"/>
        <w:gridCol w:w="1209"/>
        <w:gridCol w:w="997"/>
        <w:gridCol w:w="1294"/>
        <w:gridCol w:w="1219"/>
        <w:gridCol w:w="1434"/>
      </w:tblGrid>
      <w:tr>
        <w:trPr>
          <w:tblHeader w:val="true"/>
          <w:tblHeader w:val="true"/>
        </w:trPr>
        <w:tc>
          <w:tcPr>
            <w:tcW w:type="dxa" w:w="707"/>
            <w:shd w:val="clear" w:color="auto" w:fill="DCE6F1"/>
          </w:tcPr>
          <w:p>
            <w:pPr>
              <w:pStyle w:val="Compact"/>
              <w:spacing w:after="20" w:before="20"/>
              <w:jc w:val="left"/>
            </w:pPr>
            <w:r>
              <w:rPr>
                <w:b/>
                <w:sz w:val="16"/>
              </w:rPr>
              <w:t xml:space="preserve">Req ID</w:t>
            </w:r>
          </w:p>
        </w:tc>
        <w:tc>
          <w:tcPr>
            <w:tcW w:type="dxa" w:w="2641"/>
            <w:shd w:val="clear" w:color="auto" w:fill="DCE6F1"/>
          </w:tcPr>
          <w:p>
            <w:pPr>
              <w:pStyle w:val="Compact"/>
              <w:spacing w:after="20" w:before="20"/>
              <w:jc w:val="left"/>
            </w:pPr>
            <w:r>
              <w:rPr>
                <w:b/>
                <w:sz w:val="16"/>
              </w:rPr>
              <w:t xml:space="preserve">Requirement (shall…)</w:t>
            </w:r>
          </w:p>
        </w:tc>
        <w:tc>
          <w:tcPr>
            <w:tcW w:type="dxa" w:w="1210"/>
            <w:shd w:val="clear" w:color="auto" w:fill="DCE6F1"/>
          </w:tcPr>
          <w:p>
            <w:pPr>
              <w:pStyle w:val="Compact"/>
              <w:spacing w:after="20" w:before="20"/>
              <w:jc w:val="left"/>
            </w:pPr>
            <w:r>
              <w:rPr>
                <w:b/>
                <w:sz w:val="16"/>
              </w:rPr>
              <w:t xml:space="preserve">Type</w:t>
            </w:r>
          </w:p>
        </w:tc>
        <w:tc>
          <w:tcPr>
            <w:tcW w:type="dxa" w:w="998"/>
            <w:shd w:val="clear" w:color="auto" w:fill="DCE6F1"/>
          </w:tcPr>
          <w:p>
            <w:pPr>
              <w:pStyle w:val="Compact"/>
              <w:spacing w:after="20" w:before="20"/>
              <w:jc w:val="left"/>
            </w:pPr>
            <w:r>
              <w:rPr>
                <w:b/>
                <w:sz w:val="16"/>
              </w:rPr>
              <w:t xml:space="preserve">Priority</w:t>
            </w:r>
          </w:p>
        </w:tc>
        <w:tc>
          <w:tcPr>
            <w:tcW w:type="dxa" w:w="1294"/>
            <w:shd w:val="clear" w:color="auto" w:fill="DCE6F1"/>
          </w:tcPr>
          <w:p>
            <w:pPr>
              <w:pStyle w:val="Compact"/>
              <w:spacing w:after="20" w:before="20"/>
              <w:jc w:val="left"/>
            </w:pPr>
            <w:r>
              <w:rPr>
                <w:b/>
                <w:sz w:val="16"/>
              </w:rPr>
              <w:t xml:space="preserve">Source / Stakeholder</w:t>
            </w:r>
          </w:p>
        </w:tc>
        <w:tc>
          <w:tcPr>
            <w:tcW w:type="dxa" w:w="1220"/>
            <w:shd w:val="clear" w:color="auto" w:fill="DCE6F1"/>
          </w:tcPr>
          <w:p>
            <w:pPr>
              <w:pStyle w:val="Compact"/>
              <w:spacing w:after="20" w:before="20"/>
              <w:jc w:val="left"/>
            </w:pPr>
            <w:r>
              <w:rPr>
                <w:b/>
                <w:sz w:val="16"/>
              </w:rPr>
              <w:t xml:space="preserve">Acceptance criteria / Test case ref</w:t>
            </w:r>
          </w:p>
        </w:tc>
        <w:tc>
          <w:tcPr>
            <w:tcW w:type="dxa" w:w="1435"/>
            <w:shd w:val="clear" w:color="auto" w:fill="DCE6F1"/>
          </w:tcPr>
          <w:p>
            <w:pPr>
              <w:pStyle w:val="Compact"/>
              <w:spacing w:after="20" w:before="20"/>
              <w:jc w:val="left"/>
            </w:pPr>
            <w:r>
              <w:rPr>
                <w:b/>
                <w:sz w:val="16"/>
              </w:rPr>
              <w:t xml:space="preserve">Comments / Dependencies</w:t>
            </w:r>
          </w:p>
        </w:tc>
      </w:tr>
      <w:tr>
        <w:tc>
          <w:tcPr>
            <w:tcW w:type="dxa" w:w="707"/>
          </w:tcPr>
          <w:p>
            <w:pPr>
              <w:pStyle w:val="Compact"/>
              <w:spacing w:after="20" w:before="20"/>
              <w:jc w:val="left"/>
            </w:pPr>
            <w:r>
              <w:rPr>
                <w:sz w:val="16"/>
              </w:rPr>
              <w:t xml:space="preserve">FR-19</w:t>
            </w:r>
          </w:p>
        </w:tc>
        <w:tc>
          <w:tcPr>
            <w:tcW w:type="dxa" w:w="2641"/>
          </w:tcPr>
          <w:p>
            <w:pPr>
              <w:pStyle w:val="Compact"/>
              <w:spacing w:after="20" w:before="20"/>
              <w:jc w:val="left"/>
            </w:pPr>
            <w:r>
              <w:rPr>
                <w:sz w:val="16"/>
              </w:rPr>
              <w:t xml:space="preserve">The system shall compute a derived credit score in the range 300–900 from the user’s WealthWise repayment records, using weighted factors (payment history, debt-to-assets, loan mix, history length, track record), keep a score history with factor breakdown, recompute it each time it is requested (adding a history entry whenever the score or a factor has changed, for example after an EMI is paid or becomes overdue), and label it everywhere as not a bureau (CIBIL/Experian/Equifax) score.</w:t>
            </w:r>
          </w:p>
        </w:tc>
        <w:tc>
          <w:tcPr>
            <w:tcW w:type="dxa" w:w="1210"/>
          </w:tcPr>
          <w:p>
            <w:pPr>
              <w:pStyle w:val="Compact"/>
              <w:spacing w:after="20" w:before="20"/>
              <w:jc w:val="left"/>
            </w:pPr>
            <w:r>
              <w:rPr>
                <w:sz w:val="16"/>
              </w:rPr>
              <w:t xml:space="preserve">Functional</w:t>
            </w:r>
          </w:p>
        </w:tc>
        <w:tc>
          <w:tcPr>
            <w:tcW w:type="dxa" w:w="998"/>
          </w:tcPr>
          <w:p>
            <w:pPr>
              <w:pStyle w:val="Compact"/>
              <w:spacing w:after="20" w:before="20"/>
              <w:jc w:val="left"/>
            </w:pPr>
            <w:r>
              <w:rPr>
                <w:sz w:val="16"/>
              </w:rPr>
              <w:t xml:space="preserve">Medium</w:t>
            </w:r>
          </w:p>
        </w:tc>
        <w:tc>
          <w:tcPr>
            <w:tcW w:type="dxa" w:w="1294"/>
          </w:tcPr>
          <w:p>
            <w:pPr>
              <w:pStyle w:val="Compact"/>
              <w:spacing w:after="20" w:before="20"/>
              <w:jc w:val="left"/>
            </w:pPr>
            <w:r>
              <w:rPr>
                <w:sz w:val="16"/>
              </w:rPr>
              <w:t xml:space="preserve">Users</w:t>
            </w:r>
          </w:p>
        </w:tc>
        <w:tc>
          <w:tcPr>
            <w:tcW w:type="dxa" w:w="1220"/>
          </w:tcPr>
          <w:p>
            <w:pPr>
              <w:pStyle w:val="Compact"/>
              <w:spacing w:after="20" w:before="20"/>
              <w:jc w:val="left"/>
            </w:pPr>
            <w:r>
              <w:rPr>
                <w:sz w:val="16"/>
              </w:rPr>
              <w:t xml:space="preserve">AC-19 · TC-040</w:t>
            </w:r>
          </w:p>
        </w:tc>
        <w:tc>
          <w:tcPr>
            <w:tcW w:type="dxa" w:w="1435"/>
          </w:tcPr>
          <w:p>
            <w:pPr>
              <w:pStyle w:val="Compact"/>
              <w:spacing w:after="20" w:before="20"/>
              <w:jc w:val="left"/>
            </w:pPr>
            <w:r>
              <w:rPr>
                <w:sz w:val="16"/>
              </w:rPr>
              <w:t xml:space="preserve">Indicative only</w:t>
            </w:r>
          </w:p>
        </w:tc>
      </w:tr>
      <w:tr>
        <w:tc>
          <w:tcPr>
            <w:tcW w:type="dxa" w:w="707"/>
          </w:tcPr>
          <w:p>
            <w:pPr>
              <w:pStyle w:val="Compact"/>
              <w:spacing w:after="20" w:before="20"/>
              <w:jc w:val="left"/>
            </w:pPr>
            <w:r>
              <w:rPr>
                <w:sz w:val="16"/>
              </w:rPr>
              <w:t xml:space="preserve">FR-20</w:t>
            </w:r>
          </w:p>
        </w:tc>
        <w:tc>
          <w:tcPr>
            <w:tcW w:type="dxa" w:w="2641"/>
          </w:tcPr>
          <w:p>
            <w:pPr>
              <w:pStyle w:val="Compact"/>
              <w:spacing w:after="20" w:before="20"/>
              <w:jc w:val="left"/>
            </w:pPr>
            <w:r>
              <w:rPr>
                <w:sz w:val="16"/>
              </w:rPr>
              <w:t xml:space="preserve">The system shall, for a requested loan type, amount and tenure, compare products in the loan-product catalogue, pricing each for the user’s score, marking ineligible products with a reason, and ranking eligible products.</w:t>
            </w:r>
          </w:p>
        </w:tc>
        <w:tc>
          <w:tcPr>
            <w:tcW w:type="dxa" w:w="1210"/>
          </w:tcPr>
          <w:p>
            <w:pPr>
              <w:pStyle w:val="Compact"/>
              <w:spacing w:after="20" w:before="20"/>
              <w:jc w:val="left"/>
            </w:pPr>
            <w:r>
              <w:rPr>
                <w:sz w:val="16"/>
              </w:rPr>
              <w:t xml:space="preserve">Functional</w:t>
            </w:r>
          </w:p>
        </w:tc>
        <w:tc>
          <w:tcPr>
            <w:tcW w:type="dxa" w:w="998"/>
          </w:tcPr>
          <w:p>
            <w:pPr>
              <w:pStyle w:val="Compact"/>
              <w:spacing w:after="20" w:before="20"/>
              <w:jc w:val="left"/>
            </w:pPr>
            <w:r>
              <w:rPr>
                <w:sz w:val="16"/>
              </w:rPr>
              <w:t xml:space="preserve">Low</w:t>
            </w:r>
          </w:p>
        </w:tc>
        <w:tc>
          <w:tcPr>
            <w:tcW w:type="dxa" w:w="1294"/>
          </w:tcPr>
          <w:p>
            <w:pPr>
              <w:pStyle w:val="Compact"/>
              <w:spacing w:after="20" w:before="20"/>
              <w:jc w:val="left"/>
            </w:pPr>
            <w:r>
              <w:rPr>
                <w:sz w:val="16"/>
              </w:rPr>
              <w:t xml:space="preserve">Users</w:t>
            </w:r>
          </w:p>
        </w:tc>
        <w:tc>
          <w:tcPr>
            <w:tcW w:type="dxa" w:w="1220"/>
          </w:tcPr>
          <w:p>
            <w:pPr>
              <w:pStyle w:val="Compact"/>
              <w:spacing w:after="20" w:before="20"/>
              <w:jc w:val="left"/>
            </w:pPr>
            <w:r>
              <w:rPr>
                <w:sz w:val="16"/>
              </w:rPr>
              <w:t xml:space="preserve">AC-20 · TC-041</w:t>
            </w:r>
          </w:p>
        </w:tc>
        <w:tc>
          <w:tcPr>
            <w:tcW w:type="dxa" w:w="1435"/>
          </w:tcPr>
          <w:p>
            <w:pPr>
              <w:pStyle w:val="Compact"/>
              <w:spacing w:after="20" w:before="20"/>
              <w:jc w:val="left"/>
            </w:pPr>
            <w:r>
              <w:rPr>
                <w:sz w:val="16"/>
              </w:rPr>
              <w:t xml:space="preserve">Seeded catalogue; not advice</w:t>
            </w:r>
          </w:p>
        </w:tc>
      </w:tr>
      <w:tr>
        <w:tc>
          <w:tcPr>
            <w:tcW w:type="dxa" w:w="707"/>
          </w:tcPr>
          <w:p>
            <w:pPr>
              <w:pStyle w:val="Compact"/>
              <w:spacing w:after="20" w:before="20"/>
              <w:jc w:val="left"/>
            </w:pPr>
            <w:r>
              <w:rPr>
                <w:sz w:val="16"/>
              </w:rPr>
              <w:t xml:space="preserve">FR-21</w:t>
            </w:r>
          </w:p>
        </w:tc>
        <w:tc>
          <w:tcPr>
            <w:tcW w:type="dxa" w:w="2641"/>
          </w:tcPr>
          <w:p>
            <w:pPr>
              <w:pStyle w:val="Compact"/>
              <w:spacing w:after="20" w:before="20"/>
              <w:jc w:val="left"/>
            </w:pPr>
            <w:r>
              <w:rPr>
                <w:sz w:val="16"/>
              </w:rPr>
              <w:t xml:space="preserve">The system shall project the user’s net worth over 6–360 months at an asset growth rate of 0–30 % a year, optionally with one of the user’s loans closed early, comparing the scenario against the baseline.</w:t>
            </w:r>
          </w:p>
        </w:tc>
        <w:tc>
          <w:tcPr>
            <w:tcW w:type="dxa" w:w="1210"/>
          </w:tcPr>
          <w:p>
            <w:pPr>
              <w:pStyle w:val="Compact"/>
              <w:spacing w:after="20" w:before="20"/>
              <w:jc w:val="left"/>
            </w:pPr>
            <w:r>
              <w:rPr>
                <w:sz w:val="16"/>
              </w:rPr>
              <w:t xml:space="preserve">Functional</w:t>
            </w:r>
          </w:p>
        </w:tc>
        <w:tc>
          <w:tcPr>
            <w:tcW w:type="dxa" w:w="998"/>
          </w:tcPr>
          <w:p>
            <w:pPr>
              <w:pStyle w:val="Compact"/>
              <w:spacing w:after="20" w:before="20"/>
              <w:jc w:val="left"/>
            </w:pPr>
            <w:r>
              <w:rPr>
                <w:sz w:val="16"/>
              </w:rPr>
              <w:t xml:space="preserve">Low</w:t>
            </w:r>
          </w:p>
        </w:tc>
        <w:tc>
          <w:tcPr>
            <w:tcW w:type="dxa" w:w="1294"/>
          </w:tcPr>
          <w:p>
            <w:pPr>
              <w:pStyle w:val="Compact"/>
              <w:spacing w:after="20" w:before="20"/>
              <w:jc w:val="left"/>
            </w:pPr>
            <w:r>
              <w:rPr>
                <w:sz w:val="16"/>
              </w:rPr>
              <w:t xml:space="preserve">Users</w:t>
            </w:r>
          </w:p>
        </w:tc>
        <w:tc>
          <w:tcPr>
            <w:tcW w:type="dxa" w:w="1220"/>
          </w:tcPr>
          <w:p>
            <w:pPr>
              <w:pStyle w:val="Compact"/>
              <w:spacing w:after="20" w:before="20"/>
              <w:jc w:val="left"/>
            </w:pPr>
            <w:r>
              <w:rPr>
                <w:sz w:val="16"/>
              </w:rPr>
              <w:t xml:space="preserve">AC-21 · TC-042</w:t>
            </w:r>
          </w:p>
        </w:tc>
        <w:tc>
          <w:tcPr>
            <w:tcW w:type="dxa" w:w="1435"/>
          </w:tcPr>
          <w:p>
            <w:pPr>
              <w:pStyle w:val="Compact"/>
              <w:spacing w:after="20" w:before="20"/>
              <w:jc w:val="left"/>
            </w:pPr>
            <w:r>
              <w:rPr>
                <w:sz w:val="16"/>
              </w:rPr>
              <w:t xml:space="preserve">Default 60 months, 8 %</w:t>
            </w:r>
          </w:p>
        </w:tc>
      </w:tr>
    </w:tbl>
    <w:bookmarkEnd w:id="46"/>
    <w:bookmarkStart w:id="47" w:name="reports"/>
    <w:p>
      <w:pPr>
        <w:pStyle w:val="Heading2"/>
      </w:pPr>
      <w:r>
        <w:t xml:space="preserve">4.9 Reports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23"/>
        <w:gridCol w:w="2451"/>
        <w:gridCol w:w="1241"/>
        <w:gridCol w:w="1023"/>
        <w:gridCol w:w="1311"/>
        <w:gridCol w:w="1262"/>
        <w:gridCol w:w="1491"/>
      </w:tblGrid>
      <w:tr>
        <w:trPr>
          <w:tblHeader w:val="true"/>
          <w:tblHeader w:val="true"/>
        </w:trPr>
        <w:tc>
          <w:tcPr>
            <w:tcW w:type="dxa" w:w="723"/>
            <w:shd w:val="clear" w:color="auto" w:fill="DCE6F1"/>
          </w:tcPr>
          <w:p>
            <w:pPr>
              <w:pStyle w:val="Compact"/>
              <w:spacing w:after="20" w:before="20"/>
              <w:jc w:val="left"/>
            </w:pPr>
            <w:r>
              <w:rPr>
                <w:b/>
                <w:sz w:val="16"/>
              </w:rPr>
              <w:t xml:space="preserve">Req ID</w:t>
            </w:r>
          </w:p>
        </w:tc>
        <w:tc>
          <w:tcPr>
            <w:tcW w:type="dxa" w:w="2451"/>
            <w:shd w:val="clear" w:color="auto" w:fill="DCE6F1"/>
          </w:tcPr>
          <w:p>
            <w:pPr>
              <w:pStyle w:val="Compact"/>
              <w:spacing w:after="20" w:before="20"/>
              <w:jc w:val="left"/>
            </w:pPr>
            <w:r>
              <w:rPr>
                <w:b/>
                <w:sz w:val="16"/>
              </w:rPr>
              <w:t xml:space="preserve">Requirement (shall…)</w:t>
            </w:r>
          </w:p>
        </w:tc>
        <w:tc>
          <w:tcPr>
            <w:tcW w:type="dxa" w:w="1241"/>
            <w:shd w:val="clear" w:color="auto" w:fill="DCE6F1"/>
          </w:tcPr>
          <w:p>
            <w:pPr>
              <w:pStyle w:val="Compact"/>
              <w:spacing w:after="20" w:before="20"/>
              <w:jc w:val="left"/>
            </w:pPr>
            <w:r>
              <w:rPr>
                <w:b/>
                <w:sz w:val="16"/>
              </w:rPr>
              <w:t xml:space="preserve">Type</w:t>
            </w:r>
          </w:p>
        </w:tc>
        <w:tc>
          <w:tcPr>
            <w:tcW w:type="dxa" w:w="1023"/>
            <w:shd w:val="clear" w:color="auto" w:fill="DCE6F1"/>
          </w:tcPr>
          <w:p>
            <w:pPr>
              <w:pStyle w:val="Compact"/>
              <w:spacing w:after="20" w:before="20"/>
              <w:jc w:val="left"/>
            </w:pPr>
            <w:r>
              <w:rPr>
                <w:b/>
                <w:sz w:val="16"/>
              </w:rPr>
              <w:t xml:space="preserve">Priority</w:t>
            </w:r>
          </w:p>
        </w:tc>
        <w:tc>
          <w:tcPr>
            <w:tcW w:type="dxa" w:w="1311"/>
            <w:shd w:val="clear" w:color="auto" w:fill="DCE6F1"/>
          </w:tcPr>
          <w:p>
            <w:pPr>
              <w:pStyle w:val="Compact"/>
              <w:spacing w:after="20" w:before="20"/>
              <w:jc w:val="left"/>
            </w:pPr>
            <w:r>
              <w:rPr>
                <w:b/>
                <w:sz w:val="16"/>
              </w:rPr>
              <w:t xml:space="preserve">Source / Stakeholder</w:t>
            </w:r>
          </w:p>
        </w:tc>
        <w:tc>
          <w:tcPr>
            <w:tcW w:type="dxa" w:w="1262"/>
            <w:shd w:val="clear" w:color="auto" w:fill="DCE6F1"/>
          </w:tcPr>
          <w:p>
            <w:pPr>
              <w:pStyle w:val="Compact"/>
              <w:spacing w:after="20" w:before="20"/>
              <w:jc w:val="left"/>
            </w:pPr>
            <w:r>
              <w:rPr>
                <w:b/>
                <w:sz w:val="16"/>
              </w:rPr>
              <w:t xml:space="preserve">Acceptance criteria / Test case ref</w:t>
            </w:r>
          </w:p>
        </w:tc>
        <w:tc>
          <w:tcPr>
            <w:tcW w:type="dxa" w:w="1492"/>
            <w:shd w:val="clear" w:color="auto" w:fill="DCE6F1"/>
          </w:tcPr>
          <w:p>
            <w:pPr>
              <w:pStyle w:val="Compact"/>
              <w:spacing w:after="20" w:before="20"/>
              <w:jc w:val="left"/>
            </w:pPr>
            <w:r>
              <w:rPr>
                <w:b/>
                <w:sz w:val="16"/>
              </w:rPr>
              <w:t xml:space="preserve">Comments / Dependencies</w:t>
            </w:r>
          </w:p>
        </w:tc>
      </w:tr>
      <w:tr>
        <w:tc>
          <w:tcPr>
            <w:tcW w:type="dxa" w:w="723"/>
          </w:tcPr>
          <w:p>
            <w:pPr>
              <w:pStyle w:val="Compact"/>
              <w:spacing w:after="20" w:before="20"/>
              <w:jc w:val="left"/>
            </w:pPr>
            <w:r>
              <w:rPr>
                <w:sz w:val="16"/>
              </w:rPr>
              <w:t xml:space="preserve">FR-22</w:t>
            </w:r>
          </w:p>
        </w:tc>
        <w:tc>
          <w:tcPr>
            <w:tcW w:type="dxa" w:w="2451"/>
          </w:tcPr>
          <w:p>
            <w:pPr>
              <w:pStyle w:val="Compact"/>
              <w:spacing w:after="20" w:before="20"/>
              <w:jc w:val="left"/>
            </w:pPr>
            <w:r>
              <w:rPr>
                <w:sz w:val="16"/>
              </w:rPr>
              <w:t xml:space="preserve">The system shall produce a financial-year report (1 April – 31 March) for a selectable year, including income/expense summary, category spend, loan summary and indicative tax-deduction hints.</w:t>
            </w:r>
          </w:p>
        </w:tc>
        <w:tc>
          <w:tcPr>
            <w:tcW w:type="dxa" w:w="1241"/>
          </w:tcPr>
          <w:p>
            <w:pPr>
              <w:pStyle w:val="Compact"/>
              <w:spacing w:after="20" w:before="20"/>
              <w:jc w:val="left"/>
            </w:pPr>
            <w:r>
              <w:rPr>
                <w:sz w:val="16"/>
              </w:rPr>
              <w:t xml:space="preserve">Functional</w:t>
            </w:r>
          </w:p>
        </w:tc>
        <w:tc>
          <w:tcPr>
            <w:tcW w:type="dxa" w:w="1023"/>
          </w:tcPr>
          <w:p>
            <w:pPr>
              <w:pStyle w:val="Compact"/>
              <w:spacing w:after="20" w:before="20"/>
              <w:jc w:val="left"/>
            </w:pPr>
            <w:r>
              <w:rPr>
                <w:sz w:val="16"/>
              </w:rPr>
              <w:t xml:space="preserve">Medium</w:t>
            </w:r>
          </w:p>
        </w:tc>
        <w:tc>
          <w:tcPr>
            <w:tcW w:type="dxa" w:w="1311"/>
          </w:tcPr>
          <w:p>
            <w:pPr>
              <w:pStyle w:val="Compact"/>
              <w:spacing w:after="20" w:before="20"/>
              <w:jc w:val="left"/>
            </w:pPr>
            <w:r>
              <w:rPr>
                <w:sz w:val="16"/>
              </w:rPr>
              <w:t xml:space="preserve">Users</w:t>
            </w:r>
          </w:p>
        </w:tc>
        <w:tc>
          <w:tcPr>
            <w:tcW w:type="dxa" w:w="1262"/>
          </w:tcPr>
          <w:p>
            <w:pPr>
              <w:pStyle w:val="Compact"/>
              <w:spacing w:after="20" w:before="20"/>
              <w:jc w:val="left"/>
            </w:pPr>
            <w:r>
              <w:rPr>
                <w:sz w:val="16"/>
              </w:rPr>
              <w:t xml:space="preserve">AC-22 · TC-043</w:t>
            </w:r>
          </w:p>
        </w:tc>
        <w:tc>
          <w:tcPr>
            <w:tcW w:type="dxa" w:w="1492"/>
          </w:tcPr>
          <w:p>
            <w:pPr>
              <w:pStyle w:val="Compact"/>
              <w:spacing w:after="20" w:before="20"/>
              <w:jc w:val="left"/>
            </w:pPr>
            <w:r>
              <w:rPr>
                <w:sz w:val="16"/>
              </w:rPr>
              <w:t xml:space="preserve">Hints are indicative, not tax advice</w:t>
            </w:r>
          </w:p>
        </w:tc>
      </w:tr>
      <w:tr>
        <w:tc>
          <w:tcPr>
            <w:tcW w:type="dxa" w:w="723"/>
          </w:tcPr>
          <w:p>
            <w:pPr>
              <w:pStyle w:val="Compact"/>
              <w:spacing w:after="20" w:before="20"/>
              <w:jc w:val="left"/>
            </w:pPr>
            <w:r>
              <w:rPr>
                <w:sz w:val="16"/>
              </w:rPr>
              <w:t xml:space="preserve">FR-23</w:t>
            </w:r>
          </w:p>
        </w:tc>
        <w:tc>
          <w:tcPr>
            <w:tcW w:type="dxa" w:w="2451"/>
          </w:tcPr>
          <w:p>
            <w:pPr>
              <w:pStyle w:val="Compact"/>
              <w:spacing w:after="20" w:before="20"/>
              <w:jc w:val="left"/>
            </w:pPr>
            <w:r>
              <w:rPr>
                <w:sz w:val="16"/>
              </w:rPr>
              <w:t xml:space="preserve">The system shall generate a downloadable PDF net worth statement containing a summary, assets, active liabilities, the last 12 months of net worth and the current FY to date, with the user’s PAN masked.</w:t>
            </w:r>
          </w:p>
        </w:tc>
        <w:tc>
          <w:tcPr>
            <w:tcW w:type="dxa" w:w="1241"/>
          </w:tcPr>
          <w:p>
            <w:pPr>
              <w:pStyle w:val="Compact"/>
              <w:spacing w:after="20" w:before="20"/>
              <w:jc w:val="left"/>
            </w:pPr>
            <w:r>
              <w:rPr>
                <w:sz w:val="16"/>
              </w:rPr>
              <w:t xml:space="preserve">Functional</w:t>
            </w:r>
          </w:p>
        </w:tc>
        <w:tc>
          <w:tcPr>
            <w:tcW w:type="dxa" w:w="1023"/>
          </w:tcPr>
          <w:p>
            <w:pPr>
              <w:pStyle w:val="Compact"/>
              <w:spacing w:after="20" w:before="20"/>
              <w:jc w:val="left"/>
            </w:pPr>
            <w:r>
              <w:rPr>
                <w:sz w:val="16"/>
              </w:rPr>
              <w:t xml:space="preserve">Medium</w:t>
            </w:r>
          </w:p>
        </w:tc>
        <w:tc>
          <w:tcPr>
            <w:tcW w:type="dxa" w:w="1311"/>
          </w:tcPr>
          <w:p>
            <w:pPr>
              <w:pStyle w:val="Compact"/>
              <w:spacing w:after="20" w:before="20"/>
              <w:jc w:val="left"/>
            </w:pPr>
            <w:r>
              <w:rPr>
                <w:sz w:val="16"/>
              </w:rPr>
              <w:t xml:space="preserve">Users</w:t>
            </w:r>
          </w:p>
        </w:tc>
        <w:tc>
          <w:tcPr>
            <w:tcW w:type="dxa" w:w="1262"/>
          </w:tcPr>
          <w:p>
            <w:pPr>
              <w:pStyle w:val="Compact"/>
              <w:spacing w:after="20" w:before="20"/>
              <w:jc w:val="left"/>
            </w:pPr>
            <w:r>
              <w:rPr>
                <w:sz w:val="16"/>
              </w:rPr>
              <w:t xml:space="preserve">AC-23 · TC-044</w:t>
            </w:r>
          </w:p>
        </w:tc>
        <w:tc>
          <w:tcPr>
            <w:tcW w:type="dxa" w:w="1492"/>
          </w:tcPr>
          <w:p>
            <w:pPr>
              <w:pStyle w:val="Compact"/>
              <w:spacing w:after="20" w:before="20"/>
              <w:jc w:val="left"/>
            </w:pPr>
            <w:r>
              <w:rPr>
                <w:sz w:val="16"/>
              </w:rPr>
              <w:t xml:space="preserve">SR-09</w:t>
            </w:r>
          </w:p>
        </w:tc>
      </w:tr>
    </w:tbl>
    <w:bookmarkEnd w:id="47"/>
    <w:bookmarkStart w:id="48" w:name="notifications-and-news"/>
    <w:p>
      <w:pPr>
        <w:pStyle w:val="Heading2"/>
      </w:pPr>
      <w:r>
        <w:t xml:space="preserve">4.10 Notifications and News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18"/>
        <w:gridCol w:w="2528"/>
        <w:gridCol w:w="1230"/>
        <w:gridCol w:w="1009"/>
        <w:gridCol w:w="1305"/>
        <w:gridCol w:w="1248"/>
        <w:gridCol w:w="1463"/>
      </w:tblGrid>
      <w:tr>
        <w:trPr>
          <w:tblHeader w:val="true"/>
          <w:tblHeader w:val="true"/>
        </w:trPr>
        <w:tc>
          <w:tcPr>
            <w:tcW w:type="dxa" w:w="718"/>
            <w:shd w:val="clear" w:color="auto" w:fill="DCE6F1"/>
          </w:tcPr>
          <w:p>
            <w:pPr>
              <w:pStyle w:val="Compact"/>
              <w:spacing w:after="20" w:before="20"/>
              <w:jc w:val="left"/>
            </w:pPr>
            <w:r>
              <w:rPr>
                <w:b/>
                <w:sz w:val="16"/>
              </w:rPr>
              <w:t xml:space="preserve">Req ID</w:t>
            </w:r>
          </w:p>
        </w:tc>
        <w:tc>
          <w:tcPr>
            <w:tcW w:type="dxa" w:w="2528"/>
            <w:shd w:val="clear" w:color="auto" w:fill="DCE6F1"/>
          </w:tcPr>
          <w:p>
            <w:pPr>
              <w:pStyle w:val="Compact"/>
              <w:spacing w:after="20" w:before="20"/>
              <w:jc w:val="left"/>
            </w:pPr>
            <w:r>
              <w:rPr>
                <w:b/>
                <w:sz w:val="16"/>
              </w:rPr>
              <w:t xml:space="preserve">Requirement (shall…)</w:t>
            </w:r>
          </w:p>
        </w:tc>
        <w:tc>
          <w:tcPr>
            <w:tcW w:type="dxa" w:w="1231"/>
            <w:shd w:val="clear" w:color="auto" w:fill="DCE6F1"/>
          </w:tcPr>
          <w:p>
            <w:pPr>
              <w:pStyle w:val="Compact"/>
              <w:spacing w:after="20" w:before="20"/>
              <w:jc w:val="left"/>
            </w:pPr>
            <w:r>
              <w:rPr>
                <w:b/>
                <w:sz w:val="16"/>
              </w:rPr>
              <w:t xml:space="preserve">Type</w:t>
            </w:r>
          </w:p>
        </w:tc>
        <w:tc>
          <w:tcPr>
            <w:tcW w:type="dxa" w:w="1009"/>
            <w:shd w:val="clear" w:color="auto" w:fill="DCE6F1"/>
          </w:tcPr>
          <w:p>
            <w:pPr>
              <w:pStyle w:val="Compact"/>
              <w:spacing w:after="20" w:before="20"/>
              <w:jc w:val="left"/>
            </w:pPr>
            <w:r>
              <w:rPr>
                <w:b/>
                <w:sz w:val="16"/>
              </w:rPr>
              <w:t xml:space="preserve">Priority</w:t>
            </w:r>
          </w:p>
        </w:tc>
        <w:tc>
          <w:tcPr>
            <w:tcW w:type="dxa" w:w="1306"/>
            <w:shd w:val="clear" w:color="auto" w:fill="DCE6F1"/>
          </w:tcPr>
          <w:p>
            <w:pPr>
              <w:pStyle w:val="Compact"/>
              <w:spacing w:after="20" w:before="20"/>
              <w:jc w:val="left"/>
            </w:pPr>
            <w:r>
              <w:rPr>
                <w:b/>
                <w:sz w:val="16"/>
              </w:rPr>
              <w:t xml:space="preserve">Source / Stakeholder</w:t>
            </w:r>
          </w:p>
        </w:tc>
        <w:tc>
          <w:tcPr>
            <w:tcW w:type="dxa" w:w="1249"/>
            <w:shd w:val="clear" w:color="auto" w:fill="DCE6F1"/>
          </w:tcPr>
          <w:p>
            <w:pPr>
              <w:pStyle w:val="Compact"/>
              <w:spacing w:after="20" w:before="20"/>
              <w:jc w:val="left"/>
            </w:pPr>
            <w:r>
              <w:rPr>
                <w:b/>
                <w:sz w:val="16"/>
              </w:rPr>
              <w:t xml:space="preserve">Acceptance criteria / Test case ref</w:t>
            </w:r>
          </w:p>
        </w:tc>
        <w:tc>
          <w:tcPr>
            <w:tcW w:type="dxa" w:w="1464"/>
            <w:shd w:val="clear" w:color="auto" w:fill="DCE6F1"/>
          </w:tcPr>
          <w:p>
            <w:pPr>
              <w:pStyle w:val="Compact"/>
              <w:spacing w:after="20" w:before="20"/>
              <w:jc w:val="left"/>
            </w:pPr>
            <w:r>
              <w:rPr>
                <w:b/>
                <w:sz w:val="16"/>
              </w:rPr>
              <w:t xml:space="preserve">Comments / Dependencies</w:t>
            </w:r>
          </w:p>
        </w:tc>
      </w:tr>
      <w:tr>
        <w:tc>
          <w:tcPr>
            <w:tcW w:type="dxa" w:w="718"/>
          </w:tcPr>
          <w:p>
            <w:pPr>
              <w:pStyle w:val="Compact"/>
              <w:spacing w:after="20" w:before="20"/>
              <w:jc w:val="left"/>
            </w:pPr>
            <w:r>
              <w:rPr>
                <w:sz w:val="16"/>
              </w:rPr>
              <w:t xml:space="preserve">FR-24</w:t>
            </w:r>
          </w:p>
        </w:tc>
        <w:tc>
          <w:tcPr>
            <w:tcW w:type="dxa" w:w="2528"/>
          </w:tcPr>
          <w:p>
            <w:pPr>
              <w:pStyle w:val="Compact"/>
              <w:spacing w:after="20" w:before="20"/>
              <w:jc w:val="left"/>
            </w:pPr>
            <w:r>
              <w:rPr>
                <w:sz w:val="16"/>
              </w:rPr>
              <w:t xml:space="preserve">The system shall generate in-app reminders for installments due within 7 days and for overdue installments, at most once per installment and kind; show the unread count; and let the user mark one or all notifications as read.</w:t>
            </w:r>
          </w:p>
        </w:tc>
        <w:tc>
          <w:tcPr>
            <w:tcW w:type="dxa" w:w="1231"/>
          </w:tcPr>
          <w:p>
            <w:pPr>
              <w:pStyle w:val="Compact"/>
              <w:spacing w:after="20" w:before="20"/>
              <w:jc w:val="left"/>
            </w:pPr>
            <w:r>
              <w:rPr>
                <w:sz w:val="16"/>
              </w:rPr>
              <w:t xml:space="preserve">Functional</w:t>
            </w:r>
          </w:p>
        </w:tc>
        <w:tc>
          <w:tcPr>
            <w:tcW w:type="dxa" w:w="1009"/>
          </w:tcPr>
          <w:p>
            <w:pPr>
              <w:pStyle w:val="Compact"/>
              <w:spacing w:after="20" w:before="20"/>
              <w:jc w:val="left"/>
            </w:pPr>
            <w:r>
              <w:rPr>
                <w:sz w:val="16"/>
              </w:rPr>
              <w:t xml:space="preserve">Medium</w:t>
            </w:r>
          </w:p>
        </w:tc>
        <w:tc>
          <w:tcPr>
            <w:tcW w:type="dxa" w:w="1306"/>
          </w:tcPr>
          <w:p>
            <w:pPr>
              <w:pStyle w:val="Compact"/>
              <w:spacing w:after="20" w:before="20"/>
              <w:jc w:val="left"/>
            </w:pPr>
            <w:r>
              <w:rPr>
                <w:sz w:val="16"/>
              </w:rPr>
              <w:t xml:space="preserve">Users</w:t>
            </w:r>
          </w:p>
        </w:tc>
        <w:tc>
          <w:tcPr>
            <w:tcW w:type="dxa" w:w="1249"/>
          </w:tcPr>
          <w:p>
            <w:pPr>
              <w:pStyle w:val="Compact"/>
              <w:spacing w:after="20" w:before="20"/>
              <w:jc w:val="left"/>
            </w:pPr>
            <w:r>
              <w:rPr>
                <w:sz w:val="16"/>
              </w:rPr>
              <w:t xml:space="preserve">AC-24 · TC-045</w:t>
            </w:r>
          </w:p>
        </w:tc>
        <w:tc>
          <w:tcPr>
            <w:tcW w:type="dxa" w:w="1464"/>
          </w:tcPr>
          <w:p>
            <w:pPr>
              <w:pStyle w:val="Compact"/>
              <w:spacing w:after="20" w:before="20"/>
              <w:jc w:val="left"/>
            </w:pPr>
            <w:r>
              <w:rPr>
                <w:sz w:val="16"/>
              </w:rPr>
              <w:t xml:space="preserve">No email/SMS</w:t>
            </w:r>
          </w:p>
        </w:tc>
      </w:tr>
      <w:tr>
        <w:tc>
          <w:tcPr>
            <w:tcW w:type="dxa" w:w="718"/>
          </w:tcPr>
          <w:p>
            <w:pPr>
              <w:pStyle w:val="Compact"/>
              <w:spacing w:after="20" w:before="20"/>
              <w:jc w:val="left"/>
            </w:pPr>
            <w:r>
              <w:rPr>
                <w:sz w:val="16"/>
              </w:rPr>
              <w:t xml:space="preserve">FR-25</w:t>
            </w:r>
          </w:p>
        </w:tc>
        <w:tc>
          <w:tcPr>
            <w:tcW w:type="dxa" w:w="2528"/>
          </w:tcPr>
          <w:p>
            <w:pPr>
              <w:pStyle w:val="Compact"/>
              <w:spacing w:after="20" w:before="20"/>
              <w:jc w:val="left"/>
            </w:pPr>
            <w:r>
              <w:rPr>
                <w:sz w:val="16"/>
              </w:rPr>
              <w:t xml:space="preserve">The system shall show a news feed (filterable by category) built from the RBI press-release RSS feed and cached; for an article describing a lending-rate change, it shall compute the change in EMI for the user’s floating-rate loans. If the feed or cache is unavailable, clearly labelled illustrative sample articles shall be shown. Advisors may force a feed refresh.</w:t>
            </w:r>
          </w:p>
        </w:tc>
        <w:tc>
          <w:tcPr>
            <w:tcW w:type="dxa" w:w="1231"/>
          </w:tcPr>
          <w:p>
            <w:pPr>
              <w:pStyle w:val="Compact"/>
              <w:spacing w:after="20" w:before="20"/>
              <w:jc w:val="left"/>
            </w:pPr>
            <w:r>
              <w:rPr>
                <w:sz w:val="16"/>
              </w:rPr>
              <w:t xml:space="preserve">Functional</w:t>
            </w:r>
          </w:p>
        </w:tc>
        <w:tc>
          <w:tcPr>
            <w:tcW w:type="dxa" w:w="1009"/>
          </w:tcPr>
          <w:p>
            <w:pPr>
              <w:pStyle w:val="Compact"/>
              <w:spacing w:after="20" w:before="20"/>
              <w:jc w:val="left"/>
            </w:pPr>
            <w:r>
              <w:rPr>
                <w:sz w:val="16"/>
              </w:rPr>
              <w:t xml:space="preserve">Low</w:t>
            </w:r>
          </w:p>
        </w:tc>
        <w:tc>
          <w:tcPr>
            <w:tcW w:type="dxa" w:w="1306"/>
          </w:tcPr>
          <w:p>
            <w:pPr>
              <w:pStyle w:val="Compact"/>
              <w:spacing w:after="20" w:before="20"/>
              <w:jc w:val="left"/>
            </w:pPr>
            <w:r>
              <w:rPr>
                <w:sz w:val="16"/>
              </w:rPr>
              <w:t xml:space="preserve">Users</w:t>
            </w:r>
          </w:p>
        </w:tc>
        <w:tc>
          <w:tcPr>
            <w:tcW w:type="dxa" w:w="1249"/>
          </w:tcPr>
          <w:p>
            <w:pPr>
              <w:pStyle w:val="Compact"/>
              <w:spacing w:after="20" w:before="20"/>
              <w:jc w:val="left"/>
            </w:pPr>
            <w:r>
              <w:rPr>
                <w:sz w:val="16"/>
              </w:rPr>
              <w:t xml:space="preserve">AC-25 · TC-046</w:t>
            </w:r>
          </w:p>
        </w:tc>
        <w:tc>
          <w:tcPr>
            <w:tcW w:type="dxa" w:w="1464"/>
          </w:tcPr>
          <w:p>
            <w:pPr>
              <w:pStyle w:val="Compact"/>
              <w:spacing w:after="20" w:before="20"/>
              <w:jc w:val="left"/>
            </w:pPr>
            <w:r>
              <w:rPr>
                <w:sz w:val="16"/>
              </w:rPr>
              <w:t xml:space="preserve">Impact figures indicative</w:t>
            </w:r>
          </w:p>
        </w:tc>
      </w:tr>
    </w:tbl>
    <w:bookmarkEnd w:id="48"/>
    <w:bookmarkStart w:id="49" w:name="advisor-oversight"/>
    <w:p>
      <w:pPr>
        <w:pStyle w:val="Heading2"/>
      </w:pPr>
      <w:r>
        <w:t xml:space="preserve">4.11 Advisor Oversight</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14"/>
        <w:gridCol w:w="2473"/>
        <w:gridCol w:w="1224"/>
        <w:gridCol w:w="1012"/>
        <w:gridCol w:w="1341"/>
        <w:gridCol w:w="1239"/>
        <w:gridCol w:w="1499"/>
      </w:tblGrid>
      <w:tr>
        <w:trPr>
          <w:tblHeader w:val="true"/>
          <w:tblHeader w:val="true"/>
        </w:trPr>
        <w:tc>
          <w:tcPr>
            <w:tcW w:type="dxa" w:w="714"/>
            <w:shd w:val="clear" w:color="auto" w:fill="DCE6F1"/>
          </w:tcPr>
          <w:p>
            <w:pPr>
              <w:pStyle w:val="Compact"/>
              <w:spacing w:after="20" w:before="20"/>
              <w:jc w:val="left"/>
            </w:pPr>
            <w:r>
              <w:rPr>
                <w:b/>
                <w:sz w:val="16"/>
              </w:rPr>
              <w:t xml:space="preserve">Req ID</w:t>
            </w:r>
          </w:p>
        </w:tc>
        <w:tc>
          <w:tcPr>
            <w:tcW w:type="dxa" w:w="2473"/>
            <w:shd w:val="clear" w:color="auto" w:fill="DCE6F1"/>
          </w:tcPr>
          <w:p>
            <w:pPr>
              <w:pStyle w:val="Compact"/>
              <w:spacing w:after="20" w:before="20"/>
              <w:jc w:val="left"/>
            </w:pPr>
            <w:r>
              <w:rPr>
                <w:b/>
                <w:sz w:val="16"/>
              </w:rPr>
              <w:t xml:space="preserve">Requirement (shall…)</w:t>
            </w:r>
          </w:p>
        </w:tc>
        <w:tc>
          <w:tcPr>
            <w:tcW w:type="dxa" w:w="1224"/>
            <w:shd w:val="clear" w:color="auto" w:fill="DCE6F1"/>
          </w:tcPr>
          <w:p>
            <w:pPr>
              <w:pStyle w:val="Compact"/>
              <w:spacing w:after="20" w:before="20"/>
              <w:jc w:val="left"/>
            </w:pPr>
            <w:r>
              <w:rPr>
                <w:b/>
                <w:sz w:val="16"/>
              </w:rPr>
              <w:t xml:space="preserve">Type</w:t>
            </w:r>
          </w:p>
        </w:tc>
        <w:tc>
          <w:tcPr>
            <w:tcW w:type="dxa" w:w="1012"/>
            <w:shd w:val="clear" w:color="auto" w:fill="DCE6F1"/>
          </w:tcPr>
          <w:p>
            <w:pPr>
              <w:pStyle w:val="Compact"/>
              <w:spacing w:after="20" w:before="20"/>
              <w:jc w:val="left"/>
            </w:pPr>
            <w:r>
              <w:rPr>
                <w:b/>
                <w:sz w:val="16"/>
              </w:rPr>
              <w:t xml:space="preserve">Priority</w:t>
            </w:r>
          </w:p>
        </w:tc>
        <w:tc>
          <w:tcPr>
            <w:tcW w:type="dxa" w:w="1341"/>
            <w:shd w:val="clear" w:color="auto" w:fill="DCE6F1"/>
          </w:tcPr>
          <w:p>
            <w:pPr>
              <w:pStyle w:val="Compact"/>
              <w:spacing w:after="20" w:before="20"/>
              <w:jc w:val="left"/>
            </w:pPr>
            <w:r>
              <w:rPr>
                <w:b/>
                <w:sz w:val="16"/>
              </w:rPr>
              <w:t xml:space="preserve">Source / Stakeholder</w:t>
            </w:r>
          </w:p>
        </w:tc>
        <w:tc>
          <w:tcPr>
            <w:tcW w:type="dxa" w:w="1239"/>
            <w:shd w:val="clear" w:color="auto" w:fill="DCE6F1"/>
          </w:tcPr>
          <w:p>
            <w:pPr>
              <w:pStyle w:val="Compact"/>
              <w:spacing w:after="20" w:before="20"/>
              <w:jc w:val="left"/>
            </w:pPr>
            <w:r>
              <w:rPr>
                <w:b/>
                <w:sz w:val="16"/>
              </w:rPr>
              <w:t xml:space="preserve">Acceptance criteria / Test case ref</w:t>
            </w:r>
          </w:p>
        </w:tc>
        <w:tc>
          <w:tcPr>
            <w:tcW w:type="dxa" w:w="1500"/>
            <w:shd w:val="clear" w:color="auto" w:fill="DCE6F1"/>
          </w:tcPr>
          <w:p>
            <w:pPr>
              <w:pStyle w:val="Compact"/>
              <w:spacing w:after="20" w:before="20"/>
              <w:jc w:val="left"/>
            </w:pPr>
            <w:r>
              <w:rPr>
                <w:b/>
                <w:sz w:val="16"/>
              </w:rPr>
              <w:t xml:space="preserve">Comments / Dependencies</w:t>
            </w:r>
          </w:p>
        </w:tc>
      </w:tr>
      <w:tr>
        <w:tc>
          <w:tcPr>
            <w:tcW w:type="dxa" w:w="714"/>
          </w:tcPr>
          <w:p>
            <w:pPr>
              <w:pStyle w:val="Compact"/>
              <w:spacing w:after="20" w:before="20"/>
              <w:jc w:val="left"/>
            </w:pPr>
            <w:r>
              <w:rPr>
                <w:sz w:val="16"/>
              </w:rPr>
              <w:t xml:space="preserve">FR-26</w:t>
            </w:r>
          </w:p>
        </w:tc>
        <w:tc>
          <w:tcPr>
            <w:tcW w:type="dxa" w:w="2473"/>
          </w:tcPr>
          <w:p>
            <w:pPr>
              <w:pStyle w:val="Compact"/>
              <w:spacing w:after="20" w:before="20"/>
              <w:jc w:val="left"/>
            </w:pPr>
            <w:r>
              <w:rPr>
                <w:sz w:val="16"/>
              </w:rPr>
              <w:t xml:space="preserve">The system shall let an Individual user choose (or remove) their advisor by the advisor’s email, accepting only accounts with the Advisor role; show an Advisor a list of the clients assigned to them with each client’s current net worth summary; and allow the Advisor to read an assigned client’s assets and loans. Access to any non-assigned user shall be refused.</w:t>
            </w:r>
          </w:p>
        </w:tc>
        <w:tc>
          <w:tcPr>
            <w:tcW w:type="dxa" w:w="1224"/>
          </w:tcPr>
          <w:p>
            <w:pPr>
              <w:pStyle w:val="Compact"/>
              <w:spacing w:after="20" w:before="20"/>
              <w:jc w:val="left"/>
            </w:pPr>
            <w:r>
              <w:rPr>
                <w:sz w:val="16"/>
              </w:rPr>
              <w:t xml:space="preserve">Functional</w:t>
            </w:r>
          </w:p>
        </w:tc>
        <w:tc>
          <w:tcPr>
            <w:tcW w:type="dxa" w:w="1012"/>
          </w:tcPr>
          <w:p>
            <w:pPr>
              <w:pStyle w:val="Compact"/>
              <w:spacing w:after="20" w:before="20"/>
              <w:jc w:val="left"/>
            </w:pPr>
            <w:r>
              <w:rPr>
                <w:sz w:val="16"/>
              </w:rPr>
              <w:t xml:space="preserve">Medium</w:t>
            </w:r>
          </w:p>
        </w:tc>
        <w:tc>
          <w:tcPr>
            <w:tcW w:type="dxa" w:w="1341"/>
          </w:tcPr>
          <w:p>
            <w:pPr>
              <w:pStyle w:val="Compact"/>
              <w:spacing w:after="20" w:before="20"/>
              <w:jc w:val="left"/>
            </w:pPr>
            <w:r>
              <w:rPr>
                <w:sz w:val="16"/>
              </w:rPr>
              <w:t xml:space="preserve">Advisors, Users</w:t>
            </w:r>
          </w:p>
        </w:tc>
        <w:tc>
          <w:tcPr>
            <w:tcW w:type="dxa" w:w="1239"/>
          </w:tcPr>
          <w:p>
            <w:pPr>
              <w:pStyle w:val="Compact"/>
              <w:spacing w:after="20" w:before="20"/>
              <w:jc w:val="left"/>
            </w:pPr>
            <w:r>
              <w:rPr>
                <w:sz w:val="16"/>
              </w:rPr>
              <w:t xml:space="preserve">AC-26 · TC-047</w:t>
            </w:r>
          </w:p>
        </w:tc>
        <w:tc>
          <w:tcPr>
            <w:tcW w:type="dxa" w:w="1500"/>
          </w:tcPr>
          <w:p>
            <w:pPr>
              <w:pStyle w:val="Compact"/>
              <w:spacing w:after="20" w:before="20"/>
              <w:jc w:val="left"/>
            </w:pPr>
            <w:r>
              <w:rPr>
                <w:sz w:val="16"/>
              </w:rPr>
              <w:t xml:space="preserve">Read-only access for the advisor</w:t>
            </w:r>
          </w:p>
        </w:tc>
      </w:tr>
    </w:tbl>
    <w:bookmarkEnd w:id="49"/>
    <w:bookmarkEnd w:id="50"/>
    <w:bookmarkStart w:id="54" w:name="non-functional-requirements-detailed"/>
    <w:p>
      <w:pPr>
        <w:pStyle w:val="Heading1"/>
      </w:pPr>
      <w:r>
        <w:t xml:space="preserve">5. Non-functional requirements (detailed)</w:t>
      </w:r>
    </w:p>
    <w:p>
      <w:pPr>
        <w:pStyle w:val="FirstParagraph"/>
      </w:pPr>
      <w:r>
        <w:t xml:space="preserve">NFRs below are measurable and tied to test cases. Numeric targets are team-defined targets for the reference test environment (seeded demo data: three users, twelve months of transactions); measured baselines are recorded in the STP.</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839"/>
        <w:gridCol w:w="3504"/>
        <w:gridCol w:w="1805"/>
        <w:gridCol w:w="1029"/>
        <w:gridCol w:w="2325"/>
      </w:tblGrid>
      <w:tr>
        <w:trPr>
          <w:tblHeader w:val="true"/>
          <w:tblHeader w:val="true"/>
        </w:trPr>
        <w:tc>
          <w:tcPr>
            <w:tcW w:type="dxa" w:w="840"/>
            <w:shd w:val="clear" w:color="auto" w:fill="DCE6F1"/>
          </w:tcPr>
          <w:p>
            <w:pPr>
              <w:pStyle w:val="Compact"/>
              <w:spacing w:after="20" w:before="20"/>
              <w:jc w:val="left"/>
            </w:pPr>
            <w:r>
              <w:rPr>
                <w:b/>
                <w:sz w:val="16"/>
              </w:rPr>
              <w:t xml:space="preserve">Req ID</w:t>
            </w:r>
          </w:p>
        </w:tc>
        <w:tc>
          <w:tcPr>
            <w:tcW w:type="dxa" w:w="3504"/>
            <w:shd w:val="clear" w:color="auto" w:fill="DCE6F1"/>
          </w:tcPr>
          <w:p>
            <w:pPr>
              <w:pStyle w:val="Compact"/>
              <w:spacing w:after="20" w:before="20"/>
              <w:jc w:val="left"/>
            </w:pPr>
            <w:r>
              <w:rPr>
                <w:b/>
                <w:sz w:val="16"/>
              </w:rPr>
              <w:t xml:space="preserve">Requirement</w:t>
            </w:r>
          </w:p>
        </w:tc>
        <w:tc>
          <w:tcPr>
            <w:tcW w:type="dxa" w:w="1806"/>
            <w:shd w:val="clear" w:color="auto" w:fill="DCE6F1"/>
          </w:tcPr>
          <w:p>
            <w:pPr>
              <w:pStyle w:val="Compact"/>
              <w:spacing w:after="20" w:before="20"/>
              <w:jc w:val="left"/>
            </w:pPr>
            <w:r>
              <w:rPr>
                <w:b/>
                <w:sz w:val="16"/>
              </w:rPr>
              <w:t xml:space="preserve">Category</w:t>
            </w:r>
          </w:p>
        </w:tc>
        <w:tc>
          <w:tcPr>
            <w:tcW w:type="dxa" w:w="1029"/>
            <w:shd w:val="clear" w:color="auto" w:fill="DCE6F1"/>
          </w:tcPr>
          <w:p>
            <w:pPr>
              <w:pStyle w:val="Compact"/>
              <w:spacing w:after="20" w:before="20"/>
              <w:jc w:val="left"/>
            </w:pPr>
            <w:r>
              <w:rPr>
                <w:b/>
                <w:sz w:val="16"/>
              </w:rPr>
              <w:t xml:space="preserve">Priority</w:t>
            </w:r>
          </w:p>
        </w:tc>
        <w:tc>
          <w:tcPr>
            <w:tcW w:type="dxa" w:w="2325"/>
            <w:shd w:val="clear" w:color="auto" w:fill="DCE6F1"/>
          </w:tcPr>
          <w:p>
            <w:pPr>
              <w:pStyle w:val="Compact"/>
              <w:spacing w:after="20" w:before="20"/>
              <w:jc w:val="left"/>
            </w:pPr>
            <w:r>
              <w:rPr>
                <w:b/>
                <w:sz w:val="16"/>
              </w:rPr>
              <w:t xml:space="preserve">Acceptance criteria / Measurement</w:t>
            </w:r>
          </w:p>
        </w:tc>
      </w:tr>
      <w:tr>
        <w:tc>
          <w:tcPr>
            <w:tcW w:type="dxa" w:w="840"/>
          </w:tcPr>
          <w:p>
            <w:pPr>
              <w:pStyle w:val="Compact"/>
              <w:spacing w:after="20" w:before="20"/>
              <w:jc w:val="left"/>
            </w:pPr>
            <w:r>
              <w:rPr>
                <w:sz w:val="16"/>
              </w:rPr>
              <w:t xml:space="preserve">NFR-01</w:t>
            </w:r>
          </w:p>
        </w:tc>
        <w:tc>
          <w:tcPr>
            <w:tcW w:type="dxa" w:w="3504"/>
          </w:tcPr>
          <w:p>
            <w:pPr>
              <w:pStyle w:val="Compact"/>
              <w:spacing w:after="20" w:before="20"/>
              <w:jc w:val="left"/>
            </w:pPr>
            <w:r>
              <w:rPr>
                <w:sz w:val="16"/>
              </w:rPr>
              <w:t xml:space="preserve">The dashboard API (</w:t>
            </w:r>
            <w:r>
              <w:rPr>
                <w:rStyle w:val="VerbatimChar"/>
                <w:sz w:val="16"/>
              </w:rPr>
              <w:t xml:space="preserve">GET /api/dashboard</w:t>
            </w:r>
            <w:r>
              <w:rPr>
                <w:sz w:val="16"/>
              </w:rPr>
              <w:t xml:space="preserve">) shall respond within 2 seconds for 90 % of requests, and receipt OCR (</w:t>
            </w:r>
            <w:r>
              <w:rPr>
                <w:rStyle w:val="VerbatimChar"/>
                <w:sz w:val="16"/>
              </w:rPr>
              <w:t xml:space="preserve">POST /api/receipts/scan</w:t>
            </w:r>
            <w:r>
              <w:rPr>
                <w:sz w:val="16"/>
              </w:rPr>
              <w:t xml:space="preserve">) shall complete within 10 seconds for a typical receipt photo (≤ 2 MB), on the reference test environment.</w:t>
            </w:r>
          </w:p>
        </w:tc>
        <w:tc>
          <w:tcPr>
            <w:tcW w:type="dxa" w:w="1806"/>
          </w:tcPr>
          <w:p>
            <w:pPr>
              <w:pStyle w:val="Compact"/>
              <w:spacing w:after="20" w:before="20"/>
              <w:jc w:val="left"/>
            </w:pPr>
            <w:r>
              <w:rPr>
                <w:sz w:val="16"/>
              </w:rPr>
              <w:t xml:space="preserve">Performance</w:t>
            </w:r>
          </w:p>
        </w:tc>
        <w:tc>
          <w:tcPr>
            <w:tcW w:type="dxa" w:w="1029"/>
          </w:tcPr>
          <w:p>
            <w:pPr>
              <w:pStyle w:val="Compact"/>
              <w:spacing w:after="20" w:before="20"/>
              <w:jc w:val="left"/>
            </w:pPr>
            <w:r>
              <w:rPr>
                <w:sz w:val="16"/>
              </w:rPr>
              <w:t xml:space="preserve">Medium</w:t>
            </w:r>
          </w:p>
        </w:tc>
        <w:tc>
          <w:tcPr>
            <w:tcW w:type="dxa" w:w="2325"/>
          </w:tcPr>
          <w:p>
            <w:pPr>
              <w:pStyle w:val="Compact"/>
              <w:spacing w:after="20" w:before="20"/>
              <w:jc w:val="left"/>
            </w:pPr>
            <w:r>
              <w:rPr>
                <w:sz w:val="16"/>
              </w:rPr>
              <w:t xml:space="preserve">90th-percentile response time measured over 20 requests. Test: TC-054</w:t>
            </w:r>
          </w:p>
        </w:tc>
      </w:tr>
      <w:tr>
        <w:tc>
          <w:tcPr>
            <w:tcW w:type="dxa" w:w="840"/>
          </w:tcPr>
          <w:p>
            <w:pPr>
              <w:pStyle w:val="Compact"/>
              <w:spacing w:after="20" w:before="20"/>
              <w:jc w:val="left"/>
            </w:pPr>
            <w:r>
              <w:rPr>
                <w:sz w:val="16"/>
              </w:rPr>
              <w:t xml:space="preserve">NFR-02</w:t>
            </w:r>
          </w:p>
        </w:tc>
        <w:tc>
          <w:tcPr>
            <w:tcW w:type="dxa" w:w="3504"/>
          </w:tcPr>
          <w:p>
            <w:pPr>
              <w:pStyle w:val="Compact"/>
              <w:spacing w:after="20" w:before="20"/>
              <w:jc w:val="left"/>
            </w:pPr>
            <w:r>
              <w:rPr>
                <w:sz w:val="16"/>
              </w:rPr>
              <w:t xml:space="preserve">All monetary values shall be stored and computed with exact decimal arithmetic (2 decimal places). For every generated EMI schedule the principal components shall sum exactly to the loan principal and the final closing balance shall be exactly 0.00.</w:t>
            </w:r>
          </w:p>
        </w:tc>
        <w:tc>
          <w:tcPr>
            <w:tcW w:type="dxa" w:w="1806"/>
          </w:tcPr>
          <w:p>
            <w:pPr>
              <w:pStyle w:val="Compact"/>
              <w:spacing w:after="20" w:before="20"/>
              <w:jc w:val="left"/>
            </w:pPr>
            <w:r>
              <w:rPr>
                <w:sz w:val="16"/>
              </w:rPr>
              <w:t xml:space="preserve">Reliability / Accuracy</w:t>
            </w:r>
          </w:p>
        </w:tc>
        <w:tc>
          <w:tcPr>
            <w:tcW w:type="dxa" w:w="1029"/>
          </w:tcPr>
          <w:p>
            <w:pPr>
              <w:pStyle w:val="Compact"/>
              <w:spacing w:after="20" w:before="20"/>
              <w:jc w:val="left"/>
            </w:pPr>
            <w:r>
              <w:rPr>
                <w:sz w:val="16"/>
              </w:rPr>
              <w:t xml:space="preserve">High</w:t>
            </w:r>
          </w:p>
        </w:tc>
        <w:tc>
          <w:tcPr>
            <w:tcW w:type="dxa" w:w="2325"/>
          </w:tcPr>
          <w:p>
            <w:pPr>
              <w:pStyle w:val="Compact"/>
              <w:spacing w:after="20" w:before="20"/>
              <w:jc w:val="left"/>
            </w:pPr>
            <w:r>
              <w:rPr>
                <w:sz w:val="16"/>
              </w:rPr>
              <w:t xml:space="preserve">₹50,00,000 at 8.50 % for 240 months gives EMI ₹43,391.16 and Σ principal = ₹50,00,000.00. Test: TC-015, TC-055</w:t>
            </w:r>
          </w:p>
        </w:tc>
      </w:tr>
      <w:tr>
        <w:tc>
          <w:tcPr>
            <w:tcW w:type="dxa" w:w="840"/>
          </w:tcPr>
          <w:p>
            <w:pPr>
              <w:pStyle w:val="Compact"/>
              <w:spacing w:after="20" w:before="20"/>
              <w:jc w:val="left"/>
            </w:pPr>
            <w:r>
              <w:rPr>
                <w:sz w:val="16"/>
              </w:rPr>
              <w:t xml:space="preserve">NFR-03</w:t>
            </w:r>
          </w:p>
        </w:tc>
        <w:tc>
          <w:tcPr>
            <w:tcW w:type="dxa" w:w="3504"/>
          </w:tcPr>
          <w:p>
            <w:pPr>
              <w:pStyle w:val="Compact"/>
              <w:spacing w:after="20" w:before="20"/>
              <w:jc w:val="left"/>
            </w:pPr>
            <w:r>
              <w:rPr>
                <w:sz w:val="16"/>
              </w:rPr>
              <w:t xml:space="preserve">Multi-step operations (loan creation with schedule, EMI payment, statement-import commit, prepayment application) shall be atomic: on any failure no partial change shall remain.</w:t>
            </w:r>
          </w:p>
        </w:tc>
        <w:tc>
          <w:tcPr>
            <w:tcW w:type="dxa" w:w="1806"/>
          </w:tcPr>
          <w:p>
            <w:pPr>
              <w:pStyle w:val="Compact"/>
              <w:spacing w:after="20" w:before="20"/>
              <w:jc w:val="left"/>
            </w:pPr>
            <w:r>
              <w:rPr>
                <w:sz w:val="16"/>
              </w:rPr>
              <w:t xml:space="preserve">Reliability</w:t>
            </w:r>
          </w:p>
        </w:tc>
        <w:tc>
          <w:tcPr>
            <w:tcW w:type="dxa" w:w="1029"/>
          </w:tcPr>
          <w:p>
            <w:pPr>
              <w:pStyle w:val="Compact"/>
              <w:spacing w:after="20" w:before="20"/>
              <w:jc w:val="left"/>
            </w:pPr>
            <w:r>
              <w:rPr>
                <w:sz w:val="16"/>
              </w:rPr>
              <w:t xml:space="preserve">High</w:t>
            </w:r>
          </w:p>
        </w:tc>
        <w:tc>
          <w:tcPr>
            <w:tcW w:type="dxa" w:w="2325"/>
          </w:tcPr>
          <w:p>
            <w:pPr>
              <w:pStyle w:val="Compact"/>
              <w:spacing w:after="20" w:before="20"/>
              <w:jc w:val="left"/>
            </w:pPr>
            <w:r>
              <w:rPr>
                <w:sz w:val="16"/>
              </w:rPr>
              <w:t xml:space="preserve">Fault-injection tests show 0 rows changed after a forced mid-operation failure. Test: TC-025, TC-032</w:t>
            </w:r>
          </w:p>
        </w:tc>
      </w:tr>
      <w:tr>
        <w:tc>
          <w:tcPr>
            <w:tcW w:type="dxa" w:w="840"/>
          </w:tcPr>
          <w:p>
            <w:pPr>
              <w:pStyle w:val="Compact"/>
              <w:spacing w:after="20" w:before="20"/>
              <w:jc w:val="left"/>
            </w:pPr>
            <w:r>
              <w:rPr>
                <w:sz w:val="16"/>
              </w:rPr>
              <w:t xml:space="preserve">NFR-04</w:t>
            </w:r>
          </w:p>
        </w:tc>
        <w:tc>
          <w:tcPr>
            <w:tcW w:type="dxa" w:w="3504"/>
          </w:tcPr>
          <w:p>
            <w:pPr>
              <w:pStyle w:val="Compact"/>
              <w:spacing w:after="20" w:before="20"/>
              <w:jc w:val="left"/>
            </w:pPr>
            <w:r>
              <w:rPr>
                <w:sz w:val="16"/>
              </w:rPr>
              <w:t xml:space="preserve">Authentication, assets, loans, EMI payment, ledger, dashboard and statement import shall depend only on PostgreSQL. If an optional dependency fails, only the affected feature shall degrade, with an explicit message: vault file storage not writable → vault reports</w:t>
            </w:r>
            <w:r>
              <w:rPr>
                <w:sz w:val="16"/>
              </w:rPr>
              <w:t xml:space="preserve"> </w:t>
            </w:r>
            <w:r>
              <w:rPr>
                <w:sz w:val="16"/>
              </w:rPr>
              <w:t xml:space="preserve">“</w:t>
            </w:r>
            <w:r>
              <w:rPr>
                <w:sz w:val="16"/>
              </w:rPr>
              <w:t xml:space="preserve">unavailable</w:t>
            </w:r>
            <w:r>
              <w:rPr>
                <w:sz w:val="16"/>
              </w:rPr>
              <w:t xml:space="preserve">”</w:t>
            </w:r>
            <w:r>
              <w:rPr>
                <w:sz w:val="16"/>
              </w:rPr>
              <w:t xml:space="preserve"> </w:t>
            </w:r>
            <w:r>
              <w:rPr>
                <w:sz w:val="16"/>
              </w:rPr>
              <w:t xml:space="preserve">(HTTP 503) and a confirmed receipt is still recorded as an expense; RBI feed unreachable → cached or clearly labelled illustrative articles are shown and the feed is not retried for 60 seconds so requests do not stall.</w:t>
            </w:r>
          </w:p>
        </w:tc>
        <w:tc>
          <w:tcPr>
            <w:tcW w:type="dxa" w:w="1806"/>
          </w:tcPr>
          <w:p>
            <w:pPr>
              <w:pStyle w:val="Compact"/>
              <w:spacing w:after="20" w:before="20"/>
              <w:jc w:val="left"/>
            </w:pPr>
            <w:r>
              <w:rPr>
                <w:sz w:val="16"/>
              </w:rPr>
              <w:t xml:space="preserve">Availability</w:t>
            </w:r>
          </w:p>
        </w:tc>
        <w:tc>
          <w:tcPr>
            <w:tcW w:type="dxa" w:w="1029"/>
          </w:tcPr>
          <w:p>
            <w:pPr>
              <w:pStyle w:val="Compact"/>
              <w:spacing w:after="20" w:before="20"/>
              <w:jc w:val="left"/>
            </w:pPr>
            <w:r>
              <w:rPr>
                <w:sz w:val="16"/>
              </w:rPr>
              <w:t xml:space="preserve">High</w:t>
            </w:r>
          </w:p>
        </w:tc>
        <w:tc>
          <w:tcPr>
            <w:tcW w:type="dxa" w:w="2325"/>
          </w:tcPr>
          <w:p>
            <w:pPr>
              <w:pStyle w:val="Compact"/>
              <w:spacing w:after="20" w:before="20"/>
              <w:jc w:val="left"/>
            </w:pPr>
            <w:r>
              <w:rPr>
                <w:sz w:val="16"/>
              </w:rPr>
              <w:t xml:space="preserve">With the vault storage unwritable and the RBI feed blocked, all listed core functions succeed, the vault returns 503, and the news page responds without delay. Test: TC-038, TC-056</w:t>
            </w:r>
          </w:p>
        </w:tc>
      </w:tr>
      <w:tr>
        <w:tc>
          <w:tcPr>
            <w:tcW w:type="dxa" w:w="840"/>
          </w:tcPr>
          <w:p>
            <w:pPr>
              <w:pStyle w:val="Compact"/>
              <w:spacing w:after="20" w:before="20"/>
              <w:jc w:val="left"/>
            </w:pPr>
            <w:r>
              <w:rPr>
                <w:sz w:val="16"/>
              </w:rPr>
              <w:t xml:space="preserve">NFR-05</w:t>
            </w:r>
          </w:p>
        </w:tc>
        <w:tc>
          <w:tcPr>
            <w:tcW w:type="dxa" w:w="3504"/>
          </w:tcPr>
          <w:p>
            <w:pPr>
              <w:pStyle w:val="Compact"/>
              <w:spacing w:after="20" w:before="20"/>
              <w:jc w:val="left"/>
            </w:pPr>
            <w:r>
              <w:rPr>
                <w:sz w:val="16"/>
              </w:rPr>
              <w:t xml:space="preserve">The UI shall support light and dark themes (choice persisted, no flash of the wrong theme), use Indian digit grouping for every amount, and never use colour as the only channel in charts (legend, labels or table always present).</w:t>
            </w:r>
          </w:p>
        </w:tc>
        <w:tc>
          <w:tcPr>
            <w:tcW w:type="dxa" w:w="1806"/>
          </w:tcPr>
          <w:p>
            <w:pPr>
              <w:pStyle w:val="Compact"/>
              <w:spacing w:after="20" w:before="20"/>
              <w:jc w:val="left"/>
            </w:pPr>
            <w:r>
              <w:rPr>
                <w:sz w:val="16"/>
              </w:rPr>
              <w:t xml:space="preserve">Usability / Accessibility</w:t>
            </w:r>
          </w:p>
        </w:tc>
        <w:tc>
          <w:tcPr>
            <w:tcW w:type="dxa" w:w="1029"/>
          </w:tcPr>
          <w:p>
            <w:pPr>
              <w:pStyle w:val="Compact"/>
              <w:spacing w:after="20" w:before="20"/>
              <w:jc w:val="left"/>
            </w:pPr>
            <w:r>
              <w:rPr>
                <w:sz w:val="16"/>
              </w:rPr>
              <w:t xml:space="preserve">Medium</w:t>
            </w:r>
          </w:p>
        </w:tc>
        <w:tc>
          <w:tcPr>
            <w:tcW w:type="dxa" w:w="2325"/>
          </w:tcPr>
          <w:p>
            <w:pPr>
              <w:pStyle w:val="Compact"/>
              <w:spacing w:after="20" w:before="20"/>
              <w:jc w:val="left"/>
            </w:pPr>
            <w:r>
              <w:rPr>
                <w:sz w:val="16"/>
              </w:rPr>
              <w:t xml:space="preserve">Checklist review of all pages in both themes. Test: TC-057</w:t>
            </w:r>
          </w:p>
        </w:tc>
      </w:tr>
      <w:tr>
        <w:tc>
          <w:tcPr>
            <w:tcW w:type="dxa" w:w="840"/>
          </w:tcPr>
          <w:p>
            <w:pPr>
              <w:pStyle w:val="Compact"/>
              <w:spacing w:after="20" w:before="20"/>
              <w:jc w:val="left"/>
            </w:pPr>
            <w:r>
              <w:rPr>
                <w:sz w:val="16"/>
              </w:rPr>
              <w:t xml:space="preserve">NFR-06</w:t>
            </w:r>
          </w:p>
        </w:tc>
        <w:tc>
          <w:tcPr>
            <w:tcW w:type="dxa" w:w="3504"/>
          </w:tcPr>
          <w:p>
            <w:pPr>
              <w:pStyle w:val="Compact"/>
              <w:spacing w:after="20" w:before="20"/>
              <w:jc w:val="left"/>
            </w:pPr>
            <w:r>
              <w:rPr>
                <w:sz w:val="16"/>
              </w:rPr>
              <w:t xml:space="preserve">The code shall keep strict layering (UI components never query a database; route handlers contain no inline SQL), shall type-check with zero errors, and the automated test suite shall pass 100 %.</w:t>
            </w:r>
          </w:p>
        </w:tc>
        <w:tc>
          <w:tcPr>
            <w:tcW w:type="dxa" w:w="1806"/>
          </w:tcPr>
          <w:p>
            <w:pPr>
              <w:pStyle w:val="Compact"/>
              <w:spacing w:after="20" w:before="20"/>
              <w:jc w:val="left"/>
            </w:pPr>
            <w:r>
              <w:rPr>
                <w:sz w:val="16"/>
              </w:rPr>
              <w:t xml:space="preserve">Maintainability</w:t>
            </w:r>
          </w:p>
        </w:tc>
        <w:tc>
          <w:tcPr>
            <w:tcW w:type="dxa" w:w="1029"/>
          </w:tcPr>
          <w:p>
            <w:pPr>
              <w:pStyle w:val="Compact"/>
              <w:spacing w:after="20" w:before="20"/>
              <w:jc w:val="left"/>
            </w:pPr>
            <w:r>
              <w:rPr>
                <w:sz w:val="16"/>
              </w:rPr>
              <w:t xml:space="preserve">Medium</w:t>
            </w:r>
          </w:p>
        </w:tc>
        <w:tc>
          <w:tcPr>
            <w:tcW w:type="dxa" w:w="2325"/>
          </w:tcPr>
          <w:p>
            <w:pPr>
              <w:pStyle w:val="Compact"/>
              <w:spacing w:after="20" w:before="20"/>
              <w:jc w:val="left"/>
            </w:pPr>
            <w:r>
              <w:rPr>
                <w:rStyle w:val="VerbatimChar"/>
                <w:sz w:val="16"/>
              </w:rPr>
              <w:t xml:space="preserve">npm run typecheck</w:t>
            </w:r>
            <w:r>
              <w:rPr>
                <w:sz w:val="16"/>
              </w:rPr>
              <w:t xml:space="preserve"> </w:t>
            </w:r>
            <w:r>
              <w:rPr>
                <w:sz w:val="16"/>
              </w:rPr>
              <w:t xml:space="preserve">= 0 errors;</w:t>
            </w:r>
            <w:r>
              <w:rPr>
                <w:sz w:val="16"/>
              </w:rPr>
              <w:t xml:space="preserve"> </w:t>
            </w:r>
            <w:r>
              <w:rPr>
                <w:rStyle w:val="VerbatimChar"/>
                <w:sz w:val="16"/>
              </w:rPr>
              <w:t xml:space="preserve">npm test</w:t>
            </w:r>
            <w:r>
              <w:rPr>
                <w:sz w:val="16"/>
              </w:rPr>
              <w:t xml:space="preserve"> </w:t>
            </w:r>
            <w:r>
              <w:rPr>
                <w:sz w:val="16"/>
              </w:rPr>
              <w:t xml:space="preserve">= 0 failures; static review of layering. Test: TC-058</w:t>
            </w:r>
          </w:p>
        </w:tc>
      </w:tr>
      <w:tr>
        <w:tc>
          <w:tcPr>
            <w:tcW w:type="dxa" w:w="840"/>
          </w:tcPr>
          <w:p>
            <w:pPr>
              <w:pStyle w:val="Compact"/>
              <w:spacing w:after="20" w:before="20"/>
              <w:jc w:val="left"/>
            </w:pPr>
            <w:r>
              <w:rPr>
                <w:sz w:val="16"/>
              </w:rPr>
              <w:t xml:space="preserve">NFR-07</w:t>
            </w:r>
          </w:p>
        </w:tc>
        <w:tc>
          <w:tcPr>
            <w:tcW w:type="dxa" w:w="3504"/>
          </w:tcPr>
          <w:p>
            <w:pPr>
              <w:pStyle w:val="Compact"/>
              <w:spacing w:after="20" w:before="20"/>
              <w:jc w:val="left"/>
            </w:pPr>
            <w:r>
              <w:rPr>
                <w:sz w:val="16"/>
              </w:rPr>
              <w:t xml:space="preserve">All configuration and secrets (database URLs, JWT secret, token lifetime) shall be read from environment variables; the system shall run on Node.js 20+ and PostgreSQL 14+ after</w:t>
            </w:r>
            <w:r>
              <w:rPr>
                <w:sz w:val="16"/>
              </w:rPr>
              <w:t xml:space="preserve"> </w:t>
            </w:r>
            <w:r>
              <w:rPr>
                <w:rStyle w:val="VerbatimChar"/>
                <w:sz w:val="16"/>
              </w:rPr>
              <w:t xml:space="preserve">npm install</w:t>
            </w:r>
            <w:r>
              <w:rPr>
                <w:sz w:val="16"/>
              </w:rPr>
              <w:t xml:space="preserve">, migration and seed.</w:t>
            </w:r>
          </w:p>
        </w:tc>
        <w:tc>
          <w:tcPr>
            <w:tcW w:type="dxa" w:w="1806"/>
          </w:tcPr>
          <w:p>
            <w:pPr>
              <w:pStyle w:val="Compact"/>
              <w:spacing w:after="20" w:before="20"/>
              <w:jc w:val="left"/>
            </w:pPr>
            <w:r>
              <w:rPr>
                <w:sz w:val="16"/>
              </w:rPr>
              <w:t xml:space="preserve">Portability / Configurability</w:t>
            </w:r>
          </w:p>
        </w:tc>
        <w:tc>
          <w:tcPr>
            <w:tcW w:type="dxa" w:w="1029"/>
          </w:tcPr>
          <w:p>
            <w:pPr>
              <w:pStyle w:val="Compact"/>
              <w:spacing w:after="20" w:before="20"/>
              <w:jc w:val="left"/>
            </w:pPr>
            <w:r>
              <w:rPr>
                <w:sz w:val="16"/>
              </w:rPr>
              <w:t xml:space="preserve">Medium</w:t>
            </w:r>
          </w:p>
        </w:tc>
        <w:tc>
          <w:tcPr>
            <w:tcW w:type="dxa" w:w="2325"/>
          </w:tcPr>
          <w:p>
            <w:pPr>
              <w:pStyle w:val="Compact"/>
              <w:spacing w:after="20" w:before="20"/>
              <w:jc w:val="left"/>
            </w:pPr>
            <w:r>
              <w:rPr>
                <w:sz w:val="16"/>
              </w:rPr>
              <w:t xml:space="preserve">Fresh install on a clean machine following the setup steps succeeds; no secrets in source. Test: TC-053, TC-059</w:t>
            </w:r>
          </w:p>
        </w:tc>
      </w:tr>
    </w:tbl>
    <w:p>
      <w:pPr>
        <w:pStyle w:val="BodyText"/>
      </w:pPr>
      <w:r>
        <w:rPr>
          <w:iCs/>
          <w:i/>
        </w:rPr>
        <w:t xml:space="preserve">Scalability targets (concurrent users, data volumes beyond the demo set) are To be confirmed.</w:t>
      </w:r>
    </w:p>
    <w:bookmarkStart w:id="53" w:name="security"/>
    <w:p>
      <w:pPr>
        <w:pStyle w:val="Heading2"/>
      </w:pPr>
      <w:r>
        <w:t xml:space="preserve">5.1 Security</w:t>
      </w:r>
    </w:p>
    <w:bookmarkStart w:id="51" w:name="security-objectives"/>
    <w:p>
      <w:pPr>
        <w:pStyle w:val="Heading3"/>
      </w:pPr>
      <w:r>
        <w:t xml:space="preserve">5.1.1 Security Objectives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82"/>
        <w:gridCol w:w="8521"/>
      </w:tblGrid>
      <w:tr>
        <w:trPr>
          <w:tblHeader w:val="true"/>
          <w:tblHeader w:val="true"/>
        </w:trPr>
        <w:tc>
          <w:tcPr>
            <w:tcW w:type="dxa" w:w="982"/>
            <w:shd w:val="clear" w:color="auto" w:fill="DCE6F1"/>
          </w:tcPr>
          <w:p>
            <w:pPr>
              <w:pStyle w:val="Compact"/>
              <w:spacing w:after="20" w:before="20"/>
              <w:jc w:val="left"/>
            </w:pPr>
            <w:r>
              <w:rPr>
                <w:b/>
                <w:sz w:val="18"/>
              </w:rPr>
              <w:t xml:space="preserve">ID</w:t>
            </w:r>
          </w:p>
        </w:tc>
        <w:tc>
          <w:tcPr>
            <w:tcW w:type="dxa" w:w="8522"/>
            <w:shd w:val="clear" w:color="auto" w:fill="DCE6F1"/>
          </w:tcPr>
          <w:p>
            <w:pPr>
              <w:pStyle w:val="Compact"/>
              <w:spacing w:after="20" w:before="20"/>
              <w:jc w:val="left"/>
            </w:pPr>
            <w:r>
              <w:rPr>
                <w:b/>
                <w:sz w:val="18"/>
              </w:rPr>
              <w:t xml:space="preserve">Security objective</w:t>
            </w:r>
          </w:p>
        </w:tc>
      </w:tr>
      <w:tr>
        <w:tc>
          <w:tcPr>
            <w:tcW w:type="dxa" w:w="982"/>
          </w:tcPr>
          <w:p>
            <w:pPr>
              <w:pStyle w:val="Compact"/>
              <w:spacing w:after="20" w:before="20"/>
              <w:jc w:val="left"/>
            </w:pPr>
            <w:r>
              <w:rPr>
                <w:sz w:val="18"/>
              </w:rPr>
              <w:t xml:space="preserve">SO-01</w:t>
            </w:r>
          </w:p>
        </w:tc>
        <w:tc>
          <w:tcPr>
            <w:tcW w:type="dxa" w:w="8522"/>
          </w:tcPr>
          <w:p>
            <w:pPr>
              <w:pStyle w:val="Compact"/>
              <w:spacing w:after="20" w:before="20"/>
              <w:jc w:val="left"/>
            </w:pPr>
            <w:r>
              <w:rPr>
                <w:bCs/>
                <w:b/>
                <w:sz w:val="18"/>
              </w:rPr>
              <w:t xml:space="preserve">Confidentiality of personal financial data.</w:t>
            </w:r>
            <w:r>
              <w:rPr>
                <w:sz w:val="18"/>
              </w:rPr>
              <w:t xml:space="preserve"> </w:t>
            </w:r>
            <w:r>
              <w:rPr>
                <w:sz w:val="18"/>
              </w:rPr>
              <w:t xml:space="preserve">A user’s assets, loans, transactions, documents and reports shall be accessible only to that user and, for read access, to the advisor to whom the user is assigned.</w:t>
            </w:r>
          </w:p>
        </w:tc>
      </w:tr>
      <w:tr>
        <w:tc>
          <w:tcPr>
            <w:tcW w:type="dxa" w:w="982"/>
          </w:tcPr>
          <w:p>
            <w:pPr>
              <w:pStyle w:val="Compact"/>
              <w:spacing w:after="20" w:before="20"/>
              <w:jc w:val="left"/>
            </w:pPr>
            <w:r>
              <w:rPr>
                <w:sz w:val="18"/>
              </w:rPr>
              <w:t xml:space="preserve">SO-02</w:t>
            </w:r>
          </w:p>
        </w:tc>
        <w:tc>
          <w:tcPr>
            <w:tcW w:type="dxa" w:w="8522"/>
          </w:tcPr>
          <w:p>
            <w:pPr>
              <w:pStyle w:val="Compact"/>
              <w:spacing w:after="20" w:before="20"/>
              <w:jc w:val="left"/>
            </w:pPr>
            <w:r>
              <w:rPr>
                <w:bCs/>
                <w:b/>
                <w:sz w:val="18"/>
              </w:rPr>
              <w:t xml:space="preserve">Integrity of financial records.</w:t>
            </w:r>
            <w:r>
              <w:rPr>
                <w:sz w:val="18"/>
              </w:rPr>
              <w:t xml:space="preserve"> </w:t>
            </w:r>
            <w:r>
              <w:rPr>
                <w:sz w:val="18"/>
              </w:rPr>
              <w:t xml:space="preserve">Financial records shall not be corrupted by invalid input, injection, or partially completed operations.</w:t>
            </w:r>
          </w:p>
        </w:tc>
      </w:tr>
      <w:tr>
        <w:tc>
          <w:tcPr>
            <w:tcW w:type="dxa" w:w="982"/>
          </w:tcPr>
          <w:p>
            <w:pPr>
              <w:pStyle w:val="Compact"/>
              <w:spacing w:after="20" w:before="20"/>
              <w:jc w:val="left"/>
            </w:pPr>
            <w:r>
              <w:rPr>
                <w:sz w:val="18"/>
              </w:rPr>
              <w:t xml:space="preserve">SO-03</w:t>
            </w:r>
          </w:p>
        </w:tc>
        <w:tc>
          <w:tcPr>
            <w:tcW w:type="dxa" w:w="8522"/>
          </w:tcPr>
          <w:p>
            <w:pPr>
              <w:pStyle w:val="Compact"/>
              <w:spacing w:after="20" w:before="20"/>
              <w:jc w:val="left"/>
            </w:pPr>
            <w:r>
              <w:rPr>
                <w:bCs/>
                <w:b/>
                <w:sz w:val="18"/>
              </w:rPr>
              <w:t xml:space="preserve">Protection of credentials and sessions.</w:t>
            </w:r>
            <w:r>
              <w:rPr>
                <w:sz w:val="18"/>
              </w:rPr>
              <w:t xml:space="preserve"> </w:t>
            </w:r>
            <w:r>
              <w:rPr>
                <w:sz w:val="18"/>
              </w:rPr>
              <w:t xml:space="preserve">Passwords and session tokens shall be protected so that they cannot be recovered, forged or stolen through the client.</w:t>
            </w:r>
          </w:p>
        </w:tc>
      </w:tr>
    </w:tbl>
    <w:bookmarkEnd w:id="51"/>
    <w:bookmarkStart w:id="52" w:name="security-requirements"/>
    <w:p>
      <w:pPr>
        <w:pStyle w:val="Heading3"/>
      </w:pPr>
      <w:r>
        <w:t xml:space="preserve">5.1.2 Security Requirements</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90"/>
        <w:gridCol w:w="4669"/>
        <w:gridCol w:w="1137"/>
        <w:gridCol w:w="1074"/>
        <w:gridCol w:w="1831"/>
      </w:tblGrid>
      <w:tr>
        <w:trPr>
          <w:tblHeader w:val="true"/>
          <w:tblHeader w:val="true"/>
        </w:trPr>
        <w:tc>
          <w:tcPr>
            <w:tcW w:type="dxa" w:w="791"/>
            <w:shd w:val="clear" w:color="auto" w:fill="DCE6F1"/>
          </w:tcPr>
          <w:p>
            <w:pPr>
              <w:pStyle w:val="Compact"/>
              <w:spacing w:after="20" w:before="20"/>
              <w:jc w:val="left"/>
            </w:pPr>
            <w:r>
              <w:rPr>
                <w:b/>
                <w:sz w:val="16"/>
              </w:rPr>
              <w:t xml:space="preserve">Req ID</w:t>
            </w:r>
          </w:p>
        </w:tc>
        <w:tc>
          <w:tcPr>
            <w:tcW w:type="dxa" w:w="4670"/>
            <w:shd w:val="clear" w:color="auto" w:fill="DCE6F1"/>
          </w:tcPr>
          <w:p>
            <w:pPr>
              <w:pStyle w:val="Compact"/>
              <w:spacing w:after="20" w:before="20"/>
              <w:jc w:val="left"/>
            </w:pPr>
            <w:r>
              <w:rPr>
                <w:b/>
                <w:sz w:val="16"/>
              </w:rPr>
              <w:t xml:space="preserve">Requirement (shall…)</w:t>
            </w:r>
          </w:p>
        </w:tc>
        <w:tc>
          <w:tcPr>
            <w:tcW w:type="dxa" w:w="1137"/>
            <w:shd w:val="clear" w:color="auto" w:fill="DCE6F1"/>
          </w:tcPr>
          <w:p>
            <w:pPr>
              <w:pStyle w:val="Compact"/>
              <w:spacing w:after="20" w:before="20"/>
              <w:jc w:val="left"/>
            </w:pPr>
            <w:r>
              <w:rPr>
                <w:b/>
                <w:sz w:val="16"/>
              </w:rPr>
              <w:t xml:space="preserve">Type</w:t>
            </w:r>
          </w:p>
        </w:tc>
        <w:tc>
          <w:tcPr>
            <w:tcW w:type="dxa" w:w="1075"/>
            <w:shd w:val="clear" w:color="auto" w:fill="DCE6F1"/>
          </w:tcPr>
          <w:p>
            <w:pPr>
              <w:pStyle w:val="Compact"/>
              <w:spacing w:after="20" w:before="20"/>
              <w:jc w:val="left"/>
            </w:pPr>
            <w:r>
              <w:rPr>
                <w:b/>
                <w:sz w:val="16"/>
              </w:rPr>
              <w:t xml:space="preserve">Priority</w:t>
            </w:r>
          </w:p>
        </w:tc>
        <w:tc>
          <w:tcPr>
            <w:tcW w:type="dxa" w:w="1832"/>
            <w:shd w:val="clear" w:color="auto" w:fill="DCE6F1"/>
          </w:tcPr>
          <w:p>
            <w:pPr>
              <w:pStyle w:val="Compact"/>
              <w:spacing w:after="20" w:before="20"/>
              <w:jc w:val="left"/>
            </w:pPr>
            <w:r>
              <w:rPr>
                <w:b/>
                <w:sz w:val="16"/>
              </w:rPr>
              <w:t xml:space="preserve">Acceptance criteria / Test case ref</w:t>
            </w:r>
          </w:p>
        </w:tc>
      </w:tr>
      <w:tr>
        <w:tc>
          <w:tcPr>
            <w:tcW w:type="dxa" w:w="791"/>
          </w:tcPr>
          <w:p>
            <w:pPr>
              <w:pStyle w:val="Compact"/>
              <w:spacing w:after="20" w:before="20"/>
              <w:jc w:val="left"/>
            </w:pPr>
            <w:r>
              <w:rPr>
                <w:sz w:val="16"/>
              </w:rPr>
              <w:t xml:space="preserve">SR-01</w:t>
            </w:r>
          </w:p>
        </w:tc>
        <w:tc>
          <w:tcPr>
            <w:tcW w:type="dxa" w:w="4670"/>
          </w:tcPr>
          <w:p>
            <w:pPr>
              <w:pStyle w:val="Compact"/>
              <w:spacing w:after="20" w:before="20"/>
              <w:jc w:val="left"/>
            </w:pPr>
            <w:r>
              <w:rPr>
                <w:sz w:val="16"/>
              </w:rPr>
              <w:t xml:space="preserve">The system shall store passwords only as bcrypt hashes with cost factor 12 and shall never store, log or return a plaintext password or the hash.</w:t>
            </w:r>
          </w:p>
        </w:tc>
        <w:tc>
          <w:tcPr>
            <w:tcW w:type="dxa" w:w="1137"/>
          </w:tcPr>
          <w:p>
            <w:pPr>
              <w:pStyle w:val="Compact"/>
              <w:spacing w:after="20" w:before="20"/>
              <w:jc w:val="left"/>
            </w:pPr>
            <w:r>
              <w:rPr>
                <w:sz w:val="16"/>
              </w:rPr>
              <w:t xml:space="preserve">Security</w:t>
            </w:r>
          </w:p>
        </w:tc>
        <w:tc>
          <w:tcPr>
            <w:tcW w:type="dxa" w:w="1075"/>
          </w:tcPr>
          <w:p>
            <w:pPr>
              <w:pStyle w:val="Compact"/>
              <w:spacing w:after="20" w:before="20"/>
              <w:jc w:val="left"/>
            </w:pPr>
            <w:r>
              <w:rPr>
                <w:sz w:val="16"/>
              </w:rPr>
              <w:t xml:space="preserve">High</w:t>
            </w:r>
          </w:p>
        </w:tc>
        <w:tc>
          <w:tcPr>
            <w:tcW w:type="dxa" w:w="1832"/>
          </w:tcPr>
          <w:p>
            <w:pPr>
              <w:pStyle w:val="Compact"/>
              <w:spacing w:after="20" w:before="20"/>
              <w:jc w:val="left"/>
            </w:pPr>
            <w:r>
              <w:rPr>
                <w:sz w:val="16"/>
              </w:rPr>
              <w:t xml:space="preserve">Stored value is a bcrypt</w:t>
            </w:r>
            <w:r>
              <w:rPr>
                <w:sz w:val="16"/>
              </w:rPr>
              <w:t xml:space="preserve"> </w:t>
            </w:r>
            <w:r>
              <w:rPr>
                <w:rStyle w:val="VerbatimChar"/>
                <w:sz w:val="16"/>
              </w:rPr>
              <w:t xml:space="preserve">$2a$12$…</w:t>
            </w:r>
            <w:r>
              <w:rPr>
                <w:sz w:val="16"/>
              </w:rPr>
              <w:t xml:space="preserve"> </w:t>
            </w:r>
            <w:r>
              <w:rPr>
                <w:sz w:val="16"/>
              </w:rPr>
              <w:t xml:space="preserve">hash; API responses contain no password fields. TC-048</w:t>
            </w:r>
          </w:p>
        </w:tc>
      </w:tr>
      <w:tr>
        <w:tc>
          <w:tcPr>
            <w:tcW w:type="dxa" w:w="791"/>
          </w:tcPr>
          <w:p>
            <w:pPr>
              <w:pStyle w:val="Compact"/>
              <w:spacing w:after="20" w:before="20"/>
              <w:jc w:val="left"/>
            </w:pPr>
            <w:r>
              <w:rPr>
                <w:sz w:val="16"/>
              </w:rPr>
              <w:t xml:space="preserve">SR-02</w:t>
            </w:r>
          </w:p>
        </w:tc>
        <w:tc>
          <w:tcPr>
            <w:tcW w:type="dxa" w:w="4670"/>
          </w:tcPr>
          <w:p>
            <w:pPr>
              <w:pStyle w:val="Compact"/>
              <w:spacing w:after="20" w:before="20"/>
              <w:jc w:val="left"/>
            </w:pPr>
            <w:r>
              <w:rPr>
                <w:sz w:val="16"/>
              </w:rPr>
              <w:t xml:space="preserve">The system shall issue sessions as HS256-signed JWTs (issuer</w:t>
            </w:r>
            <w:r>
              <w:rPr>
                <w:sz w:val="16"/>
              </w:rPr>
              <w:t xml:space="preserve"> </w:t>
            </w:r>
            <w:r>
              <w:rPr>
                <w:rStyle w:val="VerbatimChar"/>
                <w:sz w:val="16"/>
              </w:rPr>
              <w:t xml:space="preserve">wealthwise</w:t>
            </w:r>
            <w:r>
              <w:rPr>
                <w:sz w:val="16"/>
              </w:rPr>
              <w:t xml:space="preserve">, configurable expiry, default 7 days) using a secret of at least 32 characters, delivered in an</w:t>
            </w:r>
            <w:r>
              <w:rPr>
                <w:sz w:val="16"/>
              </w:rPr>
              <w:t xml:space="preserve"> </w:t>
            </w:r>
            <w:r>
              <w:rPr>
                <w:rStyle w:val="VerbatimChar"/>
                <w:sz w:val="16"/>
              </w:rPr>
              <w:t xml:space="preserve">httpOnly</w:t>
            </w:r>
            <w:r>
              <w:rPr>
                <w:sz w:val="16"/>
              </w:rPr>
              <w:t xml:space="preserve">,</w:t>
            </w:r>
            <w:r>
              <w:rPr>
                <w:sz w:val="16"/>
              </w:rPr>
              <w:t xml:space="preserve"> </w:t>
            </w:r>
            <w:r>
              <w:rPr>
                <w:rStyle w:val="VerbatimChar"/>
                <w:sz w:val="16"/>
              </w:rPr>
              <w:t xml:space="preserve">SameSite=Lax</w:t>
            </w:r>
            <w:r>
              <w:rPr>
                <w:sz w:val="16"/>
              </w:rPr>
              <w:t xml:space="preserve"> </w:t>
            </w:r>
            <w:r>
              <w:rPr>
                <w:sz w:val="16"/>
              </w:rPr>
              <w:t xml:space="preserve">cookie that is</w:t>
            </w:r>
            <w:r>
              <w:rPr>
                <w:sz w:val="16"/>
              </w:rPr>
              <w:t xml:space="preserve"> </w:t>
            </w:r>
            <w:r>
              <w:rPr>
                <w:rStyle w:val="VerbatimChar"/>
                <w:sz w:val="16"/>
              </w:rPr>
              <w:t xml:space="preserve">Secure</w:t>
            </w:r>
            <w:r>
              <w:rPr>
                <w:sz w:val="16"/>
              </w:rPr>
              <w:t xml:space="preserve"> </w:t>
            </w:r>
            <w:r>
              <w:rPr>
                <w:sz w:val="16"/>
              </w:rPr>
              <w:t xml:space="preserve">in production; expired, tampered or wrongly signed tokens shall be treated as no session.</w:t>
            </w:r>
          </w:p>
        </w:tc>
        <w:tc>
          <w:tcPr>
            <w:tcW w:type="dxa" w:w="1137"/>
          </w:tcPr>
          <w:p>
            <w:pPr>
              <w:pStyle w:val="Compact"/>
              <w:spacing w:after="20" w:before="20"/>
              <w:jc w:val="left"/>
            </w:pPr>
            <w:r>
              <w:rPr>
                <w:sz w:val="16"/>
              </w:rPr>
              <w:t xml:space="preserve">Security</w:t>
            </w:r>
          </w:p>
        </w:tc>
        <w:tc>
          <w:tcPr>
            <w:tcW w:type="dxa" w:w="1075"/>
          </w:tcPr>
          <w:p>
            <w:pPr>
              <w:pStyle w:val="Compact"/>
              <w:spacing w:after="20" w:before="20"/>
              <w:jc w:val="left"/>
            </w:pPr>
            <w:r>
              <w:rPr>
                <w:sz w:val="16"/>
              </w:rPr>
              <w:t xml:space="preserve">High</w:t>
            </w:r>
          </w:p>
        </w:tc>
        <w:tc>
          <w:tcPr>
            <w:tcW w:type="dxa" w:w="1832"/>
          </w:tcPr>
          <w:p>
            <w:pPr>
              <w:pStyle w:val="Compact"/>
              <w:spacing w:after="20" w:before="20"/>
              <w:jc w:val="left"/>
            </w:pPr>
            <w:r>
              <w:rPr>
                <w:sz w:val="16"/>
              </w:rPr>
              <w:t xml:space="preserve">Cookie flags verified; logout clears cookie; altered or expired token → 401. TC-005, TC-007, TC-049</w:t>
            </w:r>
          </w:p>
        </w:tc>
      </w:tr>
      <w:tr>
        <w:tc>
          <w:tcPr>
            <w:tcW w:type="dxa" w:w="791"/>
          </w:tcPr>
          <w:p>
            <w:pPr>
              <w:pStyle w:val="Compact"/>
              <w:spacing w:after="20" w:before="20"/>
              <w:jc w:val="left"/>
            </w:pPr>
            <w:r>
              <w:rPr>
                <w:sz w:val="16"/>
              </w:rPr>
              <w:t xml:space="preserve">SR-03</w:t>
            </w:r>
          </w:p>
        </w:tc>
        <w:tc>
          <w:tcPr>
            <w:tcW w:type="dxa" w:w="4670"/>
          </w:tcPr>
          <w:p>
            <w:pPr>
              <w:pStyle w:val="Compact"/>
              <w:spacing w:after="20" w:before="20"/>
              <w:jc w:val="left"/>
            </w:pPr>
            <w:r>
              <w:rPr>
                <w:sz w:val="16"/>
              </w:rPr>
              <w:t xml:space="preserve">Login shall return the same message (</w:t>
            </w:r>
            <w:r>
              <w:rPr>
                <w:sz w:val="16"/>
              </w:rPr>
              <w:t xml:space="preserve">“</w:t>
            </w:r>
            <w:r>
              <w:rPr>
                <w:sz w:val="16"/>
              </w:rPr>
              <w:t xml:space="preserve">Invalid email or password.</w:t>
            </w:r>
            <w:r>
              <w:rPr>
                <w:sz w:val="16"/>
              </w:rPr>
              <w:t xml:space="preserve">”</w:t>
            </w:r>
            <w:r>
              <w:rPr>
                <w:sz w:val="16"/>
              </w:rPr>
              <w:t xml:space="preserve">) with comparable timing for an unknown email and for a wrong password.</w:t>
            </w:r>
          </w:p>
        </w:tc>
        <w:tc>
          <w:tcPr>
            <w:tcW w:type="dxa" w:w="1137"/>
          </w:tcPr>
          <w:p>
            <w:pPr>
              <w:pStyle w:val="Compact"/>
              <w:spacing w:after="20" w:before="20"/>
              <w:jc w:val="left"/>
            </w:pPr>
            <w:r>
              <w:rPr>
                <w:sz w:val="16"/>
              </w:rPr>
              <w:t xml:space="preserve">Security</w:t>
            </w:r>
          </w:p>
        </w:tc>
        <w:tc>
          <w:tcPr>
            <w:tcW w:type="dxa" w:w="1075"/>
          </w:tcPr>
          <w:p>
            <w:pPr>
              <w:pStyle w:val="Compact"/>
              <w:spacing w:after="20" w:before="20"/>
              <w:jc w:val="left"/>
            </w:pPr>
            <w:r>
              <w:rPr>
                <w:sz w:val="16"/>
              </w:rPr>
              <w:t xml:space="preserve">High</w:t>
            </w:r>
          </w:p>
        </w:tc>
        <w:tc>
          <w:tcPr>
            <w:tcW w:type="dxa" w:w="1832"/>
          </w:tcPr>
          <w:p>
            <w:pPr>
              <w:pStyle w:val="Compact"/>
              <w:spacing w:after="20" w:before="20"/>
              <w:jc w:val="left"/>
            </w:pPr>
            <w:r>
              <w:rPr>
                <w:sz w:val="16"/>
              </w:rPr>
              <w:t xml:space="preserve">Identical 401 body for both cases. TC-006</w:t>
            </w:r>
          </w:p>
        </w:tc>
      </w:tr>
      <w:tr>
        <w:tc>
          <w:tcPr>
            <w:tcW w:type="dxa" w:w="791"/>
          </w:tcPr>
          <w:p>
            <w:pPr>
              <w:pStyle w:val="Compact"/>
              <w:spacing w:after="20" w:before="20"/>
              <w:jc w:val="left"/>
            </w:pPr>
            <w:r>
              <w:rPr>
                <w:sz w:val="16"/>
              </w:rPr>
              <w:t xml:space="preserve">SR-04</w:t>
            </w:r>
          </w:p>
        </w:tc>
        <w:tc>
          <w:tcPr>
            <w:tcW w:type="dxa" w:w="4670"/>
          </w:tcPr>
          <w:p>
            <w:pPr>
              <w:pStyle w:val="Compact"/>
              <w:spacing w:after="20" w:before="20"/>
              <w:jc w:val="left"/>
            </w:pPr>
            <w:r>
              <w:rPr>
                <w:sz w:val="16"/>
              </w:rPr>
              <w:t xml:space="preserve">Every API other than sign-up, login, logout and current-user shall return 401 without a valid session, and advisor-only APIs shall return 403 to Individual users; unauthenticated page requests shall redirect to the login page.</w:t>
            </w:r>
          </w:p>
        </w:tc>
        <w:tc>
          <w:tcPr>
            <w:tcW w:type="dxa" w:w="1137"/>
          </w:tcPr>
          <w:p>
            <w:pPr>
              <w:pStyle w:val="Compact"/>
              <w:spacing w:after="20" w:before="20"/>
              <w:jc w:val="left"/>
            </w:pPr>
            <w:r>
              <w:rPr>
                <w:sz w:val="16"/>
              </w:rPr>
              <w:t xml:space="preserve">Security</w:t>
            </w:r>
          </w:p>
        </w:tc>
        <w:tc>
          <w:tcPr>
            <w:tcW w:type="dxa" w:w="1075"/>
          </w:tcPr>
          <w:p>
            <w:pPr>
              <w:pStyle w:val="Compact"/>
              <w:spacing w:after="20" w:before="20"/>
              <w:jc w:val="left"/>
            </w:pPr>
            <w:r>
              <w:rPr>
                <w:sz w:val="16"/>
              </w:rPr>
              <w:t xml:space="preserve">High</w:t>
            </w:r>
          </w:p>
        </w:tc>
        <w:tc>
          <w:tcPr>
            <w:tcW w:type="dxa" w:w="1832"/>
          </w:tcPr>
          <w:p>
            <w:pPr>
              <w:pStyle w:val="Compact"/>
              <w:spacing w:after="20" w:before="20"/>
              <w:jc w:val="left"/>
            </w:pPr>
            <w:r>
              <w:rPr>
                <w:sz w:val="16"/>
              </w:rPr>
              <w:t xml:space="preserve">TC-008, TC-009</w:t>
            </w:r>
          </w:p>
        </w:tc>
      </w:tr>
      <w:tr>
        <w:tc>
          <w:tcPr>
            <w:tcW w:type="dxa" w:w="791"/>
          </w:tcPr>
          <w:p>
            <w:pPr>
              <w:pStyle w:val="Compact"/>
              <w:spacing w:after="20" w:before="20"/>
              <w:jc w:val="left"/>
            </w:pPr>
            <w:r>
              <w:rPr>
                <w:sz w:val="16"/>
              </w:rPr>
              <w:t xml:space="preserve">SR-05</w:t>
            </w:r>
          </w:p>
        </w:tc>
        <w:tc>
          <w:tcPr>
            <w:tcW w:type="dxa" w:w="4670"/>
          </w:tcPr>
          <w:p>
            <w:pPr>
              <w:pStyle w:val="Compact"/>
              <w:spacing w:after="20" w:before="20"/>
              <w:jc w:val="left"/>
            </w:pPr>
            <w:r>
              <w:rPr>
                <w:sz w:val="16"/>
              </w:rPr>
              <w:t xml:space="preserve">Object-level authorisation shall be enforced in every data query by the owning user’s id, so that a user cannot read, modify, pay or delete another user’s records (reported as not found), and an advisor can read only assigned clients (403 otherwise).</w:t>
            </w:r>
          </w:p>
        </w:tc>
        <w:tc>
          <w:tcPr>
            <w:tcW w:type="dxa" w:w="1137"/>
          </w:tcPr>
          <w:p>
            <w:pPr>
              <w:pStyle w:val="Compact"/>
              <w:spacing w:after="20" w:before="20"/>
              <w:jc w:val="left"/>
            </w:pPr>
            <w:r>
              <w:rPr>
                <w:sz w:val="16"/>
              </w:rPr>
              <w:t xml:space="preserve">Security</w:t>
            </w:r>
          </w:p>
        </w:tc>
        <w:tc>
          <w:tcPr>
            <w:tcW w:type="dxa" w:w="1075"/>
          </w:tcPr>
          <w:p>
            <w:pPr>
              <w:pStyle w:val="Compact"/>
              <w:spacing w:after="20" w:before="20"/>
              <w:jc w:val="left"/>
            </w:pPr>
            <w:r>
              <w:rPr>
                <w:sz w:val="16"/>
              </w:rPr>
              <w:t xml:space="preserve">High</w:t>
            </w:r>
          </w:p>
        </w:tc>
        <w:tc>
          <w:tcPr>
            <w:tcW w:type="dxa" w:w="1832"/>
          </w:tcPr>
          <w:p>
            <w:pPr>
              <w:pStyle w:val="Compact"/>
              <w:spacing w:after="20" w:before="20"/>
              <w:jc w:val="left"/>
            </w:pPr>
            <w:r>
              <w:rPr>
                <w:sz w:val="16"/>
              </w:rPr>
              <w:t xml:space="preserve">TC-047, TC-050</w:t>
            </w:r>
          </w:p>
        </w:tc>
      </w:tr>
      <w:tr>
        <w:tc>
          <w:tcPr>
            <w:tcW w:type="dxa" w:w="791"/>
          </w:tcPr>
          <w:p>
            <w:pPr>
              <w:pStyle w:val="Compact"/>
              <w:spacing w:after="20" w:before="20"/>
              <w:jc w:val="left"/>
            </w:pPr>
            <w:r>
              <w:rPr>
                <w:sz w:val="16"/>
              </w:rPr>
              <w:t xml:space="preserve">SR-06</w:t>
            </w:r>
          </w:p>
        </w:tc>
        <w:tc>
          <w:tcPr>
            <w:tcW w:type="dxa" w:w="4670"/>
          </w:tcPr>
          <w:p>
            <w:pPr>
              <w:pStyle w:val="Compact"/>
              <w:spacing w:after="20" w:before="20"/>
              <w:jc w:val="left"/>
            </w:pPr>
            <w:r>
              <w:rPr>
                <w:sz w:val="16"/>
              </w:rPr>
              <w:t xml:space="preserve">All input shall be validated at the API (schema) and at the database (constraints); invalid input shall be rejected with 422 and field-level errors, and every database query shall be parameterised (no string-built SQL).</w:t>
            </w:r>
          </w:p>
        </w:tc>
        <w:tc>
          <w:tcPr>
            <w:tcW w:type="dxa" w:w="1137"/>
          </w:tcPr>
          <w:p>
            <w:pPr>
              <w:pStyle w:val="Compact"/>
              <w:spacing w:after="20" w:before="20"/>
              <w:jc w:val="left"/>
            </w:pPr>
            <w:r>
              <w:rPr>
                <w:sz w:val="16"/>
              </w:rPr>
              <w:t xml:space="preserve">Security</w:t>
            </w:r>
          </w:p>
        </w:tc>
        <w:tc>
          <w:tcPr>
            <w:tcW w:type="dxa" w:w="1075"/>
          </w:tcPr>
          <w:p>
            <w:pPr>
              <w:pStyle w:val="Compact"/>
              <w:spacing w:after="20" w:before="20"/>
              <w:jc w:val="left"/>
            </w:pPr>
            <w:r>
              <w:rPr>
                <w:sz w:val="16"/>
              </w:rPr>
              <w:t xml:space="preserve">High</w:t>
            </w:r>
          </w:p>
        </w:tc>
        <w:tc>
          <w:tcPr>
            <w:tcW w:type="dxa" w:w="1832"/>
          </w:tcPr>
          <w:p>
            <w:pPr>
              <w:pStyle w:val="Compact"/>
              <w:spacing w:after="20" w:before="20"/>
              <w:jc w:val="left"/>
            </w:pPr>
            <w:r>
              <w:rPr>
                <w:sz w:val="16"/>
              </w:rPr>
              <w:t xml:space="preserve">TC-011, TC-016, TC-027, TC-051</w:t>
            </w:r>
          </w:p>
        </w:tc>
      </w:tr>
      <w:tr>
        <w:tc>
          <w:tcPr>
            <w:tcW w:type="dxa" w:w="791"/>
          </w:tcPr>
          <w:p>
            <w:pPr>
              <w:pStyle w:val="Compact"/>
              <w:spacing w:after="20" w:before="20"/>
              <w:jc w:val="left"/>
            </w:pPr>
            <w:r>
              <w:rPr>
                <w:sz w:val="16"/>
              </w:rPr>
              <w:t xml:space="preserve">SR-07</w:t>
            </w:r>
          </w:p>
        </w:tc>
        <w:tc>
          <w:tcPr>
            <w:tcW w:type="dxa" w:w="4670"/>
          </w:tcPr>
          <w:p>
            <w:pPr>
              <w:pStyle w:val="Compact"/>
              <w:spacing w:after="20" w:before="20"/>
              <w:jc w:val="left"/>
            </w:pPr>
            <w:r>
              <w:rPr>
                <w:sz w:val="16"/>
              </w:rPr>
              <w:t xml:space="preserve">File uploads shall be restricted by type and size (statements:</w:t>
            </w:r>
            <w:r>
              <w:rPr>
                <w:sz w:val="16"/>
              </w:rPr>
              <w:t xml:space="preserve"> </w:t>
            </w:r>
            <w:r>
              <w:rPr>
                <w:rStyle w:val="VerbatimChar"/>
                <w:sz w:val="16"/>
              </w:rPr>
              <w:t xml:space="preserve">.csv</w:t>
            </w:r>
            <w:r>
              <w:rPr>
                <w:sz w:val="16"/>
              </w:rPr>
              <w:t xml:space="preserve"> </w:t>
            </w:r>
            <w:r>
              <w:rPr>
                <w:sz w:val="16"/>
              </w:rPr>
              <w:t xml:space="preserve">≤ 5 MB; receipts: JPEG/PNG/WebP ≤ 8 MB; vault: PDF/JPEG/PNG/WebP ≤ 10 MB) and stored under system-generated file names, never user-supplied paths.</w:t>
            </w:r>
          </w:p>
        </w:tc>
        <w:tc>
          <w:tcPr>
            <w:tcW w:type="dxa" w:w="1137"/>
          </w:tcPr>
          <w:p>
            <w:pPr>
              <w:pStyle w:val="Compact"/>
              <w:spacing w:after="20" w:before="20"/>
              <w:jc w:val="left"/>
            </w:pPr>
            <w:r>
              <w:rPr>
                <w:sz w:val="16"/>
              </w:rPr>
              <w:t xml:space="preserve">Security</w:t>
            </w:r>
          </w:p>
        </w:tc>
        <w:tc>
          <w:tcPr>
            <w:tcW w:type="dxa" w:w="1075"/>
          </w:tcPr>
          <w:p>
            <w:pPr>
              <w:pStyle w:val="Compact"/>
              <w:spacing w:after="20" w:before="20"/>
              <w:jc w:val="left"/>
            </w:pPr>
            <w:r>
              <w:rPr>
                <w:sz w:val="16"/>
              </w:rPr>
              <w:t xml:space="preserve">High</w:t>
            </w:r>
          </w:p>
        </w:tc>
        <w:tc>
          <w:tcPr>
            <w:tcW w:type="dxa" w:w="1832"/>
          </w:tcPr>
          <w:p>
            <w:pPr>
              <w:pStyle w:val="Compact"/>
              <w:spacing w:after="20" w:before="20"/>
              <w:jc w:val="left"/>
            </w:pPr>
            <w:r>
              <w:rPr>
                <w:sz w:val="16"/>
              </w:rPr>
              <w:t xml:space="preserve">Wrong type → 415; oversize → 413. TC-031, TC-035, TC-037</w:t>
            </w:r>
          </w:p>
        </w:tc>
      </w:tr>
      <w:tr>
        <w:tc>
          <w:tcPr>
            <w:tcW w:type="dxa" w:w="791"/>
          </w:tcPr>
          <w:p>
            <w:pPr>
              <w:pStyle w:val="Compact"/>
              <w:spacing w:after="20" w:before="20"/>
              <w:jc w:val="left"/>
            </w:pPr>
            <w:r>
              <w:rPr>
                <w:sz w:val="16"/>
              </w:rPr>
              <w:t xml:space="preserve">SR-08</w:t>
            </w:r>
          </w:p>
        </w:tc>
        <w:tc>
          <w:tcPr>
            <w:tcW w:type="dxa" w:w="4670"/>
          </w:tcPr>
          <w:p>
            <w:pPr>
              <w:pStyle w:val="Compact"/>
              <w:spacing w:after="20" w:before="20"/>
              <w:jc w:val="left"/>
            </w:pPr>
            <w:r>
              <w:rPr>
                <w:sz w:val="16"/>
              </w:rPr>
              <w:t xml:space="preserve">Error responses shall never expose stack traces or raw database messages; unexpected errors shall return a generic 500</w:t>
            </w:r>
            <w:r>
              <w:rPr>
                <w:sz w:val="16"/>
              </w:rPr>
              <w:t xml:space="preserve"> </w:t>
            </w:r>
            <w:r>
              <w:rPr>
                <w:sz w:val="16"/>
              </w:rPr>
              <w:t xml:space="preserve">“</w:t>
            </w:r>
            <w:r>
              <w:rPr>
                <w:sz w:val="16"/>
              </w:rPr>
              <w:t xml:space="preserve">Internal server error</w:t>
            </w:r>
            <w:r>
              <w:rPr>
                <w:sz w:val="16"/>
              </w:rPr>
              <w:t xml:space="preserve">”</w:t>
            </w:r>
            <w:r>
              <w:rPr>
                <w:sz w:val="16"/>
              </w:rPr>
              <w:t xml:space="preserve">.</w:t>
            </w:r>
          </w:p>
        </w:tc>
        <w:tc>
          <w:tcPr>
            <w:tcW w:type="dxa" w:w="1137"/>
          </w:tcPr>
          <w:p>
            <w:pPr>
              <w:pStyle w:val="Compact"/>
              <w:spacing w:after="20" w:before="20"/>
              <w:jc w:val="left"/>
            </w:pPr>
            <w:r>
              <w:rPr>
                <w:sz w:val="16"/>
              </w:rPr>
              <w:t xml:space="preserve">Security</w:t>
            </w:r>
          </w:p>
        </w:tc>
        <w:tc>
          <w:tcPr>
            <w:tcW w:type="dxa" w:w="1075"/>
          </w:tcPr>
          <w:p>
            <w:pPr>
              <w:pStyle w:val="Compact"/>
              <w:spacing w:after="20" w:before="20"/>
              <w:jc w:val="left"/>
            </w:pPr>
            <w:r>
              <w:rPr>
                <w:sz w:val="16"/>
              </w:rPr>
              <w:t xml:space="preserve">Medium</w:t>
            </w:r>
          </w:p>
        </w:tc>
        <w:tc>
          <w:tcPr>
            <w:tcW w:type="dxa" w:w="1832"/>
          </w:tcPr>
          <w:p>
            <w:pPr>
              <w:pStyle w:val="Compact"/>
              <w:spacing w:after="20" w:before="20"/>
              <w:jc w:val="left"/>
            </w:pPr>
            <w:r>
              <w:rPr>
                <w:sz w:val="16"/>
              </w:rPr>
              <w:t xml:space="preserve">TC-052</w:t>
            </w:r>
          </w:p>
        </w:tc>
      </w:tr>
      <w:tr>
        <w:tc>
          <w:tcPr>
            <w:tcW w:type="dxa" w:w="791"/>
          </w:tcPr>
          <w:p>
            <w:pPr>
              <w:pStyle w:val="Compact"/>
              <w:spacing w:after="20" w:before="20"/>
              <w:jc w:val="left"/>
            </w:pPr>
            <w:r>
              <w:rPr>
                <w:sz w:val="16"/>
              </w:rPr>
              <w:t xml:space="preserve">SR-09</w:t>
            </w:r>
          </w:p>
        </w:tc>
        <w:tc>
          <w:tcPr>
            <w:tcW w:type="dxa" w:w="4670"/>
          </w:tcPr>
          <w:p>
            <w:pPr>
              <w:pStyle w:val="Compact"/>
              <w:spacing w:after="20" w:before="20"/>
              <w:jc w:val="left"/>
            </w:pPr>
            <w:r>
              <w:rPr>
                <w:sz w:val="16"/>
              </w:rPr>
              <w:t xml:space="preserve">Secrets shall be supplied only through environment variables (the application refuses to sign sessions with a JWT secret shorter than 32 characters), and the PAN shall be masked on the PDF statement.</w:t>
            </w:r>
          </w:p>
        </w:tc>
        <w:tc>
          <w:tcPr>
            <w:tcW w:type="dxa" w:w="1137"/>
          </w:tcPr>
          <w:p>
            <w:pPr>
              <w:pStyle w:val="Compact"/>
              <w:spacing w:after="20" w:before="20"/>
              <w:jc w:val="left"/>
            </w:pPr>
            <w:r>
              <w:rPr>
                <w:sz w:val="16"/>
              </w:rPr>
              <w:t xml:space="preserve">Security</w:t>
            </w:r>
          </w:p>
        </w:tc>
        <w:tc>
          <w:tcPr>
            <w:tcW w:type="dxa" w:w="1075"/>
          </w:tcPr>
          <w:p>
            <w:pPr>
              <w:pStyle w:val="Compact"/>
              <w:spacing w:after="20" w:before="20"/>
              <w:jc w:val="left"/>
            </w:pPr>
            <w:r>
              <w:rPr>
                <w:sz w:val="16"/>
              </w:rPr>
              <w:t xml:space="preserve">Medium</w:t>
            </w:r>
          </w:p>
        </w:tc>
        <w:tc>
          <w:tcPr>
            <w:tcW w:type="dxa" w:w="1832"/>
          </w:tcPr>
          <w:p>
            <w:pPr>
              <w:pStyle w:val="Compact"/>
              <w:spacing w:after="20" w:before="20"/>
              <w:jc w:val="left"/>
            </w:pPr>
            <w:r>
              <w:rPr>
                <w:sz w:val="16"/>
              </w:rPr>
              <w:t xml:space="preserve">TC-044, TC-053</w:t>
            </w:r>
          </w:p>
        </w:tc>
      </w:tr>
    </w:tbl>
    <w:bookmarkEnd w:id="52"/>
    <w:bookmarkEnd w:id="53"/>
    <w:bookmarkEnd w:id="54"/>
    <w:bookmarkStart w:id="56" w:name="quality-attributes-acceptance-tests"/>
    <w:p>
      <w:pPr>
        <w:pStyle w:val="Heading1"/>
      </w:pPr>
      <w:r>
        <w:t xml:space="preserve">6. Quality attributes &amp; Acceptance tests</w:t>
      </w:r>
    </w:p>
    <w:p>
      <w:pPr>
        <w:numPr>
          <w:ilvl w:val="0"/>
          <w:numId w:val="1007"/>
        </w:numPr>
        <w:pStyle w:val="Compact"/>
      </w:pPr>
      <w:r>
        <w:rPr>
          <w:bCs/>
          <w:b/>
        </w:rPr>
        <w:t xml:space="preserve">Exit criteria for acceptance:</w:t>
      </w:r>
      <w:r>
        <w:t xml:space="preserve"> </w:t>
      </w:r>
      <w:r>
        <w:t xml:space="preserve">all High-priority functional and security requirements implemented and verified; no open Critical or High defects; no failed High-priority NFR; the RTM shows every requirement traced to at least one passed test case.</w:t>
      </w:r>
    </w:p>
    <w:p>
      <w:pPr>
        <w:numPr>
          <w:ilvl w:val="0"/>
          <w:numId w:val="1007"/>
        </w:numPr>
        <w:pStyle w:val="Compact"/>
      </w:pPr>
      <w:r>
        <w:rPr>
          <w:bCs/>
          <w:b/>
        </w:rPr>
        <w:t xml:space="preserve">Acceptance test suites:</w:t>
      </w:r>
      <w:r>
        <w:t xml:space="preserve"> </w:t>
      </w:r>
      <w:r>
        <w:t xml:space="preserve">Authentication &amp; Access, Assets, Loans &amp; EMI, Ledger &amp; Search, Import &amp; Categorisation, Receipts, Vault, Dashboard, Insights, Reports, Notifications &amp; News, Advisor, Security, Non-functional.</w:t>
      </w:r>
    </w:p>
    <w:bookmarkStart w:id="55" w:name="X5f9dd691a0a0dc75e3b9194e182a24d4b119128"/>
    <w:p>
      <w:pPr>
        <w:pStyle w:val="Heading2"/>
      </w:pPr>
      <w:r>
        <w:t xml:space="preserve">6.1 Detailed acceptance criteria (Given / When / Then)</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856"/>
        <w:gridCol w:w="856"/>
        <w:gridCol w:w="7790"/>
      </w:tblGrid>
      <w:tr>
        <w:trPr>
          <w:tblHeader w:val="true"/>
          <w:tblHeader w:val="true"/>
        </w:trPr>
        <w:tc>
          <w:tcPr>
            <w:tcW w:type="dxa" w:w="857"/>
            <w:shd w:val="clear" w:color="auto" w:fill="DCE6F1"/>
          </w:tcPr>
          <w:p>
            <w:pPr>
              <w:pStyle w:val="Compact"/>
              <w:spacing w:after="20" w:before="20"/>
              <w:jc w:val="left"/>
            </w:pPr>
            <w:r>
              <w:rPr>
                <w:b/>
                <w:sz w:val="18"/>
              </w:rPr>
              <w:t xml:space="preserve">AC ID</w:t>
            </w:r>
          </w:p>
        </w:tc>
        <w:tc>
          <w:tcPr>
            <w:tcW w:type="dxa" w:w="857"/>
            <w:shd w:val="clear" w:color="auto" w:fill="DCE6F1"/>
          </w:tcPr>
          <w:p>
            <w:pPr>
              <w:pStyle w:val="Compact"/>
              <w:spacing w:after="20" w:before="20"/>
              <w:jc w:val="left"/>
            </w:pPr>
            <w:r>
              <w:rPr>
                <w:b/>
                <w:sz w:val="18"/>
              </w:rPr>
              <w:t xml:space="preserve">Req</w:t>
            </w:r>
          </w:p>
        </w:tc>
        <w:tc>
          <w:tcPr>
            <w:tcW w:type="dxa" w:w="7791"/>
            <w:shd w:val="clear" w:color="auto" w:fill="DCE6F1"/>
          </w:tcPr>
          <w:p>
            <w:pPr>
              <w:pStyle w:val="Compact"/>
              <w:spacing w:after="20" w:before="20"/>
              <w:jc w:val="left"/>
            </w:pPr>
            <w:r>
              <w:rPr>
                <w:b/>
                <w:sz w:val="18"/>
              </w:rPr>
              <w:t xml:space="preserve">Acceptance criterion</w:t>
            </w:r>
          </w:p>
        </w:tc>
      </w:tr>
      <w:tr>
        <w:tc>
          <w:tcPr>
            <w:tcW w:type="dxa" w:w="857"/>
          </w:tcPr>
          <w:p>
            <w:pPr>
              <w:pStyle w:val="Compact"/>
              <w:spacing w:after="20" w:before="20"/>
              <w:jc w:val="left"/>
            </w:pPr>
            <w:r>
              <w:rPr>
                <w:sz w:val="18"/>
              </w:rPr>
              <w:t xml:space="preserve">AC-01</w:t>
            </w:r>
          </w:p>
        </w:tc>
        <w:tc>
          <w:tcPr>
            <w:tcW w:type="dxa" w:w="857"/>
          </w:tcPr>
          <w:p>
            <w:pPr>
              <w:pStyle w:val="Compact"/>
              <w:spacing w:after="20" w:before="20"/>
              <w:jc w:val="left"/>
            </w:pPr>
            <w:r>
              <w:rPr>
                <w:sz w:val="18"/>
              </w:rPr>
              <w:t xml:space="preserve">FR-01</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an unused email,</w:t>
            </w:r>
            <w:r>
              <w:rPr>
                <w:sz w:val="18"/>
              </w:rPr>
              <w:t xml:space="preserve"> </w:t>
            </w:r>
            <w:r>
              <w:rPr>
                <w:bCs/>
                <w:b/>
                <w:sz w:val="18"/>
              </w:rPr>
              <w:t xml:space="preserve">when</w:t>
            </w:r>
            <w:r>
              <w:rPr>
                <w:sz w:val="18"/>
              </w:rPr>
              <w:t xml:space="preserve"> </w:t>
            </w:r>
            <w:r>
              <w:rPr>
                <w:sz w:val="18"/>
              </w:rPr>
              <w:t xml:space="preserve">the visitor submits a valid name, email, 8+ character password and (optional) valid PAN,</w:t>
            </w:r>
            <w:r>
              <w:rPr>
                <w:sz w:val="18"/>
              </w:rPr>
              <w:t xml:space="preserve"> </w:t>
            </w:r>
            <w:r>
              <w:rPr>
                <w:bCs/>
                <w:b/>
                <w:sz w:val="18"/>
              </w:rPr>
              <w:t xml:space="preserve">then</w:t>
            </w:r>
            <w:r>
              <w:rPr>
                <w:sz w:val="18"/>
              </w:rPr>
              <w:t xml:space="preserve"> </w:t>
            </w:r>
            <w:r>
              <w:rPr>
                <w:sz w:val="18"/>
              </w:rPr>
              <w:t xml:space="preserve">the account is created (HTTP 201), the response contains id, name, email and role but no password, and a session cookie is set.</w:t>
            </w:r>
            <w:r>
              <w:rPr>
                <w:sz w:val="18"/>
              </w:rPr>
              <w:t xml:space="preserve"> </w:t>
            </w:r>
            <w:r>
              <w:rPr>
                <w:bCs/>
                <w:b/>
                <w:sz w:val="18"/>
              </w:rPr>
              <w:t xml:space="preserve">Given</w:t>
            </w:r>
            <w:r>
              <w:rPr>
                <w:sz w:val="18"/>
              </w:rPr>
              <w:t xml:space="preserve"> </w:t>
            </w:r>
            <w:r>
              <w:rPr>
                <w:sz w:val="18"/>
              </w:rPr>
              <w:t xml:space="preserve">an email already registered,</w:t>
            </w:r>
            <w:r>
              <w:rPr>
                <w:sz w:val="18"/>
              </w:rPr>
              <w:t xml:space="preserve"> </w:t>
            </w:r>
            <w:r>
              <w:rPr>
                <w:bCs/>
                <w:b/>
                <w:sz w:val="18"/>
              </w:rPr>
              <w:t xml:space="preserve">then</w:t>
            </w:r>
            <w:r>
              <w:rPr>
                <w:sz w:val="18"/>
              </w:rPr>
              <w:t xml:space="preserve"> </w:t>
            </w:r>
            <w:r>
              <w:rPr>
                <w:sz w:val="18"/>
              </w:rPr>
              <w:t xml:space="preserve">409 is returned. A 7-character password or a PAN not matching ABCDE1234F returns 422 with a field error.</w:t>
            </w:r>
          </w:p>
        </w:tc>
      </w:tr>
      <w:tr>
        <w:tc>
          <w:tcPr>
            <w:tcW w:type="dxa" w:w="857"/>
          </w:tcPr>
          <w:p>
            <w:pPr>
              <w:pStyle w:val="Compact"/>
              <w:spacing w:after="20" w:before="20"/>
              <w:jc w:val="left"/>
            </w:pPr>
            <w:r>
              <w:rPr>
                <w:sz w:val="18"/>
              </w:rPr>
              <w:t xml:space="preserve">AC-02</w:t>
            </w:r>
          </w:p>
        </w:tc>
        <w:tc>
          <w:tcPr>
            <w:tcW w:type="dxa" w:w="857"/>
          </w:tcPr>
          <w:p>
            <w:pPr>
              <w:pStyle w:val="Compact"/>
              <w:spacing w:after="20" w:before="20"/>
              <w:jc w:val="left"/>
            </w:pPr>
            <w:r>
              <w:rPr>
                <w:sz w:val="18"/>
              </w:rPr>
              <w:t xml:space="preserve">FR-02</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registered user,</w:t>
            </w:r>
            <w:r>
              <w:rPr>
                <w:sz w:val="18"/>
              </w:rPr>
              <w:t xml:space="preserve"> </w:t>
            </w:r>
            <w:r>
              <w:rPr>
                <w:bCs/>
                <w:b/>
                <w:sz w:val="18"/>
              </w:rPr>
              <w:t xml:space="preserve">when</w:t>
            </w:r>
            <w:r>
              <w:rPr>
                <w:sz w:val="18"/>
              </w:rPr>
              <w:t xml:space="preserve"> </w:t>
            </w:r>
            <w:r>
              <w:rPr>
                <w:sz w:val="18"/>
              </w:rPr>
              <w:t xml:space="preserve">correct credentials are submitted,</w:t>
            </w:r>
            <w:r>
              <w:rPr>
                <w:sz w:val="18"/>
              </w:rPr>
              <w:t xml:space="preserve"> </w:t>
            </w:r>
            <w:r>
              <w:rPr>
                <w:bCs/>
                <w:b/>
                <w:sz w:val="18"/>
              </w:rPr>
              <w:t xml:space="preserve">then</w:t>
            </w:r>
            <w:r>
              <w:rPr>
                <w:sz w:val="18"/>
              </w:rPr>
              <w:t xml:space="preserve"> </w:t>
            </w:r>
            <w:r>
              <w:rPr>
                <w:sz w:val="18"/>
              </w:rPr>
              <w:t xml:space="preserve">200 is returned with the user profile and an</w:t>
            </w:r>
            <w:r>
              <w:rPr>
                <w:sz w:val="18"/>
              </w:rPr>
              <w:t xml:space="preserve"> </w:t>
            </w:r>
            <w:r>
              <w:rPr>
                <w:rStyle w:val="VerbatimChar"/>
                <w:sz w:val="18"/>
              </w:rPr>
              <w:t xml:space="preserve">httpOnly</w:t>
            </w:r>
            <w:r>
              <w:rPr>
                <w:sz w:val="18"/>
              </w:rPr>
              <w:t xml:space="preserve"> </w:t>
            </w:r>
            <w:r>
              <w:rPr>
                <w:rStyle w:val="VerbatimChar"/>
                <w:sz w:val="18"/>
              </w:rPr>
              <w:t xml:space="preserve">ww_session</w:t>
            </w:r>
            <w:r>
              <w:rPr>
                <w:sz w:val="18"/>
              </w:rPr>
              <w:t xml:space="preserve"> </w:t>
            </w:r>
            <w:r>
              <w:rPr>
                <w:sz w:val="18"/>
              </w:rPr>
              <w:t xml:space="preserve">cookie.</w:t>
            </w:r>
            <w:r>
              <w:rPr>
                <w:sz w:val="18"/>
              </w:rPr>
              <w:t xml:space="preserve"> </w:t>
            </w:r>
            <w:r>
              <w:rPr>
                <w:bCs/>
                <w:b/>
                <w:sz w:val="18"/>
              </w:rPr>
              <w:t xml:space="preserve">When</w:t>
            </w:r>
            <w:r>
              <w:rPr>
                <w:sz w:val="18"/>
              </w:rPr>
              <w:t xml:space="preserve"> </w:t>
            </w:r>
            <w:r>
              <w:rPr>
                <w:sz w:val="18"/>
              </w:rPr>
              <w:t xml:space="preserve">the password is wrong or the email unknown,</w:t>
            </w:r>
            <w:r>
              <w:rPr>
                <w:sz w:val="18"/>
              </w:rPr>
              <w:t xml:space="preserve"> </w:t>
            </w:r>
            <w:r>
              <w:rPr>
                <w:bCs/>
                <w:b/>
                <w:sz w:val="18"/>
              </w:rPr>
              <w:t xml:space="preserve">then</w:t>
            </w:r>
            <w:r>
              <w:rPr>
                <w:sz w:val="18"/>
              </w:rPr>
              <w:t xml:space="preserve"> </w:t>
            </w:r>
            <w:r>
              <w:rPr>
                <w:sz w:val="18"/>
              </w:rPr>
              <w:t xml:space="preserve">401</w:t>
            </w:r>
            <w:r>
              <w:rPr>
                <w:sz w:val="18"/>
              </w:rPr>
              <w:t xml:space="preserve"> </w:t>
            </w:r>
            <w:r>
              <w:rPr>
                <w:sz w:val="18"/>
              </w:rPr>
              <w:t xml:space="preserve">“</w:t>
            </w:r>
            <w:r>
              <w:rPr>
                <w:sz w:val="18"/>
              </w:rPr>
              <w:t xml:space="preserve">Invalid email or password.</w:t>
            </w:r>
            <w:r>
              <w:rPr>
                <w:sz w:val="18"/>
              </w:rPr>
              <w:t xml:space="preserve">”</w:t>
            </w:r>
            <w:r>
              <w:rPr>
                <w:sz w:val="18"/>
              </w:rPr>
              <w:t xml:space="preserve"> </w:t>
            </w:r>
            <w:r>
              <w:rPr>
                <w:sz w:val="18"/>
              </w:rPr>
              <w:t xml:space="preserve">is returned and no cookie is set.</w:t>
            </w:r>
          </w:p>
        </w:tc>
      </w:tr>
      <w:tr>
        <w:tc>
          <w:tcPr>
            <w:tcW w:type="dxa" w:w="857"/>
          </w:tcPr>
          <w:p>
            <w:pPr>
              <w:pStyle w:val="Compact"/>
              <w:spacing w:after="20" w:before="20"/>
              <w:jc w:val="left"/>
            </w:pPr>
            <w:r>
              <w:rPr>
                <w:sz w:val="18"/>
              </w:rPr>
              <w:t xml:space="preserve">AC-03</w:t>
            </w:r>
          </w:p>
        </w:tc>
        <w:tc>
          <w:tcPr>
            <w:tcW w:type="dxa" w:w="857"/>
          </w:tcPr>
          <w:p>
            <w:pPr>
              <w:pStyle w:val="Compact"/>
              <w:spacing w:after="20" w:before="20"/>
              <w:jc w:val="left"/>
            </w:pPr>
            <w:r>
              <w:rPr>
                <w:sz w:val="18"/>
              </w:rPr>
              <w:t xml:space="preserve">FR-03</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signed-in user,</w:t>
            </w:r>
            <w:r>
              <w:rPr>
                <w:sz w:val="18"/>
              </w:rPr>
              <w:t xml:space="preserve"> </w:t>
            </w:r>
            <w:r>
              <w:rPr>
                <w:bCs/>
                <w:b/>
                <w:sz w:val="18"/>
              </w:rPr>
              <w:t xml:space="preserve">when</w:t>
            </w:r>
            <w:r>
              <w:rPr>
                <w:sz w:val="18"/>
              </w:rPr>
              <w:t xml:space="preserve"> </w:t>
            </w:r>
            <w:r>
              <w:rPr>
                <w:sz w:val="18"/>
              </w:rPr>
              <w:t xml:space="preserve">they log out,</w:t>
            </w:r>
            <w:r>
              <w:rPr>
                <w:sz w:val="18"/>
              </w:rPr>
              <w:t xml:space="preserve"> </w:t>
            </w:r>
            <w:r>
              <w:rPr>
                <w:bCs/>
                <w:b/>
                <w:sz w:val="18"/>
              </w:rPr>
              <w:t xml:space="preserve">then</w:t>
            </w:r>
            <w:r>
              <w:rPr>
                <w:sz w:val="18"/>
              </w:rPr>
              <w:t xml:space="preserve"> </w:t>
            </w:r>
            <w:r>
              <w:rPr>
                <w:sz w:val="18"/>
              </w:rPr>
              <w:t xml:space="preserve">the session cookie is cleared and the current-user request returns</w:t>
            </w:r>
            <w:r>
              <w:rPr>
                <w:sz w:val="18"/>
              </w:rPr>
              <w:t xml:space="preserve"> </w:t>
            </w:r>
            <w:r>
              <w:rPr>
                <w:rStyle w:val="VerbatimChar"/>
                <w:sz w:val="18"/>
              </w:rPr>
              <w:t xml:space="preserve">user: null</w:t>
            </w:r>
            <w:r>
              <w:rPr>
                <w:sz w:val="18"/>
              </w:rPr>
              <w:t xml:space="preserve">.</w:t>
            </w:r>
          </w:p>
        </w:tc>
      </w:tr>
      <w:tr>
        <w:tc>
          <w:tcPr>
            <w:tcW w:type="dxa" w:w="857"/>
          </w:tcPr>
          <w:p>
            <w:pPr>
              <w:pStyle w:val="Compact"/>
              <w:spacing w:after="20" w:before="20"/>
              <w:jc w:val="left"/>
            </w:pPr>
            <w:r>
              <w:rPr>
                <w:sz w:val="18"/>
              </w:rPr>
              <w:t xml:space="preserve">AC-04</w:t>
            </w:r>
          </w:p>
        </w:tc>
        <w:tc>
          <w:tcPr>
            <w:tcW w:type="dxa" w:w="857"/>
          </w:tcPr>
          <w:p>
            <w:pPr>
              <w:pStyle w:val="Compact"/>
              <w:spacing w:after="20" w:before="20"/>
              <w:jc w:val="left"/>
            </w:pPr>
            <w:r>
              <w:rPr>
                <w:sz w:val="18"/>
              </w:rPr>
              <w:t xml:space="preserve">FR-04</w:t>
            </w:r>
          </w:p>
        </w:tc>
        <w:tc>
          <w:tcPr>
            <w:tcW w:type="dxa" w:w="7791"/>
          </w:tcPr>
          <w:p>
            <w:pPr>
              <w:pStyle w:val="Compact"/>
              <w:spacing w:after="20" w:before="20"/>
              <w:jc w:val="left"/>
            </w:pPr>
            <w:r>
              <w:rPr>
                <w:bCs/>
                <w:b/>
                <w:sz w:val="18"/>
              </w:rPr>
              <w:t xml:space="preserve">Given</w:t>
            </w:r>
            <w:r>
              <w:rPr>
                <w:sz w:val="18"/>
              </w:rPr>
              <w:t xml:space="preserve"> </w:t>
            </w:r>
            <w:r>
              <w:rPr>
                <w:sz w:val="18"/>
              </w:rPr>
              <w:t xml:space="preserve">no session,</w:t>
            </w:r>
            <w:r>
              <w:rPr>
                <w:sz w:val="18"/>
              </w:rPr>
              <w:t xml:space="preserve"> </w:t>
            </w:r>
            <w:r>
              <w:rPr>
                <w:bCs/>
                <w:b/>
                <w:sz w:val="18"/>
              </w:rPr>
              <w:t xml:space="preserve">when</w:t>
            </w:r>
            <w:r>
              <w:rPr>
                <w:sz w:val="18"/>
              </w:rPr>
              <w:t xml:space="preserve"> </w:t>
            </w:r>
            <w:r>
              <w:rPr>
                <w:sz w:val="18"/>
              </w:rPr>
              <w:t xml:space="preserve">any protected API is called,</w:t>
            </w:r>
            <w:r>
              <w:rPr>
                <w:sz w:val="18"/>
              </w:rPr>
              <w:t xml:space="preserve"> </w:t>
            </w:r>
            <w:r>
              <w:rPr>
                <w:bCs/>
                <w:b/>
                <w:sz w:val="18"/>
              </w:rPr>
              <w:t xml:space="preserve">then</w:t>
            </w:r>
            <w:r>
              <w:rPr>
                <w:sz w:val="18"/>
              </w:rPr>
              <w:t xml:space="preserve"> </w:t>
            </w:r>
            <w:r>
              <w:rPr>
                <w:sz w:val="18"/>
              </w:rPr>
              <w:t xml:space="preserve">401 is returned;</w:t>
            </w:r>
            <w:r>
              <w:rPr>
                <w:sz w:val="18"/>
              </w:rPr>
              <w:t xml:space="preserve"> </w:t>
            </w:r>
            <w:r>
              <w:rPr>
                <w:bCs/>
                <w:b/>
                <w:sz w:val="18"/>
              </w:rPr>
              <w:t xml:space="preserve">when</w:t>
            </w:r>
            <w:r>
              <w:rPr>
                <w:sz w:val="18"/>
              </w:rPr>
              <w:t xml:space="preserve"> </w:t>
            </w:r>
            <w:r>
              <w:rPr>
                <w:sz w:val="18"/>
              </w:rPr>
              <w:t xml:space="preserve">a protected page is requested,</w:t>
            </w:r>
            <w:r>
              <w:rPr>
                <w:sz w:val="18"/>
              </w:rPr>
              <w:t xml:space="preserve"> </w:t>
            </w:r>
            <w:r>
              <w:rPr>
                <w:bCs/>
                <w:b/>
                <w:sz w:val="18"/>
              </w:rPr>
              <w:t xml:space="preserve">then</w:t>
            </w:r>
            <w:r>
              <w:rPr>
                <w:sz w:val="18"/>
              </w:rPr>
              <w:t xml:space="preserve"> </w:t>
            </w:r>
            <w:r>
              <w:rPr>
                <w:sz w:val="18"/>
              </w:rPr>
              <w:t xml:space="preserve">the browser is redirected to</w:t>
            </w:r>
            <w:r>
              <w:rPr>
                <w:sz w:val="18"/>
              </w:rPr>
              <w:t xml:space="preserve"> </w:t>
            </w:r>
            <w:r>
              <w:rPr>
                <w:rStyle w:val="VerbatimChar"/>
                <w:sz w:val="18"/>
              </w:rPr>
              <w:t xml:space="preserve">/login</w:t>
            </w:r>
            <w:r>
              <w:rPr>
                <w:sz w:val="18"/>
              </w:rPr>
              <w:t xml:space="preserve">.</w:t>
            </w:r>
            <w:r>
              <w:rPr>
                <w:sz w:val="18"/>
              </w:rPr>
              <w:t xml:space="preserve"> </w:t>
            </w:r>
            <w:r>
              <w:rPr>
                <w:bCs/>
                <w:b/>
                <w:sz w:val="18"/>
              </w:rPr>
              <w:t xml:space="preserve">Given</w:t>
            </w:r>
            <w:r>
              <w:rPr>
                <w:sz w:val="18"/>
              </w:rPr>
              <w:t xml:space="preserve"> </w:t>
            </w:r>
            <w:r>
              <w:rPr>
                <w:sz w:val="18"/>
              </w:rPr>
              <w:t xml:space="preserve">an Individual session,</w:t>
            </w:r>
            <w:r>
              <w:rPr>
                <w:sz w:val="18"/>
              </w:rPr>
              <w:t xml:space="preserve"> </w:t>
            </w:r>
            <w:r>
              <w:rPr>
                <w:bCs/>
                <w:b/>
                <w:sz w:val="18"/>
              </w:rPr>
              <w:t xml:space="preserve">when</w:t>
            </w:r>
            <w:r>
              <w:rPr>
                <w:sz w:val="18"/>
              </w:rPr>
              <w:t xml:space="preserve"> </w:t>
            </w:r>
            <w:r>
              <w:rPr>
                <w:sz w:val="18"/>
              </w:rPr>
              <w:t xml:space="preserve">the advisor client list or news refresh is called,</w:t>
            </w:r>
            <w:r>
              <w:rPr>
                <w:sz w:val="18"/>
              </w:rPr>
              <w:t xml:space="preserve"> </w:t>
            </w:r>
            <w:r>
              <w:rPr>
                <w:bCs/>
                <w:b/>
                <w:sz w:val="18"/>
              </w:rPr>
              <w:t xml:space="preserve">then</w:t>
            </w:r>
            <w:r>
              <w:rPr>
                <w:sz w:val="18"/>
              </w:rPr>
              <w:t xml:space="preserve"> </w:t>
            </w:r>
            <w:r>
              <w:rPr>
                <w:sz w:val="18"/>
              </w:rPr>
              <w:t xml:space="preserve">403 is returned.</w:t>
            </w:r>
          </w:p>
        </w:tc>
      </w:tr>
      <w:tr>
        <w:tc>
          <w:tcPr>
            <w:tcW w:type="dxa" w:w="857"/>
          </w:tcPr>
          <w:p>
            <w:pPr>
              <w:pStyle w:val="Compact"/>
              <w:spacing w:after="20" w:before="20"/>
              <w:jc w:val="left"/>
            </w:pPr>
            <w:r>
              <w:rPr>
                <w:sz w:val="18"/>
              </w:rPr>
              <w:t xml:space="preserve">AC-05</w:t>
            </w:r>
          </w:p>
        </w:tc>
        <w:tc>
          <w:tcPr>
            <w:tcW w:type="dxa" w:w="857"/>
          </w:tcPr>
          <w:p>
            <w:pPr>
              <w:pStyle w:val="Compact"/>
              <w:spacing w:after="20" w:before="20"/>
              <w:jc w:val="left"/>
            </w:pPr>
            <w:r>
              <w:rPr>
                <w:sz w:val="18"/>
              </w:rPr>
              <w:t xml:space="preserve">FR-05</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signed-in user,</w:t>
            </w:r>
            <w:r>
              <w:rPr>
                <w:sz w:val="18"/>
              </w:rPr>
              <w:t xml:space="preserve"> </w:t>
            </w:r>
            <w:r>
              <w:rPr>
                <w:bCs/>
                <w:b/>
                <w:sz w:val="18"/>
              </w:rPr>
              <w:t xml:space="preserve">when</w:t>
            </w:r>
            <w:r>
              <w:rPr>
                <w:sz w:val="18"/>
              </w:rPr>
              <w:t xml:space="preserve"> </w:t>
            </w:r>
            <w:r>
              <w:rPr>
                <w:sz w:val="18"/>
              </w:rPr>
              <w:t xml:space="preserve">a valid asset is submitted,</w:t>
            </w:r>
            <w:r>
              <w:rPr>
                <w:sz w:val="18"/>
              </w:rPr>
              <w:t xml:space="preserve"> </w:t>
            </w:r>
            <w:r>
              <w:rPr>
                <w:bCs/>
                <w:b/>
                <w:sz w:val="18"/>
              </w:rPr>
              <w:t xml:space="preserve">then</w:t>
            </w:r>
            <w:r>
              <w:rPr>
                <w:sz w:val="18"/>
              </w:rPr>
              <w:t xml:space="preserve"> </w:t>
            </w:r>
            <w:r>
              <w:rPr>
                <w:sz w:val="18"/>
              </w:rPr>
              <w:t xml:space="preserve">201 is returned and the asset appears in the list and in total assets. A valuation date before the purchase date or a negative value returns 422.</w:t>
            </w:r>
            <w:r>
              <w:rPr>
                <w:sz w:val="18"/>
              </w:rPr>
              <w:t xml:space="preserve"> </w:t>
            </w:r>
            <w:r>
              <w:rPr>
                <w:bCs/>
                <w:b/>
                <w:sz w:val="18"/>
              </w:rPr>
              <w:t xml:space="preserve">When</w:t>
            </w:r>
            <w:r>
              <w:rPr>
                <w:sz w:val="18"/>
              </w:rPr>
              <w:t xml:space="preserve"> </w:t>
            </w:r>
            <w:r>
              <w:rPr>
                <w:sz w:val="18"/>
              </w:rPr>
              <w:t xml:space="preserve">an asset is deleted,</w:t>
            </w:r>
            <w:r>
              <w:rPr>
                <w:sz w:val="18"/>
              </w:rPr>
              <w:t xml:space="preserve"> </w:t>
            </w:r>
            <w:r>
              <w:rPr>
                <w:bCs/>
                <w:b/>
                <w:sz w:val="18"/>
              </w:rPr>
              <w:t xml:space="preserve">then</w:t>
            </w:r>
            <w:r>
              <w:rPr>
                <w:sz w:val="18"/>
              </w:rPr>
              <w:t xml:space="preserve"> </w:t>
            </w:r>
            <w:r>
              <w:rPr>
                <w:sz w:val="18"/>
              </w:rPr>
              <w:t xml:space="preserve">it disappears and linked transactions remain with no asset link.</w:t>
            </w:r>
          </w:p>
        </w:tc>
      </w:tr>
      <w:tr>
        <w:tc>
          <w:tcPr>
            <w:tcW w:type="dxa" w:w="857"/>
          </w:tcPr>
          <w:p>
            <w:pPr>
              <w:pStyle w:val="Compact"/>
              <w:spacing w:after="20" w:before="20"/>
              <w:jc w:val="left"/>
            </w:pPr>
            <w:r>
              <w:rPr>
                <w:sz w:val="18"/>
              </w:rPr>
              <w:t xml:space="preserve">AC-06</w:t>
            </w:r>
          </w:p>
        </w:tc>
        <w:tc>
          <w:tcPr>
            <w:tcW w:type="dxa" w:w="857"/>
          </w:tcPr>
          <w:p>
            <w:pPr>
              <w:pStyle w:val="Compact"/>
              <w:spacing w:after="20" w:before="20"/>
              <w:jc w:val="left"/>
            </w:pPr>
            <w:r>
              <w:rPr>
                <w:sz w:val="18"/>
              </w:rPr>
              <w:t xml:space="preserve">FR-06</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an existing asset,</w:t>
            </w:r>
            <w:r>
              <w:rPr>
                <w:sz w:val="18"/>
              </w:rPr>
              <w:t xml:space="preserve"> </w:t>
            </w:r>
            <w:r>
              <w:rPr>
                <w:bCs/>
                <w:b/>
                <w:sz w:val="18"/>
              </w:rPr>
              <w:t xml:space="preserve">when</w:t>
            </w:r>
            <w:r>
              <w:rPr>
                <w:sz w:val="18"/>
              </w:rPr>
              <w:t xml:space="preserve"> </w:t>
            </w:r>
            <w:r>
              <w:rPr>
                <w:sz w:val="18"/>
              </w:rPr>
              <w:t xml:space="preserve">its current value is updated,</w:t>
            </w:r>
            <w:r>
              <w:rPr>
                <w:sz w:val="18"/>
              </w:rPr>
              <w:t xml:space="preserve"> </w:t>
            </w:r>
            <w:r>
              <w:rPr>
                <w:bCs/>
                <w:b/>
                <w:sz w:val="18"/>
              </w:rPr>
              <w:t xml:space="preserve">then</w:t>
            </w:r>
            <w:r>
              <w:rPr>
                <w:sz w:val="18"/>
              </w:rPr>
              <w:t xml:space="preserve"> </w:t>
            </w:r>
            <w:r>
              <w:rPr>
                <w:sz w:val="18"/>
              </w:rPr>
              <w:t xml:space="preserve">a new valuation-history entry with the new value and date is shown on the asset’s detail view.</w:t>
            </w:r>
          </w:p>
        </w:tc>
      </w:tr>
      <w:tr>
        <w:tc>
          <w:tcPr>
            <w:tcW w:type="dxa" w:w="857"/>
          </w:tcPr>
          <w:p>
            <w:pPr>
              <w:pStyle w:val="Compact"/>
              <w:spacing w:after="20" w:before="20"/>
              <w:jc w:val="left"/>
            </w:pPr>
            <w:r>
              <w:rPr>
                <w:sz w:val="18"/>
              </w:rPr>
              <w:t xml:space="preserve">AC-07</w:t>
            </w:r>
          </w:p>
        </w:tc>
        <w:tc>
          <w:tcPr>
            <w:tcW w:type="dxa" w:w="857"/>
          </w:tcPr>
          <w:p>
            <w:pPr>
              <w:pStyle w:val="Compact"/>
              <w:spacing w:after="20" w:before="20"/>
              <w:jc w:val="left"/>
            </w:pPr>
            <w:r>
              <w:rPr>
                <w:sz w:val="18"/>
              </w:rPr>
              <w:t xml:space="preserve">FR-07</w:t>
            </w:r>
          </w:p>
        </w:tc>
        <w:tc>
          <w:tcPr>
            <w:tcW w:type="dxa" w:w="7791"/>
          </w:tcPr>
          <w:p>
            <w:pPr>
              <w:pStyle w:val="Compact"/>
              <w:spacing w:after="20" w:before="20"/>
              <w:jc w:val="left"/>
            </w:pPr>
            <w:r>
              <w:rPr>
                <w:bCs/>
                <w:b/>
                <w:sz w:val="18"/>
              </w:rPr>
              <w:t xml:space="preserve">Given</w:t>
            </w:r>
            <w:r>
              <w:rPr>
                <w:sz w:val="18"/>
              </w:rPr>
              <w:t xml:space="preserve"> </w:t>
            </w:r>
            <w:r>
              <w:rPr>
                <w:sz w:val="18"/>
              </w:rPr>
              <w:t xml:space="preserve">valid loan data (₹50,00,000, 8.50 %, 240 months),</w:t>
            </w:r>
            <w:r>
              <w:rPr>
                <w:sz w:val="18"/>
              </w:rPr>
              <w:t xml:space="preserve"> </w:t>
            </w:r>
            <w:r>
              <w:rPr>
                <w:bCs/>
                <w:b/>
                <w:sz w:val="18"/>
              </w:rPr>
              <w:t xml:space="preserve">when</w:t>
            </w:r>
            <w:r>
              <w:rPr>
                <w:sz w:val="18"/>
              </w:rPr>
              <w:t xml:space="preserve"> </w:t>
            </w:r>
            <w:r>
              <w:rPr>
                <w:sz w:val="18"/>
              </w:rPr>
              <w:t xml:space="preserve">submitted,</w:t>
            </w:r>
            <w:r>
              <w:rPr>
                <w:sz w:val="18"/>
              </w:rPr>
              <w:t xml:space="preserve"> </w:t>
            </w:r>
            <w:r>
              <w:rPr>
                <w:bCs/>
                <w:b/>
                <w:sz w:val="18"/>
              </w:rPr>
              <w:t xml:space="preserve">then</w:t>
            </w:r>
            <w:r>
              <w:rPr>
                <w:sz w:val="18"/>
              </w:rPr>
              <w:t xml:space="preserve"> </w:t>
            </w:r>
            <w:r>
              <w:rPr>
                <w:sz w:val="18"/>
              </w:rPr>
              <w:t xml:space="preserve">201 is returned and exactly 240 installments exist with EMI ₹43,391.16, Σ principal = principal and final balance 0.00. Rate 0 or &gt; 60, or tenure 0 or &gt; 480, returns 422.</w:t>
            </w:r>
          </w:p>
        </w:tc>
      </w:tr>
      <w:tr>
        <w:tc>
          <w:tcPr>
            <w:tcW w:type="dxa" w:w="857"/>
          </w:tcPr>
          <w:p>
            <w:pPr>
              <w:pStyle w:val="Compact"/>
              <w:spacing w:after="20" w:before="20"/>
              <w:jc w:val="left"/>
            </w:pPr>
            <w:r>
              <w:rPr>
                <w:sz w:val="18"/>
              </w:rPr>
              <w:t xml:space="preserve">AC-08</w:t>
            </w:r>
          </w:p>
        </w:tc>
        <w:tc>
          <w:tcPr>
            <w:tcW w:type="dxa" w:w="857"/>
          </w:tcPr>
          <w:p>
            <w:pPr>
              <w:pStyle w:val="Compact"/>
              <w:spacing w:after="20" w:before="20"/>
              <w:jc w:val="left"/>
            </w:pPr>
            <w:r>
              <w:rPr>
                <w:sz w:val="18"/>
              </w:rPr>
              <w:t xml:space="preserve">FR-08</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loan,</w:t>
            </w:r>
            <w:r>
              <w:rPr>
                <w:sz w:val="18"/>
              </w:rPr>
              <w:t xml:space="preserve"> </w:t>
            </w:r>
            <w:r>
              <w:rPr>
                <w:bCs/>
                <w:b/>
                <w:sz w:val="18"/>
              </w:rPr>
              <w:t xml:space="preserve">when</w:t>
            </w:r>
            <w:r>
              <w:rPr>
                <w:sz w:val="18"/>
              </w:rPr>
              <w:t xml:space="preserve"> </w:t>
            </w:r>
            <w:r>
              <w:rPr>
                <w:sz w:val="18"/>
              </w:rPr>
              <w:t xml:space="preserve">its schedule is opened,</w:t>
            </w:r>
            <w:r>
              <w:rPr>
                <w:sz w:val="18"/>
              </w:rPr>
              <w:t xml:space="preserve"> </w:t>
            </w:r>
            <w:r>
              <w:rPr>
                <w:bCs/>
                <w:b/>
                <w:sz w:val="18"/>
              </w:rPr>
              <w:t xml:space="preserve">then</w:t>
            </w:r>
            <w:r>
              <w:rPr>
                <w:sz w:val="18"/>
              </w:rPr>
              <w:t xml:space="preserve"> </w:t>
            </w:r>
            <w:r>
              <w:rPr>
                <w:sz w:val="18"/>
              </w:rPr>
              <w:t xml:space="preserve">every installment shows due date, EMI, principal, interest, closing balance and status, and the list shows paid count and outstanding.</w:t>
            </w:r>
            <w:r>
              <w:rPr>
                <w:sz w:val="18"/>
              </w:rPr>
              <w:t xml:space="preserve"> </w:t>
            </w:r>
            <w:r>
              <w:rPr>
                <w:bCs/>
                <w:b/>
                <w:sz w:val="18"/>
              </w:rPr>
              <w:t xml:space="preserve">Given</w:t>
            </w:r>
            <w:r>
              <w:rPr>
                <w:sz w:val="18"/>
              </w:rPr>
              <w:t xml:space="preserve"> </w:t>
            </w:r>
            <w:r>
              <w:rPr>
                <w:sz w:val="18"/>
              </w:rPr>
              <w:t xml:space="preserve">a loan with at least one paid installment,</w:t>
            </w:r>
            <w:r>
              <w:rPr>
                <w:sz w:val="18"/>
              </w:rPr>
              <w:t xml:space="preserve"> </w:t>
            </w:r>
            <w:r>
              <w:rPr>
                <w:bCs/>
                <w:b/>
                <w:sz w:val="18"/>
              </w:rPr>
              <w:t xml:space="preserve">when</w:t>
            </w:r>
            <w:r>
              <w:rPr>
                <w:sz w:val="18"/>
              </w:rPr>
              <w:t xml:space="preserve"> </w:t>
            </w:r>
            <w:r>
              <w:rPr>
                <w:sz w:val="18"/>
              </w:rPr>
              <w:t xml:space="preserve">its terms are edited,</w:t>
            </w:r>
            <w:r>
              <w:rPr>
                <w:sz w:val="18"/>
              </w:rPr>
              <w:t xml:space="preserve"> </w:t>
            </w:r>
            <w:r>
              <w:rPr>
                <w:bCs/>
                <w:b/>
                <w:sz w:val="18"/>
              </w:rPr>
              <w:t xml:space="preserve">then</w:t>
            </w:r>
            <w:r>
              <w:rPr>
                <w:sz w:val="18"/>
              </w:rPr>
              <w:t xml:space="preserve"> </w:t>
            </w:r>
            <w:r>
              <w:rPr>
                <w:sz w:val="18"/>
              </w:rPr>
              <w:t xml:space="preserve">409 is returned and the schedule is unchanged.</w:t>
            </w:r>
          </w:p>
        </w:tc>
      </w:tr>
      <w:tr>
        <w:tc>
          <w:tcPr>
            <w:tcW w:type="dxa" w:w="857"/>
          </w:tcPr>
          <w:p>
            <w:pPr>
              <w:pStyle w:val="Compact"/>
              <w:spacing w:after="20" w:before="20"/>
              <w:jc w:val="left"/>
            </w:pPr>
            <w:r>
              <w:rPr>
                <w:sz w:val="18"/>
              </w:rPr>
              <w:t xml:space="preserve">AC-09</w:t>
            </w:r>
          </w:p>
        </w:tc>
        <w:tc>
          <w:tcPr>
            <w:tcW w:type="dxa" w:w="857"/>
          </w:tcPr>
          <w:p>
            <w:pPr>
              <w:pStyle w:val="Compact"/>
              <w:spacing w:after="20" w:before="20"/>
              <w:jc w:val="left"/>
            </w:pPr>
            <w:r>
              <w:rPr>
                <w:sz w:val="18"/>
              </w:rPr>
              <w:t xml:space="preserve">FR-09</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an unpaid installment of the user’s loan,</w:t>
            </w:r>
            <w:r>
              <w:rPr>
                <w:sz w:val="18"/>
              </w:rPr>
              <w:t xml:space="preserve"> </w:t>
            </w:r>
            <w:r>
              <w:rPr>
                <w:bCs/>
                <w:b/>
                <w:sz w:val="18"/>
              </w:rPr>
              <w:t xml:space="preserve">when</w:t>
            </w:r>
            <w:r>
              <w:rPr>
                <w:sz w:val="18"/>
              </w:rPr>
              <w:t xml:space="preserve"> </w:t>
            </w:r>
            <w:r>
              <w:rPr>
                <w:sz w:val="18"/>
              </w:rPr>
              <w:t xml:space="preserve">it is marked paid,</w:t>
            </w:r>
            <w:r>
              <w:rPr>
                <w:sz w:val="18"/>
              </w:rPr>
              <w:t xml:space="preserve"> </w:t>
            </w:r>
            <w:r>
              <w:rPr>
                <w:bCs/>
                <w:b/>
                <w:sz w:val="18"/>
              </w:rPr>
              <w:t xml:space="preserve">then</w:t>
            </w:r>
            <w:r>
              <w:rPr>
                <w:sz w:val="18"/>
              </w:rPr>
              <w:t xml:space="preserve"> </w:t>
            </w:r>
            <w:r>
              <w:rPr>
                <w:sz w:val="18"/>
              </w:rPr>
              <w:t xml:space="preserve">status = paid with today’s date, one ledger entry of type loan (category</w:t>
            </w:r>
            <w:r>
              <w:rPr>
                <w:sz w:val="18"/>
              </w:rPr>
              <w:t xml:space="preserve"> </w:t>
            </w:r>
            <w:r>
              <w:rPr>
                <w:sz w:val="18"/>
              </w:rPr>
              <w:t xml:space="preserve">“</w:t>
            </w:r>
            <w:r>
              <w:rPr>
                <w:sz w:val="18"/>
              </w:rPr>
              <w:t xml:space="preserve">EMI Payment</w:t>
            </w:r>
            <w:r>
              <w:rPr>
                <w:sz w:val="18"/>
              </w:rPr>
              <w:t xml:space="preserve">”</w:t>
            </w:r>
            <w:r>
              <w:rPr>
                <w:sz w:val="18"/>
              </w:rPr>
              <w:t xml:space="preserve">) equal to the EMI exists, and the outstanding falls by the principal component. Paying it again returns 404. Paying the last unpaid installment sets the loan status to closed.</w:t>
            </w:r>
          </w:p>
        </w:tc>
      </w:tr>
      <w:tr>
        <w:tc>
          <w:tcPr>
            <w:tcW w:type="dxa" w:w="857"/>
          </w:tcPr>
          <w:p>
            <w:pPr>
              <w:pStyle w:val="Compact"/>
              <w:spacing w:after="20" w:before="20"/>
              <w:jc w:val="left"/>
            </w:pPr>
            <w:r>
              <w:rPr>
                <w:sz w:val="18"/>
              </w:rPr>
              <w:t xml:space="preserve">AC-10</w:t>
            </w:r>
          </w:p>
        </w:tc>
        <w:tc>
          <w:tcPr>
            <w:tcW w:type="dxa" w:w="857"/>
          </w:tcPr>
          <w:p>
            <w:pPr>
              <w:pStyle w:val="Compact"/>
              <w:spacing w:after="20" w:before="20"/>
              <w:jc w:val="left"/>
            </w:pPr>
            <w:r>
              <w:rPr>
                <w:sz w:val="18"/>
              </w:rPr>
              <w:t xml:space="preserve">FR-10</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an unpaid installment whose due date has passed,</w:t>
            </w:r>
            <w:r>
              <w:rPr>
                <w:sz w:val="18"/>
              </w:rPr>
              <w:t xml:space="preserve"> </w:t>
            </w:r>
            <w:r>
              <w:rPr>
                <w:bCs/>
                <w:b/>
                <w:sz w:val="18"/>
              </w:rPr>
              <w:t xml:space="preserve">when</w:t>
            </w:r>
            <w:r>
              <w:rPr>
                <w:sz w:val="18"/>
              </w:rPr>
              <w:t xml:space="preserve"> </w:t>
            </w:r>
            <w:r>
              <w:rPr>
                <w:sz w:val="18"/>
              </w:rPr>
              <w:t xml:space="preserve">dues are requested,</w:t>
            </w:r>
            <w:r>
              <w:rPr>
                <w:sz w:val="18"/>
              </w:rPr>
              <w:t xml:space="preserve"> </w:t>
            </w:r>
            <w:r>
              <w:rPr>
                <w:bCs/>
                <w:b/>
                <w:sz w:val="18"/>
              </w:rPr>
              <w:t xml:space="preserve">then</w:t>
            </w:r>
            <w:r>
              <w:rPr>
                <w:sz w:val="18"/>
              </w:rPr>
              <w:t xml:space="preserve"> </w:t>
            </w:r>
            <w:r>
              <w:rPr>
                <w:sz w:val="18"/>
              </w:rPr>
              <w:t xml:space="preserve">it is marked overdue and appears in the overdue band; installments due in the next 7 days appear in</w:t>
            </w:r>
            <w:r>
              <w:rPr>
                <w:sz w:val="18"/>
              </w:rPr>
              <w:t xml:space="preserve"> </w:t>
            </w:r>
            <w:r>
              <w:rPr>
                <w:sz w:val="18"/>
              </w:rPr>
              <w:t xml:space="preserve">“</w:t>
            </w:r>
            <w:r>
              <w:rPr>
                <w:sz w:val="18"/>
              </w:rPr>
              <w:t xml:space="preserve">this week</w:t>
            </w:r>
            <w:r>
              <w:rPr>
                <w:sz w:val="18"/>
              </w:rPr>
              <w:t xml:space="preserve">”</w:t>
            </w:r>
            <w:r>
              <w:rPr>
                <w:sz w:val="18"/>
              </w:rPr>
              <w:t xml:space="preserve">.</w:t>
            </w:r>
          </w:p>
        </w:tc>
      </w:tr>
      <w:tr>
        <w:tc>
          <w:tcPr>
            <w:tcW w:type="dxa" w:w="857"/>
          </w:tcPr>
          <w:p>
            <w:pPr>
              <w:pStyle w:val="Compact"/>
              <w:spacing w:after="20" w:before="20"/>
              <w:jc w:val="left"/>
            </w:pPr>
            <w:r>
              <w:rPr>
                <w:sz w:val="18"/>
              </w:rPr>
              <w:t xml:space="preserve">AC-11</w:t>
            </w:r>
          </w:p>
        </w:tc>
        <w:tc>
          <w:tcPr>
            <w:tcW w:type="dxa" w:w="857"/>
          </w:tcPr>
          <w:p>
            <w:pPr>
              <w:pStyle w:val="Compact"/>
              <w:spacing w:after="20" w:before="20"/>
              <w:jc w:val="left"/>
            </w:pPr>
            <w:r>
              <w:rPr>
                <w:sz w:val="18"/>
              </w:rPr>
              <w:t xml:space="preserve">FR-11</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an active loan,</w:t>
            </w:r>
            <w:r>
              <w:rPr>
                <w:sz w:val="18"/>
              </w:rPr>
              <w:t xml:space="preserve"> </w:t>
            </w:r>
            <w:r>
              <w:rPr>
                <w:bCs/>
                <w:b/>
                <w:sz w:val="18"/>
              </w:rPr>
              <w:t xml:space="preserve">when</w:t>
            </w:r>
            <w:r>
              <w:rPr>
                <w:sz w:val="18"/>
              </w:rPr>
              <w:t xml:space="preserve"> </w:t>
            </w:r>
            <w:r>
              <w:rPr>
                <w:sz w:val="18"/>
              </w:rPr>
              <w:t xml:space="preserve">a prepayment is simulated,</w:t>
            </w:r>
            <w:r>
              <w:rPr>
                <w:sz w:val="18"/>
              </w:rPr>
              <w:t xml:space="preserve"> </w:t>
            </w:r>
            <w:r>
              <w:rPr>
                <w:bCs/>
                <w:b/>
                <w:sz w:val="18"/>
              </w:rPr>
              <w:t xml:space="preserve">then</w:t>
            </w:r>
            <w:r>
              <w:rPr>
                <w:sz w:val="18"/>
              </w:rPr>
              <w:t xml:space="preserve"> </w:t>
            </w:r>
            <w:r>
              <w:rPr>
                <w:sz w:val="18"/>
              </w:rPr>
              <w:t xml:space="preserve">both modes are returned, reduce-tenure saves at least as much interest as reduce-EMI, and no data changes.</w:t>
            </w:r>
            <w:r>
              <w:rPr>
                <w:sz w:val="18"/>
              </w:rPr>
              <w:t xml:space="preserve"> </w:t>
            </w:r>
            <w:r>
              <w:rPr>
                <w:bCs/>
                <w:b/>
                <w:sz w:val="18"/>
              </w:rPr>
              <w:t xml:space="preserve">When</w:t>
            </w:r>
            <w:r>
              <w:rPr>
                <w:sz w:val="18"/>
              </w:rPr>
              <w:t xml:space="preserve"> </w:t>
            </w:r>
            <w:r>
              <w:rPr>
                <w:sz w:val="18"/>
              </w:rPr>
              <w:t xml:space="preserve">a prepayment funded from an asset is applied,</w:t>
            </w:r>
            <w:r>
              <w:rPr>
                <w:sz w:val="18"/>
              </w:rPr>
              <w:t xml:space="preserve"> </w:t>
            </w:r>
            <w:r>
              <w:rPr>
                <w:bCs/>
                <w:b/>
                <w:sz w:val="18"/>
              </w:rPr>
              <w:t xml:space="preserve">then</w:t>
            </w:r>
            <w:r>
              <w:rPr>
                <w:sz w:val="18"/>
              </w:rPr>
              <w:t xml:space="preserve"> </w:t>
            </w:r>
            <w:r>
              <w:rPr>
                <w:sz w:val="18"/>
              </w:rPr>
              <w:t xml:space="preserve">the outstanding and the asset value both fall by the amount and net worth is unchanged. An amount above the outstanding returns 422; an under-funded asset leaves all data unchanged.</w:t>
            </w:r>
          </w:p>
        </w:tc>
      </w:tr>
      <w:tr>
        <w:tc>
          <w:tcPr>
            <w:tcW w:type="dxa" w:w="857"/>
          </w:tcPr>
          <w:p>
            <w:pPr>
              <w:pStyle w:val="Compact"/>
              <w:spacing w:after="20" w:before="20"/>
              <w:jc w:val="left"/>
            </w:pPr>
            <w:r>
              <w:rPr>
                <w:sz w:val="18"/>
              </w:rPr>
              <w:t xml:space="preserve">AC-12</w:t>
            </w:r>
          </w:p>
        </w:tc>
        <w:tc>
          <w:tcPr>
            <w:tcW w:type="dxa" w:w="857"/>
          </w:tcPr>
          <w:p>
            <w:pPr>
              <w:pStyle w:val="Compact"/>
              <w:spacing w:after="20" w:before="20"/>
              <w:jc w:val="left"/>
            </w:pPr>
            <w:r>
              <w:rPr>
                <w:sz w:val="18"/>
              </w:rPr>
              <w:t xml:space="preserve">FR-12</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signed-in user,</w:t>
            </w:r>
            <w:r>
              <w:rPr>
                <w:sz w:val="18"/>
              </w:rPr>
              <w:t xml:space="preserve"> </w:t>
            </w:r>
            <w:r>
              <w:rPr>
                <w:bCs/>
                <w:b/>
                <w:sz w:val="18"/>
              </w:rPr>
              <w:t xml:space="preserve">when</w:t>
            </w:r>
            <w:r>
              <w:rPr>
                <w:sz w:val="18"/>
              </w:rPr>
              <w:t xml:space="preserve"> </w:t>
            </w:r>
            <w:r>
              <w:rPr>
                <w:sz w:val="18"/>
              </w:rPr>
              <w:t xml:space="preserve">a valid expense is recorded,</w:t>
            </w:r>
            <w:r>
              <w:rPr>
                <w:sz w:val="18"/>
              </w:rPr>
              <w:t xml:space="preserve"> </w:t>
            </w:r>
            <w:r>
              <w:rPr>
                <w:bCs/>
                <w:b/>
                <w:sz w:val="18"/>
              </w:rPr>
              <w:t xml:space="preserve">then</w:t>
            </w:r>
            <w:r>
              <w:rPr>
                <w:sz w:val="18"/>
              </w:rPr>
              <w:t xml:space="preserve"> </w:t>
            </w:r>
            <w:r>
              <w:rPr>
                <w:sz w:val="18"/>
              </w:rPr>
              <w:t xml:space="preserve">201 is returned and it appears when filtering by type = expense, its date range and category. Amount ≤ 0 or a date not in YYYY-MM-DD returns 422.</w:t>
            </w:r>
          </w:p>
        </w:tc>
      </w:tr>
      <w:tr>
        <w:tc>
          <w:tcPr>
            <w:tcW w:type="dxa" w:w="857"/>
          </w:tcPr>
          <w:p>
            <w:pPr>
              <w:pStyle w:val="Compact"/>
              <w:spacing w:after="20" w:before="20"/>
              <w:jc w:val="left"/>
            </w:pPr>
            <w:r>
              <w:rPr>
                <w:sz w:val="18"/>
              </w:rPr>
              <w:t xml:space="preserve">AC-13</w:t>
            </w:r>
          </w:p>
        </w:tc>
        <w:tc>
          <w:tcPr>
            <w:tcW w:type="dxa" w:w="857"/>
          </w:tcPr>
          <w:p>
            <w:pPr>
              <w:pStyle w:val="Compact"/>
              <w:spacing w:after="20" w:before="20"/>
              <w:jc w:val="left"/>
            </w:pPr>
            <w:r>
              <w:rPr>
                <w:sz w:val="18"/>
              </w:rPr>
              <w:t xml:space="preserve">FR-13</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transaction</w:t>
            </w:r>
            <w:r>
              <w:rPr>
                <w:sz w:val="18"/>
              </w:rPr>
              <w:t xml:space="preserve"> </w:t>
            </w:r>
            <w:r>
              <w:rPr>
                <w:sz w:val="18"/>
              </w:rPr>
              <w:t xml:space="preserve">“</w:t>
            </w:r>
            <w:r>
              <w:rPr>
                <w:sz w:val="18"/>
              </w:rPr>
              <w:t xml:space="preserve">Apollo Pharmacy</w:t>
            </w:r>
            <w:r>
              <w:rPr>
                <w:sz w:val="18"/>
              </w:rPr>
              <w:t xml:space="preserve">”</w:t>
            </w:r>
            <w:r>
              <w:rPr>
                <w:sz w:val="18"/>
              </w:rPr>
              <w:t xml:space="preserve">,</w:t>
            </w:r>
            <w:r>
              <w:rPr>
                <w:sz w:val="18"/>
              </w:rPr>
              <w:t xml:space="preserve"> </w:t>
            </w:r>
            <w:r>
              <w:rPr>
                <w:bCs/>
                <w:b/>
                <w:sz w:val="18"/>
              </w:rPr>
              <w:t xml:space="preserve">when</w:t>
            </w:r>
            <w:r>
              <w:rPr>
                <w:sz w:val="18"/>
              </w:rPr>
              <w:t xml:space="preserve"> </w:t>
            </w:r>
            <w:r>
              <w:rPr>
                <w:sz w:val="18"/>
              </w:rPr>
              <w:t xml:space="preserve">the user searches</w:t>
            </w:r>
            <w:r>
              <w:rPr>
                <w:sz w:val="18"/>
              </w:rPr>
              <w:t xml:space="preserve"> </w:t>
            </w:r>
            <w:r>
              <w:rPr>
                <w:sz w:val="18"/>
              </w:rPr>
              <w:t xml:space="preserve">“</w:t>
            </w:r>
            <w:r>
              <w:rPr>
                <w:sz w:val="18"/>
              </w:rPr>
              <w:t xml:space="preserve">pharmacy</w:t>
            </w:r>
            <w:r>
              <w:rPr>
                <w:sz w:val="18"/>
              </w:rPr>
              <w:t xml:space="preserve">”</w:t>
            </w:r>
            <w:r>
              <w:rPr>
                <w:sz w:val="18"/>
              </w:rPr>
              <w:t xml:space="preserve">,</w:t>
            </w:r>
            <w:r>
              <w:rPr>
                <w:sz w:val="18"/>
              </w:rPr>
              <w:t xml:space="preserve"> </w:t>
            </w:r>
            <w:r>
              <w:rPr>
                <w:bCs/>
                <w:b/>
                <w:sz w:val="18"/>
              </w:rPr>
              <w:t xml:space="preserve">then</w:t>
            </w:r>
            <w:r>
              <w:rPr>
                <w:sz w:val="18"/>
              </w:rPr>
              <w:t xml:space="preserve"> </w:t>
            </w:r>
            <w:r>
              <w:rPr>
                <w:sz w:val="18"/>
              </w:rPr>
              <w:t xml:space="preserve">it is returned; a quoted phrase search returns only rows containing the phrase.</w:t>
            </w:r>
          </w:p>
        </w:tc>
      </w:tr>
      <w:tr>
        <w:tc>
          <w:tcPr>
            <w:tcW w:type="dxa" w:w="857"/>
          </w:tcPr>
          <w:p>
            <w:pPr>
              <w:pStyle w:val="Compact"/>
              <w:spacing w:after="20" w:before="20"/>
              <w:jc w:val="left"/>
            </w:pPr>
            <w:r>
              <w:rPr>
                <w:sz w:val="18"/>
              </w:rPr>
              <w:t xml:space="preserve">AC-14</w:t>
            </w:r>
          </w:p>
        </w:tc>
        <w:tc>
          <w:tcPr>
            <w:tcW w:type="dxa" w:w="857"/>
          </w:tcPr>
          <w:p>
            <w:pPr>
              <w:pStyle w:val="Compact"/>
              <w:spacing w:after="20" w:before="20"/>
              <w:jc w:val="left"/>
            </w:pPr>
            <w:r>
              <w:rPr>
                <w:sz w:val="18"/>
              </w:rPr>
              <w:t xml:space="preserve">FR-14</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valid bank CSV,</w:t>
            </w:r>
            <w:r>
              <w:rPr>
                <w:sz w:val="18"/>
              </w:rPr>
              <w:t xml:space="preserve"> </w:t>
            </w:r>
            <w:r>
              <w:rPr>
                <w:bCs/>
                <w:b/>
                <w:sz w:val="18"/>
              </w:rPr>
              <w:t xml:space="preserve">when</w:t>
            </w:r>
            <w:r>
              <w:rPr>
                <w:sz w:val="18"/>
              </w:rPr>
              <w:t xml:space="preserve"> </w:t>
            </w:r>
            <w:r>
              <w:rPr>
                <w:sz w:val="18"/>
              </w:rPr>
              <w:t xml:space="preserve">previewed,</w:t>
            </w:r>
            <w:r>
              <w:rPr>
                <w:sz w:val="18"/>
              </w:rPr>
              <w:t xml:space="preserve"> </w:t>
            </w:r>
            <w:r>
              <w:rPr>
                <w:bCs/>
                <w:b/>
                <w:sz w:val="18"/>
              </w:rPr>
              <w:t xml:space="preserve">then</w:t>
            </w:r>
            <w:r>
              <w:rPr>
                <w:sz w:val="18"/>
              </w:rPr>
              <w:t xml:space="preserve"> </w:t>
            </w:r>
            <w:r>
              <w:rPr>
                <w:sz w:val="18"/>
              </w:rPr>
              <w:t xml:space="preserve">each valid row shows date, description, amount, type and suggested category, invalid rows (e.g. 31/02) are listed with a reason, and rows already imported are flagged; nothing is written to the ledger.</w:t>
            </w:r>
            <w:r>
              <w:rPr>
                <w:sz w:val="18"/>
              </w:rPr>
              <w:t xml:space="preserve"> </w:t>
            </w:r>
            <w:r>
              <w:rPr>
                <w:bCs/>
                <w:b/>
                <w:sz w:val="18"/>
              </w:rPr>
              <w:t xml:space="preserve">When</w:t>
            </w:r>
            <w:r>
              <w:rPr>
                <w:sz w:val="18"/>
              </w:rPr>
              <w:t xml:space="preserve"> </w:t>
            </w:r>
            <w:r>
              <w:rPr>
                <w:sz w:val="18"/>
              </w:rPr>
              <w:t xml:space="preserve">committed,</w:t>
            </w:r>
            <w:r>
              <w:rPr>
                <w:sz w:val="18"/>
              </w:rPr>
              <w:t xml:space="preserve"> </w:t>
            </w:r>
            <w:r>
              <w:rPr>
                <w:bCs/>
                <w:b/>
                <w:sz w:val="18"/>
              </w:rPr>
              <w:t xml:space="preserve">then</w:t>
            </w:r>
            <w:r>
              <w:rPr>
                <w:sz w:val="18"/>
              </w:rPr>
              <w:t xml:space="preserve"> </w:t>
            </w:r>
            <w:r>
              <w:rPr>
                <w:sz w:val="18"/>
              </w:rPr>
              <w:t xml:space="preserve">201 with inserted count; committing the same rows again inserts 0 and reports them as duplicates. A non-CSV, empty or &gt; 5 MB file is rejected (415 / 422 / 413).</w:t>
            </w:r>
          </w:p>
        </w:tc>
      </w:tr>
      <w:tr>
        <w:tc>
          <w:tcPr>
            <w:tcW w:type="dxa" w:w="857"/>
          </w:tcPr>
          <w:p>
            <w:pPr>
              <w:pStyle w:val="Compact"/>
              <w:spacing w:after="20" w:before="20"/>
              <w:jc w:val="left"/>
            </w:pPr>
            <w:r>
              <w:rPr>
                <w:sz w:val="18"/>
              </w:rPr>
              <w:t xml:space="preserve">AC-15</w:t>
            </w:r>
          </w:p>
        </w:tc>
        <w:tc>
          <w:tcPr>
            <w:tcW w:type="dxa" w:w="857"/>
          </w:tcPr>
          <w:p>
            <w:pPr>
              <w:pStyle w:val="Compact"/>
              <w:spacing w:after="20" w:before="20"/>
              <w:jc w:val="left"/>
            </w:pPr>
            <w:r>
              <w:rPr>
                <w:sz w:val="18"/>
              </w:rPr>
              <w:t xml:space="preserve">FR-15</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system rule</w:t>
            </w:r>
            <w:r>
              <w:rPr>
                <w:sz w:val="18"/>
              </w:rPr>
              <w:t xml:space="preserve"> </w:t>
            </w:r>
            <w:r>
              <w:rPr>
                <w:sz w:val="18"/>
              </w:rPr>
              <w:t xml:space="preserve">“</w:t>
            </w:r>
            <w:r>
              <w:rPr>
                <w:sz w:val="18"/>
              </w:rPr>
              <w:t xml:space="preserve">AMAZON → Shopping</w:t>
            </w:r>
            <w:r>
              <w:rPr>
                <w:sz w:val="18"/>
              </w:rPr>
              <w:t xml:space="preserve">”</w:t>
            </w:r>
            <w:r>
              <w:rPr>
                <w:sz w:val="18"/>
              </w:rPr>
              <w:t xml:space="preserve">,</w:t>
            </w:r>
            <w:r>
              <w:rPr>
                <w:sz w:val="18"/>
              </w:rPr>
              <w:t xml:space="preserve"> </w:t>
            </w:r>
            <w:r>
              <w:rPr>
                <w:bCs/>
                <w:b/>
                <w:sz w:val="18"/>
              </w:rPr>
              <w:t xml:space="preserve">when</w:t>
            </w:r>
            <w:r>
              <w:rPr>
                <w:sz w:val="18"/>
              </w:rPr>
              <w:t xml:space="preserve"> </w:t>
            </w:r>
            <w:r>
              <w:rPr>
                <w:sz w:val="18"/>
              </w:rPr>
              <w:t xml:space="preserve">a user adds</w:t>
            </w:r>
            <w:r>
              <w:rPr>
                <w:sz w:val="18"/>
              </w:rPr>
              <w:t xml:space="preserve"> </w:t>
            </w:r>
            <w:r>
              <w:rPr>
                <w:sz w:val="18"/>
              </w:rPr>
              <w:t xml:space="preserve">“</w:t>
            </w:r>
            <w:r>
              <w:rPr>
                <w:sz w:val="18"/>
              </w:rPr>
              <w:t xml:space="preserve">AMAZON → Business Expense</w:t>
            </w:r>
            <w:r>
              <w:rPr>
                <w:sz w:val="18"/>
              </w:rPr>
              <w:t xml:space="preserve">”</w:t>
            </w:r>
            <w:r>
              <w:rPr>
                <w:sz w:val="18"/>
              </w:rPr>
              <w:t xml:space="preserve">,</w:t>
            </w:r>
            <w:r>
              <w:rPr>
                <w:sz w:val="18"/>
              </w:rPr>
              <w:t xml:space="preserve"> </w:t>
            </w:r>
            <w:r>
              <w:rPr>
                <w:bCs/>
                <w:b/>
                <w:sz w:val="18"/>
              </w:rPr>
              <w:t xml:space="preserve">then</w:t>
            </w:r>
            <w:r>
              <w:rPr>
                <w:sz w:val="18"/>
              </w:rPr>
              <w:t xml:space="preserve"> </w:t>
            </w:r>
            <w:r>
              <w:rPr>
                <w:sz w:val="18"/>
              </w:rPr>
              <w:t xml:space="preserve">that user’s matching transactions are re-categorised to Business Expense and other users are unaffected.</w:t>
            </w:r>
          </w:p>
        </w:tc>
      </w:tr>
      <w:tr>
        <w:tc>
          <w:tcPr>
            <w:tcW w:type="dxa" w:w="857"/>
          </w:tcPr>
          <w:p>
            <w:pPr>
              <w:pStyle w:val="Compact"/>
              <w:spacing w:after="20" w:before="20"/>
              <w:jc w:val="left"/>
            </w:pPr>
            <w:r>
              <w:rPr>
                <w:sz w:val="18"/>
              </w:rPr>
              <w:t xml:space="preserve">AC-16</w:t>
            </w:r>
          </w:p>
        </w:tc>
        <w:tc>
          <w:tcPr>
            <w:tcW w:type="dxa" w:w="857"/>
          </w:tcPr>
          <w:p>
            <w:pPr>
              <w:pStyle w:val="Compact"/>
              <w:spacing w:after="20" w:before="20"/>
              <w:jc w:val="left"/>
            </w:pPr>
            <w:r>
              <w:rPr>
                <w:sz w:val="18"/>
              </w:rPr>
              <w:t xml:space="preserve">FR-16</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clear receipt photo,</w:t>
            </w:r>
            <w:r>
              <w:rPr>
                <w:sz w:val="18"/>
              </w:rPr>
              <w:t xml:space="preserve"> </w:t>
            </w:r>
            <w:r>
              <w:rPr>
                <w:bCs/>
                <w:b/>
                <w:sz w:val="18"/>
              </w:rPr>
              <w:t xml:space="preserve">when</w:t>
            </w:r>
            <w:r>
              <w:rPr>
                <w:sz w:val="18"/>
              </w:rPr>
              <w:t xml:space="preserve"> </w:t>
            </w:r>
            <w:r>
              <w:rPr>
                <w:sz w:val="18"/>
              </w:rPr>
              <w:t xml:space="preserve">scanned,</w:t>
            </w:r>
            <w:r>
              <w:rPr>
                <w:sz w:val="18"/>
              </w:rPr>
              <w:t xml:space="preserve"> </w:t>
            </w:r>
            <w:r>
              <w:rPr>
                <w:bCs/>
                <w:b/>
                <w:sz w:val="18"/>
              </w:rPr>
              <w:t xml:space="preserve">then</w:t>
            </w:r>
            <w:r>
              <w:rPr>
                <w:sz w:val="18"/>
              </w:rPr>
              <w:t xml:space="preserve"> </w:t>
            </w:r>
            <w:r>
              <w:rPr>
                <w:sz w:val="18"/>
              </w:rPr>
              <w:t xml:space="preserve">merchant, amount, date, confidence and suggested category are returned and nothing is saved.</w:t>
            </w:r>
            <w:r>
              <w:rPr>
                <w:sz w:val="18"/>
              </w:rPr>
              <w:t xml:space="preserve"> </w:t>
            </w:r>
            <w:r>
              <w:rPr>
                <w:bCs/>
                <w:b/>
                <w:sz w:val="18"/>
              </w:rPr>
              <w:t xml:space="preserve">When</w:t>
            </w:r>
            <w:r>
              <w:rPr>
                <w:sz w:val="18"/>
              </w:rPr>
              <w:t xml:space="preserve"> </w:t>
            </w:r>
            <w:r>
              <w:rPr>
                <w:sz w:val="18"/>
              </w:rPr>
              <w:t xml:space="preserve">confirmed,</w:t>
            </w:r>
            <w:r>
              <w:rPr>
                <w:sz w:val="18"/>
              </w:rPr>
              <w:t xml:space="preserve"> </w:t>
            </w:r>
            <w:r>
              <w:rPr>
                <w:bCs/>
                <w:b/>
                <w:sz w:val="18"/>
              </w:rPr>
              <w:t xml:space="preserve">then</w:t>
            </w:r>
            <w:r>
              <w:rPr>
                <w:sz w:val="18"/>
              </w:rPr>
              <w:t xml:space="preserve"> </w:t>
            </w:r>
            <w:r>
              <w:rPr>
                <w:sz w:val="18"/>
              </w:rPr>
              <w:t xml:space="preserve">an expense is recorded (201); confirming the same receipt again returns 409. A GIF or &gt; 8 MB image is rejected (415 / 413).</w:t>
            </w:r>
          </w:p>
        </w:tc>
      </w:tr>
      <w:tr>
        <w:tc>
          <w:tcPr>
            <w:tcW w:type="dxa" w:w="857"/>
          </w:tcPr>
          <w:p>
            <w:pPr>
              <w:pStyle w:val="Compact"/>
              <w:spacing w:after="20" w:before="20"/>
              <w:jc w:val="left"/>
            </w:pPr>
            <w:r>
              <w:rPr>
                <w:sz w:val="18"/>
              </w:rPr>
              <w:t xml:space="preserve">AC-17</w:t>
            </w:r>
          </w:p>
        </w:tc>
        <w:tc>
          <w:tcPr>
            <w:tcW w:type="dxa" w:w="857"/>
          </w:tcPr>
          <w:p>
            <w:pPr>
              <w:pStyle w:val="Compact"/>
              <w:spacing w:after="20" w:before="20"/>
              <w:jc w:val="left"/>
            </w:pPr>
            <w:r>
              <w:rPr>
                <w:sz w:val="18"/>
              </w:rPr>
              <w:t xml:space="preserve">FR-17</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signed-in user,</w:t>
            </w:r>
            <w:r>
              <w:rPr>
                <w:sz w:val="18"/>
              </w:rPr>
              <w:t xml:space="preserve"> </w:t>
            </w:r>
            <w:r>
              <w:rPr>
                <w:bCs/>
                <w:b/>
                <w:sz w:val="18"/>
              </w:rPr>
              <w:t xml:space="preserve">when</w:t>
            </w:r>
            <w:r>
              <w:rPr>
                <w:sz w:val="18"/>
              </w:rPr>
              <w:t xml:space="preserve"> </w:t>
            </w:r>
            <w:r>
              <w:rPr>
                <w:sz w:val="18"/>
              </w:rPr>
              <w:t xml:space="preserve">a PDF ≤ 10 MB with tags is uploaded,</w:t>
            </w:r>
            <w:r>
              <w:rPr>
                <w:sz w:val="18"/>
              </w:rPr>
              <w:t xml:space="preserve"> </w:t>
            </w:r>
            <w:r>
              <w:rPr>
                <w:bCs/>
                <w:b/>
                <w:sz w:val="18"/>
              </w:rPr>
              <w:t xml:space="preserve">then</w:t>
            </w:r>
            <w:r>
              <w:rPr>
                <w:sz w:val="18"/>
              </w:rPr>
              <w:t xml:space="preserve"> </w:t>
            </w:r>
            <w:r>
              <w:rPr>
                <w:sz w:val="18"/>
              </w:rPr>
              <w:t xml:space="preserve">201 is returned and it can be found by tag and search text, downloaded by its owner, and deleted; another user’s download or delete returns 404. A file whose content is not PDF, JPEG, PNG or WebP, or a file &gt; 10 MB, is rejected (415 / 413).</w:t>
            </w:r>
            <w:r>
              <w:rPr>
                <w:sz w:val="18"/>
              </w:rPr>
              <w:t xml:space="preserve"> </w:t>
            </w:r>
            <w:r>
              <w:rPr>
                <w:bCs/>
                <w:b/>
                <w:sz w:val="18"/>
              </w:rPr>
              <w:t xml:space="preserve">Given</w:t>
            </w:r>
            <w:r>
              <w:rPr>
                <w:sz w:val="18"/>
              </w:rPr>
              <w:t xml:space="preserve"> </w:t>
            </w:r>
            <w:r>
              <w:rPr>
                <w:sz w:val="18"/>
              </w:rPr>
              <w:t xml:space="preserve">the vault storage cannot be written,</w:t>
            </w:r>
            <w:r>
              <w:rPr>
                <w:sz w:val="18"/>
              </w:rPr>
              <w:t xml:space="preserve"> </w:t>
            </w:r>
            <w:r>
              <w:rPr>
                <w:bCs/>
                <w:b/>
                <w:sz w:val="18"/>
              </w:rPr>
              <w:t xml:space="preserve">then</w:t>
            </w:r>
            <w:r>
              <w:rPr>
                <w:sz w:val="18"/>
              </w:rPr>
              <w:t xml:space="preserve"> </w:t>
            </w:r>
            <w:r>
              <w:rPr>
                <w:sz w:val="18"/>
              </w:rPr>
              <w:t xml:space="preserve">an upload returns 503</w:t>
            </w:r>
            <w:r>
              <w:rPr>
                <w:sz w:val="18"/>
              </w:rPr>
              <w:t xml:space="preserve"> </w:t>
            </w:r>
            <w:r>
              <w:rPr>
                <w:sz w:val="18"/>
              </w:rPr>
              <w:t xml:space="preserve">“</w:t>
            </w:r>
            <w:r>
              <w:rPr>
                <w:sz w:val="18"/>
              </w:rPr>
              <w:t xml:space="preserve">The document vault is unavailable…</w:t>
            </w:r>
            <w:r>
              <w:rPr>
                <w:sz w:val="18"/>
              </w:rPr>
              <w:t xml:space="preserve">”</w:t>
            </w:r>
            <w:r>
              <w:rPr>
                <w:sz w:val="18"/>
              </w:rPr>
              <w:t xml:space="preserve">.</w:t>
            </w:r>
          </w:p>
        </w:tc>
      </w:tr>
      <w:tr>
        <w:tc>
          <w:tcPr>
            <w:tcW w:type="dxa" w:w="857"/>
          </w:tcPr>
          <w:p>
            <w:pPr>
              <w:pStyle w:val="Compact"/>
              <w:spacing w:after="20" w:before="20"/>
              <w:jc w:val="left"/>
            </w:pPr>
            <w:r>
              <w:rPr>
                <w:sz w:val="18"/>
              </w:rPr>
              <w:t xml:space="preserve">AC-18</w:t>
            </w:r>
          </w:p>
        </w:tc>
        <w:tc>
          <w:tcPr>
            <w:tcW w:type="dxa" w:w="857"/>
          </w:tcPr>
          <w:p>
            <w:pPr>
              <w:pStyle w:val="Compact"/>
              <w:spacing w:after="20" w:before="20"/>
              <w:jc w:val="left"/>
            </w:pPr>
            <w:r>
              <w:rPr>
                <w:sz w:val="18"/>
              </w:rPr>
              <w:t xml:space="preserve">FR-18</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user with assets, loans and transactions,</w:t>
            </w:r>
            <w:r>
              <w:rPr>
                <w:sz w:val="18"/>
              </w:rPr>
              <w:t xml:space="preserve"> </w:t>
            </w:r>
            <w:r>
              <w:rPr>
                <w:bCs/>
                <w:b/>
                <w:sz w:val="18"/>
              </w:rPr>
              <w:t xml:space="preserve">when</w:t>
            </w:r>
            <w:r>
              <w:rPr>
                <w:sz w:val="18"/>
              </w:rPr>
              <w:t xml:space="preserve"> </w:t>
            </w:r>
            <w:r>
              <w:rPr>
                <w:sz w:val="18"/>
              </w:rPr>
              <w:t xml:space="preserve">the dashboard loads,</w:t>
            </w:r>
            <w:r>
              <w:rPr>
                <w:sz w:val="18"/>
              </w:rPr>
              <w:t xml:space="preserve"> </w:t>
            </w:r>
            <w:r>
              <w:rPr>
                <w:bCs/>
                <w:b/>
                <w:sz w:val="18"/>
              </w:rPr>
              <w:t xml:space="preserve">then</w:t>
            </w:r>
            <w:r>
              <w:rPr>
                <w:sz w:val="18"/>
              </w:rPr>
              <w:t xml:space="preserve"> </w:t>
            </w:r>
            <w:r>
              <w:rPr>
                <w:sz w:val="18"/>
              </w:rPr>
              <w:t xml:space="preserve">summary, trend, allocation, loan progress, dues, cash flow and recurring expenses are shown and consistent with the underlying records.</w:t>
            </w:r>
            <w:r>
              <w:rPr>
                <w:sz w:val="18"/>
              </w:rPr>
              <w:t xml:space="preserve"> </w:t>
            </w:r>
            <w:r>
              <w:rPr>
                <w:bCs/>
                <w:b/>
                <w:sz w:val="18"/>
              </w:rPr>
              <w:t xml:space="preserve">Given</w:t>
            </w:r>
            <w:r>
              <w:rPr>
                <w:sz w:val="18"/>
              </w:rPr>
              <w:t xml:space="preserve"> </w:t>
            </w:r>
            <w:r>
              <w:rPr>
                <w:sz w:val="18"/>
              </w:rPr>
              <w:t xml:space="preserve">a new user,</w:t>
            </w:r>
            <w:r>
              <w:rPr>
                <w:sz w:val="18"/>
              </w:rPr>
              <w:t xml:space="preserve"> </w:t>
            </w:r>
            <w:r>
              <w:rPr>
                <w:bCs/>
                <w:b/>
                <w:sz w:val="18"/>
              </w:rPr>
              <w:t xml:space="preserve">then</w:t>
            </w:r>
            <w:r>
              <w:rPr>
                <w:sz w:val="18"/>
              </w:rPr>
              <w:t xml:space="preserve"> </w:t>
            </w:r>
            <w:r>
              <w:rPr>
                <w:sz w:val="18"/>
              </w:rPr>
              <w:t xml:space="preserve">zero values are shown.</w:t>
            </w:r>
            <w:r>
              <w:rPr>
                <w:sz w:val="18"/>
              </w:rPr>
              <w:t xml:space="preserve"> </w:t>
            </w:r>
            <w:r>
              <w:rPr>
                <w:bCs/>
                <w:b/>
                <w:sz w:val="18"/>
              </w:rPr>
              <w:t xml:space="preserve">When</w:t>
            </w:r>
            <w:r>
              <w:rPr>
                <w:sz w:val="18"/>
              </w:rPr>
              <w:t xml:space="preserve"> </w:t>
            </w:r>
            <w:r>
              <w:rPr>
                <w:sz w:val="18"/>
              </w:rPr>
              <w:t xml:space="preserve">an asset is added,</w:t>
            </w:r>
            <w:r>
              <w:rPr>
                <w:sz w:val="18"/>
              </w:rPr>
              <w:t xml:space="preserve"> </w:t>
            </w:r>
            <w:r>
              <w:rPr>
                <w:bCs/>
                <w:b/>
                <w:sz w:val="18"/>
              </w:rPr>
              <w:t xml:space="preserve">then</w:t>
            </w:r>
            <w:r>
              <w:rPr>
                <w:sz w:val="18"/>
              </w:rPr>
              <w:t xml:space="preserve"> </w:t>
            </w:r>
            <w:r>
              <w:rPr>
                <w:sz w:val="18"/>
              </w:rPr>
              <w:t xml:space="preserve">today’s net worth snapshot changes accordingly.</w:t>
            </w:r>
          </w:p>
        </w:tc>
      </w:tr>
      <w:tr>
        <w:tc>
          <w:tcPr>
            <w:tcW w:type="dxa" w:w="857"/>
          </w:tcPr>
          <w:p>
            <w:pPr>
              <w:pStyle w:val="Compact"/>
              <w:spacing w:after="20" w:before="20"/>
              <w:jc w:val="left"/>
            </w:pPr>
            <w:r>
              <w:rPr>
                <w:sz w:val="18"/>
              </w:rPr>
              <w:t xml:space="preserve">AC-19</w:t>
            </w:r>
          </w:p>
        </w:tc>
        <w:tc>
          <w:tcPr>
            <w:tcW w:type="dxa" w:w="857"/>
          </w:tcPr>
          <w:p>
            <w:pPr>
              <w:pStyle w:val="Compact"/>
              <w:spacing w:after="20" w:before="20"/>
              <w:jc w:val="left"/>
            </w:pPr>
            <w:r>
              <w:rPr>
                <w:sz w:val="18"/>
              </w:rPr>
              <w:t xml:space="preserve">FR-19</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user with loans,</w:t>
            </w:r>
            <w:r>
              <w:rPr>
                <w:sz w:val="18"/>
              </w:rPr>
              <w:t xml:space="preserve"> </w:t>
            </w:r>
            <w:r>
              <w:rPr>
                <w:bCs/>
                <w:b/>
                <w:sz w:val="18"/>
              </w:rPr>
              <w:t xml:space="preserve">when</w:t>
            </w:r>
            <w:r>
              <w:rPr>
                <w:sz w:val="18"/>
              </w:rPr>
              <w:t xml:space="preserve"> </w:t>
            </w:r>
            <w:r>
              <w:rPr>
                <w:sz w:val="18"/>
              </w:rPr>
              <w:t xml:space="preserve">the score is requested,</w:t>
            </w:r>
            <w:r>
              <w:rPr>
                <w:sz w:val="18"/>
              </w:rPr>
              <w:t xml:space="preserve"> </w:t>
            </w:r>
            <w:r>
              <w:rPr>
                <w:bCs/>
                <w:b/>
                <w:sz w:val="18"/>
              </w:rPr>
              <w:t xml:space="preserve">then</w:t>
            </w:r>
            <w:r>
              <w:rPr>
                <w:sz w:val="18"/>
              </w:rPr>
              <w:t xml:space="preserve"> </w:t>
            </w:r>
            <w:r>
              <w:rPr>
                <w:sz w:val="18"/>
              </w:rPr>
              <w:t xml:space="preserve">a value within 300–900 with its factor breakdown and a</w:t>
            </w:r>
            <w:r>
              <w:rPr>
                <w:sz w:val="18"/>
              </w:rPr>
              <w:t xml:space="preserve"> </w:t>
            </w:r>
            <w:r>
              <w:rPr>
                <w:sz w:val="18"/>
              </w:rPr>
              <w:t xml:space="preserve">“</w:t>
            </w:r>
            <w:r>
              <w:rPr>
                <w:sz w:val="18"/>
              </w:rPr>
              <w:t xml:space="preserve">not a bureau score</w:t>
            </w:r>
            <w:r>
              <w:rPr>
                <w:sz w:val="18"/>
              </w:rPr>
              <w:t xml:space="preserve">”</w:t>
            </w:r>
            <w:r>
              <w:rPr>
                <w:sz w:val="18"/>
              </w:rPr>
              <w:t xml:space="preserve"> </w:t>
            </w:r>
            <w:r>
              <w:rPr>
                <w:sz w:val="18"/>
              </w:rPr>
              <w:t xml:space="preserve">disclaimer is returned; an overdue installment lowers the score.</w:t>
            </w:r>
          </w:p>
        </w:tc>
      </w:tr>
      <w:tr>
        <w:tc>
          <w:tcPr>
            <w:tcW w:type="dxa" w:w="857"/>
          </w:tcPr>
          <w:p>
            <w:pPr>
              <w:pStyle w:val="Compact"/>
              <w:spacing w:after="20" w:before="20"/>
              <w:jc w:val="left"/>
            </w:pPr>
            <w:r>
              <w:rPr>
                <w:sz w:val="18"/>
              </w:rPr>
              <w:t xml:space="preserve">AC-20</w:t>
            </w:r>
          </w:p>
        </w:tc>
        <w:tc>
          <w:tcPr>
            <w:tcW w:type="dxa" w:w="857"/>
          </w:tcPr>
          <w:p>
            <w:pPr>
              <w:pStyle w:val="Compact"/>
              <w:spacing w:after="20" w:before="20"/>
              <w:jc w:val="left"/>
            </w:pPr>
            <w:r>
              <w:rPr>
                <w:sz w:val="18"/>
              </w:rPr>
              <w:t xml:space="preserve">FR-20</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 loan type, amount and tenure,</w:t>
            </w:r>
            <w:r>
              <w:rPr>
                <w:sz w:val="18"/>
              </w:rPr>
              <w:t xml:space="preserve"> </w:t>
            </w:r>
            <w:r>
              <w:rPr>
                <w:bCs/>
                <w:b/>
                <w:sz w:val="18"/>
              </w:rPr>
              <w:t xml:space="preserve">when</w:t>
            </w:r>
            <w:r>
              <w:rPr>
                <w:sz w:val="18"/>
              </w:rPr>
              <w:t xml:space="preserve"> </w:t>
            </w:r>
            <w:r>
              <w:rPr>
                <w:sz w:val="18"/>
              </w:rPr>
              <w:t xml:space="preserve">recommendations are requested,</w:t>
            </w:r>
            <w:r>
              <w:rPr>
                <w:sz w:val="18"/>
              </w:rPr>
              <w:t xml:space="preserve"> </w:t>
            </w:r>
            <w:r>
              <w:rPr>
                <w:bCs/>
                <w:b/>
                <w:sz w:val="18"/>
              </w:rPr>
              <w:t xml:space="preserve">then</w:t>
            </w:r>
            <w:r>
              <w:rPr>
                <w:sz w:val="18"/>
              </w:rPr>
              <w:t xml:space="preserve"> </w:t>
            </w:r>
            <w:r>
              <w:rPr>
                <w:sz w:val="18"/>
              </w:rPr>
              <w:t xml:space="preserve">products are returned ranked, and any product whose minimum score exceeds the user’s score is marked ineligible with a reason.</w:t>
            </w:r>
          </w:p>
        </w:tc>
      </w:tr>
      <w:tr>
        <w:tc>
          <w:tcPr>
            <w:tcW w:type="dxa" w:w="857"/>
          </w:tcPr>
          <w:p>
            <w:pPr>
              <w:pStyle w:val="Compact"/>
              <w:spacing w:after="20" w:before="20"/>
              <w:jc w:val="left"/>
            </w:pPr>
            <w:r>
              <w:rPr>
                <w:sz w:val="18"/>
              </w:rPr>
              <w:t xml:space="preserve">AC-21</w:t>
            </w:r>
          </w:p>
        </w:tc>
        <w:tc>
          <w:tcPr>
            <w:tcW w:type="dxa" w:w="857"/>
          </w:tcPr>
          <w:p>
            <w:pPr>
              <w:pStyle w:val="Compact"/>
              <w:spacing w:after="20" w:before="20"/>
              <w:jc w:val="left"/>
            </w:pPr>
            <w:r>
              <w:rPr>
                <w:sz w:val="18"/>
              </w:rPr>
              <w:t xml:space="preserve">FR-21</w:t>
            </w:r>
          </w:p>
        </w:tc>
        <w:tc>
          <w:tcPr>
            <w:tcW w:type="dxa" w:w="7791"/>
          </w:tcPr>
          <w:p>
            <w:pPr>
              <w:pStyle w:val="Compact"/>
              <w:spacing w:after="20" w:before="20"/>
              <w:jc w:val="left"/>
            </w:pPr>
            <w:r>
              <w:rPr>
                <w:bCs/>
                <w:b/>
                <w:sz w:val="18"/>
              </w:rPr>
              <w:t xml:space="preserve">Given</w:t>
            </w:r>
            <w:r>
              <w:rPr>
                <w:sz w:val="18"/>
              </w:rPr>
              <w:t xml:space="preserve"> </w:t>
            </w:r>
            <w:r>
              <w:rPr>
                <w:sz w:val="18"/>
              </w:rPr>
              <w:t xml:space="preserve">valid parameters,</w:t>
            </w:r>
            <w:r>
              <w:rPr>
                <w:sz w:val="18"/>
              </w:rPr>
              <w:t xml:space="preserve"> </w:t>
            </w:r>
            <w:r>
              <w:rPr>
                <w:bCs/>
                <w:b/>
                <w:sz w:val="18"/>
              </w:rPr>
              <w:t xml:space="preserve">when</w:t>
            </w:r>
            <w:r>
              <w:rPr>
                <w:sz w:val="18"/>
              </w:rPr>
              <w:t xml:space="preserve"> </w:t>
            </w:r>
            <w:r>
              <w:rPr>
                <w:sz w:val="18"/>
              </w:rPr>
              <w:t xml:space="preserve">a projection is requested,</w:t>
            </w:r>
            <w:r>
              <w:rPr>
                <w:sz w:val="18"/>
              </w:rPr>
              <w:t xml:space="preserve"> </w:t>
            </w:r>
            <w:r>
              <w:rPr>
                <w:bCs/>
                <w:b/>
                <w:sz w:val="18"/>
              </w:rPr>
              <w:t xml:space="preserve">then</w:t>
            </w:r>
            <w:r>
              <w:rPr>
                <w:sz w:val="18"/>
              </w:rPr>
              <w:t xml:space="preserve"> </w:t>
            </w:r>
            <w:r>
              <w:rPr>
                <w:sz w:val="18"/>
              </w:rPr>
              <w:t xml:space="preserve">baseline and scenario series are returned for the requested months. At 0 % growth, closing a loan early gains exactly its remaining interest. Months &lt; 6 or &gt; 360 returns 422; another user’s loan id returns 404.</w:t>
            </w:r>
          </w:p>
        </w:tc>
      </w:tr>
      <w:tr>
        <w:tc>
          <w:tcPr>
            <w:tcW w:type="dxa" w:w="857"/>
          </w:tcPr>
          <w:p>
            <w:pPr>
              <w:pStyle w:val="Compact"/>
              <w:spacing w:after="20" w:before="20"/>
              <w:jc w:val="left"/>
            </w:pPr>
            <w:r>
              <w:rPr>
                <w:sz w:val="18"/>
              </w:rPr>
              <w:t xml:space="preserve">AC-22</w:t>
            </w:r>
          </w:p>
        </w:tc>
        <w:tc>
          <w:tcPr>
            <w:tcW w:type="dxa" w:w="857"/>
          </w:tcPr>
          <w:p>
            <w:pPr>
              <w:pStyle w:val="Compact"/>
              <w:spacing w:after="20" w:before="20"/>
              <w:jc w:val="left"/>
            </w:pPr>
            <w:r>
              <w:rPr>
                <w:sz w:val="18"/>
              </w:rPr>
              <w:t xml:space="preserve">FR-22</w:t>
            </w:r>
          </w:p>
        </w:tc>
        <w:tc>
          <w:tcPr>
            <w:tcW w:type="dxa" w:w="7791"/>
          </w:tcPr>
          <w:p>
            <w:pPr>
              <w:pStyle w:val="Compact"/>
              <w:spacing w:after="20" w:before="20"/>
              <w:jc w:val="left"/>
            </w:pPr>
            <w:r>
              <w:rPr>
                <w:bCs/>
                <w:b/>
                <w:sz w:val="18"/>
              </w:rPr>
              <w:t xml:space="preserve">Given</w:t>
            </w:r>
            <w:r>
              <w:rPr>
                <w:sz w:val="18"/>
              </w:rPr>
              <w:t xml:space="preserve"> </w:t>
            </w:r>
            <w:r>
              <w:rPr>
                <w:sz w:val="18"/>
              </w:rPr>
              <w:t xml:space="preserve">transactions on 31 March and 1 April,</w:t>
            </w:r>
            <w:r>
              <w:rPr>
                <w:sz w:val="18"/>
              </w:rPr>
              <w:t xml:space="preserve"> </w:t>
            </w:r>
            <w:r>
              <w:rPr>
                <w:bCs/>
                <w:b/>
                <w:sz w:val="18"/>
              </w:rPr>
              <w:t xml:space="preserve">when</w:t>
            </w:r>
            <w:r>
              <w:rPr>
                <w:sz w:val="18"/>
              </w:rPr>
              <w:t xml:space="preserve"> </w:t>
            </w:r>
            <w:r>
              <w:rPr>
                <w:sz w:val="18"/>
              </w:rPr>
              <w:t xml:space="preserve">FY reports are viewed,</w:t>
            </w:r>
            <w:r>
              <w:rPr>
                <w:sz w:val="18"/>
              </w:rPr>
              <w:t xml:space="preserve"> </w:t>
            </w:r>
            <w:r>
              <w:rPr>
                <w:bCs/>
                <w:b/>
                <w:sz w:val="18"/>
              </w:rPr>
              <w:t xml:space="preserve">then</w:t>
            </w:r>
            <w:r>
              <w:rPr>
                <w:sz w:val="18"/>
              </w:rPr>
              <w:t xml:space="preserve"> </w:t>
            </w:r>
            <w:r>
              <w:rPr>
                <w:sz w:val="18"/>
              </w:rPr>
              <w:t xml:space="preserve">the 31 March transaction belongs to the earlier FY and the 1 April transaction to the later FY.</w:t>
            </w:r>
          </w:p>
        </w:tc>
      </w:tr>
      <w:tr>
        <w:tc>
          <w:tcPr>
            <w:tcW w:type="dxa" w:w="857"/>
          </w:tcPr>
          <w:p>
            <w:pPr>
              <w:pStyle w:val="Compact"/>
              <w:spacing w:after="20" w:before="20"/>
              <w:jc w:val="left"/>
            </w:pPr>
            <w:r>
              <w:rPr>
                <w:sz w:val="18"/>
              </w:rPr>
              <w:t xml:space="preserve">AC-23</w:t>
            </w:r>
          </w:p>
        </w:tc>
        <w:tc>
          <w:tcPr>
            <w:tcW w:type="dxa" w:w="857"/>
          </w:tcPr>
          <w:p>
            <w:pPr>
              <w:pStyle w:val="Compact"/>
              <w:spacing w:after="20" w:before="20"/>
              <w:jc w:val="left"/>
            </w:pPr>
            <w:r>
              <w:rPr>
                <w:sz w:val="18"/>
              </w:rPr>
              <w:t xml:space="preserve">FR-23</w:t>
            </w:r>
          </w:p>
        </w:tc>
        <w:tc>
          <w:tcPr>
            <w:tcW w:type="dxa" w:w="7791"/>
          </w:tcPr>
          <w:p>
            <w:pPr>
              <w:pStyle w:val="Compact"/>
              <w:spacing w:after="20" w:before="20"/>
              <w:jc w:val="left"/>
            </w:pPr>
            <w:r>
              <w:rPr>
                <w:bCs/>
                <w:b/>
                <w:sz w:val="18"/>
              </w:rPr>
              <w:t xml:space="preserve">When</w:t>
            </w:r>
            <w:r>
              <w:rPr>
                <w:sz w:val="18"/>
              </w:rPr>
              <w:t xml:space="preserve"> </w:t>
            </w:r>
            <w:r>
              <w:rPr>
                <w:sz w:val="18"/>
              </w:rPr>
              <w:t xml:space="preserve">the statement is downloaded,</w:t>
            </w:r>
            <w:r>
              <w:rPr>
                <w:sz w:val="18"/>
              </w:rPr>
              <w:t xml:space="preserve"> </w:t>
            </w:r>
            <w:r>
              <w:rPr>
                <w:bCs/>
                <w:b/>
                <w:sz w:val="18"/>
              </w:rPr>
              <w:t xml:space="preserve">then</w:t>
            </w:r>
            <w:r>
              <w:rPr>
                <w:sz w:val="18"/>
              </w:rPr>
              <w:t xml:space="preserve"> </w:t>
            </w:r>
            <w:r>
              <w:rPr>
                <w:sz w:val="18"/>
              </w:rPr>
              <w:t xml:space="preserve">a PDF (</w:t>
            </w:r>
            <w:r>
              <w:rPr>
                <w:rStyle w:val="VerbatimChar"/>
                <w:sz w:val="18"/>
              </w:rPr>
              <w:t xml:space="preserve">application/pdf</w:t>
            </w:r>
            <w:r>
              <w:rPr>
                <w:sz w:val="18"/>
              </w:rPr>
              <w:t xml:space="preserve">, attachment) is returned containing the listed sections, with the PAN masked.</w:t>
            </w:r>
          </w:p>
        </w:tc>
      </w:tr>
      <w:tr>
        <w:tc>
          <w:tcPr>
            <w:tcW w:type="dxa" w:w="857"/>
          </w:tcPr>
          <w:p>
            <w:pPr>
              <w:pStyle w:val="Compact"/>
              <w:spacing w:after="20" w:before="20"/>
              <w:jc w:val="left"/>
            </w:pPr>
            <w:r>
              <w:rPr>
                <w:sz w:val="18"/>
              </w:rPr>
              <w:t xml:space="preserve">AC-24</w:t>
            </w:r>
          </w:p>
        </w:tc>
        <w:tc>
          <w:tcPr>
            <w:tcW w:type="dxa" w:w="857"/>
          </w:tcPr>
          <w:p>
            <w:pPr>
              <w:pStyle w:val="Compact"/>
              <w:spacing w:after="20" w:before="20"/>
              <w:jc w:val="left"/>
            </w:pPr>
            <w:r>
              <w:rPr>
                <w:sz w:val="18"/>
              </w:rPr>
              <w:t xml:space="preserve">FR-24</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an overdue installment,</w:t>
            </w:r>
            <w:r>
              <w:rPr>
                <w:sz w:val="18"/>
              </w:rPr>
              <w:t xml:space="preserve"> </w:t>
            </w:r>
            <w:r>
              <w:rPr>
                <w:bCs/>
                <w:b/>
                <w:sz w:val="18"/>
              </w:rPr>
              <w:t xml:space="preserve">when</w:t>
            </w:r>
            <w:r>
              <w:rPr>
                <w:sz w:val="18"/>
              </w:rPr>
              <w:t xml:space="preserve"> </w:t>
            </w:r>
            <w:r>
              <w:rPr>
                <w:sz w:val="18"/>
              </w:rPr>
              <w:t xml:space="preserve">notifications are fetched twice,</w:t>
            </w:r>
            <w:r>
              <w:rPr>
                <w:sz w:val="18"/>
              </w:rPr>
              <w:t xml:space="preserve"> </w:t>
            </w:r>
            <w:r>
              <w:rPr>
                <w:bCs/>
                <w:b/>
                <w:sz w:val="18"/>
              </w:rPr>
              <w:t xml:space="preserve">then</w:t>
            </w:r>
            <w:r>
              <w:rPr>
                <w:sz w:val="18"/>
              </w:rPr>
              <w:t xml:space="preserve"> </w:t>
            </w:r>
            <w:r>
              <w:rPr>
                <w:sz w:val="18"/>
              </w:rPr>
              <w:t xml:space="preserve">exactly one overdue reminder exists for it; marking it read reduces the unread count by one;</w:t>
            </w:r>
            <w:r>
              <w:rPr>
                <w:sz w:val="18"/>
              </w:rPr>
              <w:t xml:space="preserve"> </w:t>
            </w:r>
            <w:r>
              <w:rPr>
                <w:sz w:val="18"/>
              </w:rPr>
              <w:t xml:space="preserve">“</w:t>
            </w:r>
            <w:r>
              <w:rPr>
                <w:sz w:val="18"/>
              </w:rPr>
              <w:t xml:space="preserve">mark all</w:t>
            </w:r>
            <w:r>
              <w:rPr>
                <w:sz w:val="18"/>
              </w:rPr>
              <w:t xml:space="preserve">”</w:t>
            </w:r>
            <w:r>
              <w:rPr>
                <w:sz w:val="18"/>
              </w:rPr>
              <w:t xml:space="preserve"> </w:t>
            </w:r>
            <w:r>
              <w:rPr>
                <w:sz w:val="18"/>
              </w:rPr>
              <w:t xml:space="preserve">sets the unread count to 0.</w:t>
            </w:r>
          </w:p>
        </w:tc>
      </w:tr>
      <w:tr>
        <w:tc>
          <w:tcPr>
            <w:tcW w:type="dxa" w:w="857"/>
          </w:tcPr>
          <w:p>
            <w:pPr>
              <w:pStyle w:val="Compact"/>
              <w:spacing w:after="20" w:before="20"/>
              <w:jc w:val="left"/>
            </w:pPr>
            <w:r>
              <w:rPr>
                <w:sz w:val="18"/>
              </w:rPr>
              <w:t xml:space="preserve">AC-25</w:t>
            </w:r>
          </w:p>
        </w:tc>
        <w:tc>
          <w:tcPr>
            <w:tcW w:type="dxa" w:w="857"/>
          </w:tcPr>
          <w:p>
            <w:pPr>
              <w:pStyle w:val="Compact"/>
              <w:spacing w:after="20" w:before="20"/>
              <w:jc w:val="left"/>
            </w:pPr>
            <w:r>
              <w:rPr>
                <w:sz w:val="18"/>
              </w:rPr>
              <w:t xml:space="preserve">FR-25</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an article describing a +25 bps rate change,</w:t>
            </w:r>
            <w:r>
              <w:rPr>
                <w:sz w:val="18"/>
              </w:rPr>
              <w:t xml:space="preserve"> </w:t>
            </w:r>
            <w:r>
              <w:rPr>
                <w:bCs/>
                <w:b/>
                <w:sz w:val="18"/>
              </w:rPr>
              <w:t xml:space="preserve">when</w:t>
            </w:r>
            <w:r>
              <w:rPr>
                <w:sz w:val="18"/>
              </w:rPr>
              <w:t xml:space="preserve"> </w:t>
            </w:r>
            <w:r>
              <w:rPr>
                <w:sz w:val="18"/>
              </w:rPr>
              <w:t xml:space="preserve">its impact is requested,</w:t>
            </w:r>
            <w:r>
              <w:rPr>
                <w:sz w:val="18"/>
              </w:rPr>
              <w:t xml:space="preserve"> </w:t>
            </w:r>
            <w:r>
              <w:rPr>
                <w:bCs/>
                <w:b/>
                <w:sz w:val="18"/>
              </w:rPr>
              <w:t xml:space="preserve">then</w:t>
            </w:r>
            <w:r>
              <w:rPr>
                <w:sz w:val="18"/>
              </w:rPr>
              <w:t xml:space="preserve"> </w:t>
            </w:r>
            <w:r>
              <w:rPr>
                <w:sz w:val="18"/>
              </w:rPr>
              <w:t xml:space="preserve">the change in monthly EMI for each of the user’s floating-rate loans is returned; for an article with no rate change a note says so. If the feed is unreachable, sample articles labelled illustrative are shown. An Individual refreshing the feed gets 403.</w:t>
            </w:r>
          </w:p>
        </w:tc>
      </w:tr>
      <w:tr>
        <w:tc>
          <w:tcPr>
            <w:tcW w:type="dxa" w:w="857"/>
          </w:tcPr>
          <w:p>
            <w:pPr>
              <w:pStyle w:val="Compact"/>
              <w:spacing w:after="20" w:before="20"/>
              <w:jc w:val="left"/>
            </w:pPr>
            <w:r>
              <w:rPr>
                <w:sz w:val="18"/>
              </w:rPr>
              <w:t xml:space="preserve">AC-26</w:t>
            </w:r>
          </w:p>
        </w:tc>
        <w:tc>
          <w:tcPr>
            <w:tcW w:type="dxa" w:w="857"/>
          </w:tcPr>
          <w:p>
            <w:pPr>
              <w:pStyle w:val="Compact"/>
              <w:spacing w:after="20" w:before="20"/>
              <w:jc w:val="left"/>
            </w:pPr>
            <w:r>
              <w:rPr>
                <w:sz w:val="18"/>
              </w:rPr>
              <w:t xml:space="preserve">FR-26</w:t>
            </w:r>
          </w:p>
        </w:tc>
        <w:tc>
          <w:tcPr>
            <w:tcW w:type="dxa" w:w="7791"/>
          </w:tcPr>
          <w:p>
            <w:pPr>
              <w:pStyle w:val="Compact"/>
              <w:spacing w:after="20" w:before="20"/>
              <w:jc w:val="left"/>
            </w:pPr>
            <w:r>
              <w:rPr>
                <w:bCs/>
                <w:b/>
                <w:sz w:val="18"/>
              </w:rPr>
              <w:t xml:space="preserve">Given</w:t>
            </w:r>
            <w:r>
              <w:rPr>
                <w:sz w:val="18"/>
              </w:rPr>
              <w:t xml:space="preserve"> </w:t>
            </w:r>
            <w:r>
              <w:rPr>
                <w:sz w:val="18"/>
              </w:rPr>
              <w:t xml:space="preserve">an Individual,</w:t>
            </w:r>
            <w:r>
              <w:rPr>
                <w:sz w:val="18"/>
              </w:rPr>
              <w:t xml:space="preserve"> </w:t>
            </w:r>
            <w:r>
              <w:rPr>
                <w:bCs/>
                <w:b/>
                <w:sz w:val="18"/>
              </w:rPr>
              <w:t xml:space="preserve">when</w:t>
            </w:r>
            <w:r>
              <w:rPr>
                <w:sz w:val="18"/>
              </w:rPr>
              <w:t xml:space="preserve"> </w:t>
            </w:r>
            <w:r>
              <w:rPr>
                <w:sz w:val="18"/>
              </w:rPr>
              <w:t xml:space="preserve">they choose an advisor by email,</w:t>
            </w:r>
            <w:r>
              <w:rPr>
                <w:sz w:val="18"/>
              </w:rPr>
              <w:t xml:space="preserve"> </w:t>
            </w:r>
            <w:r>
              <w:rPr>
                <w:bCs/>
                <w:b/>
                <w:sz w:val="18"/>
              </w:rPr>
              <w:t xml:space="preserve">then</w:t>
            </w:r>
            <w:r>
              <w:rPr>
                <w:sz w:val="18"/>
              </w:rPr>
              <w:t xml:space="preserve"> </w:t>
            </w:r>
            <w:r>
              <w:rPr>
                <w:sz w:val="18"/>
              </w:rPr>
              <w:t xml:space="preserve">that advisor is assigned; an email that does not belong to an Advisor returns 404.</w:t>
            </w:r>
            <w:r>
              <w:rPr>
                <w:sz w:val="18"/>
              </w:rPr>
              <w:t xml:space="preserve"> </w:t>
            </w:r>
            <w:r>
              <w:rPr>
                <w:bCs/>
                <w:b/>
                <w:sz w:val="18"/>
              </w:rPr>
              <w:t xml:space="preserve">Given</w:t>
            </w:r>
            <w:r>
              <w:rPr>
                <w:sz w:val="18"/>
              </w:rPr>
              <w:t xml:space="preserve"> </w:t>
            </w:r>
            <w:r>
              <w:rPr>
                <w:sz w:val="18"/>
              </w:rPr>
              <w:t xml:space="preserve">an Advisor with assigned clients,</w:t>
            </w:r>
            <w:r>
              <w:rPr>
                <w:sz w:val="18"/>
              </w:rPr>
              <w:t xml:space="preserve"> </w:t>
            </w:r>
            <w:r>
              <w:rPr>
                <w:bCs/>
                <w:b/>
                <w:sz w:val="18"/>
              </w:rPr>
              <w:t xml:space="preserve">when</w:t>
            </w:r>
            <w:r>
              <w:rPr>
                <w:sz w:val="18"/>
              </w:rPr>
              <w:t xml:space="preserve"> </w:t>
            </w:r>
            <w:r>
              <w:rPr>
                <w:sz w:val="18"/>
              </w:rPr>
              <w:t xml:space="preserve">the client list is opened,</w:t>
            </w:r>
            <w:r>
              <w:rPr>
                <w:sz w:val="18"/>
              </w:rPr>
              <w:t xml:space="preserve"> </w:t>
            </w:r>
            <w:r>
              <w:rPr>
                <w:bCs/>
                <w:b/>
                <w:sz w:val="18"/>
              </w:rPr>
              <w:t xml:space="preserve">then</w:t>
            </w:r>
            <w:r>
              <w:rPr>
                <w:sz w:val="18"/>
              </w:rPr>
              <w:t xml:space="preserve"> </w:t>
            </w:r>
            <w:r>
              <w:rPr>
                <w:sz w:val="18"/>
              </w:rPr>
              <w:t xml:space="preserve">only assigned clients appear with their current summary; reading an assigned client’s assets and loans returns 200, a non-assigned user’s returns 403.</w:t>
            </w:r>
          </w:p>
        </w:tc>
      </w:tr>
    </w:tbl>
    <w:bookmarkEnd w:id="55"/>
    <w:bookmarkEnd w:id="56"/>
    <w:bookmarkStart w:id="68" w:name="system-models-and-diagrams"/>
    <w:p>
      <w:pPr>
        <w:pStyle w:val="Heading1"/>
      </w:pPr>
      <w:r>
        <w:t xml:space="preserve">7. System models and diagrams</w:t>
      </w:r>
    </w:p>
    <w:bookmarkStart w:id="66" w:name="uml-use-case-diagrams"/>
    <w:p>
      <w:pPr>
        <w:pStyle w:val="Heading2"/>
      </w:pPr>
      <w:r>
        <w:t xml:space="preserve">7.1 UML Use-Case diagrams</w:t>
      </w:r>
    </w:p>
    <w:p>
      <w:pPr>
        <w:pStyle w:val="FirstParagraph"/>
      </w:pPr>
      <w:r>
        <w:t xml:space="preserve">Three use-case diagrams are provided. Actors and use cases correspond directly to the functional requirements in §4. PlantUML source is given in Appendix A.</w:t>
      </w:r>
    </w:p>
    <w:p>
      <w:pPr>
        <w:pStyle w:val="CaptionedFigure"/>
      </w:pPr>
      <w:r>
        <w:drawing>
          <wp:inline>
            <wp:extent cx="5334000" cy="6420928"/>
            <wp:effectExtent b="0" l="0" r="0" t="0"/>
            <wp:docPr descr="UC-D1 — Account, Portfolio and Loan Management" title="" id="58" name="Picture"/>
            <a:graphic>
              <a:graphicData uri="http://schemas.openxmlformats.org/drawingml/2006/picture">
                <pic:pic>
                  <pic:nvPicPr>
                    <pic:cNvPr descr="diagrams/UC-D1.png" id="59" name="Picture"/>
                    <pic:cNvPicPr>
                      <a:picLocks noChangeArrowheads="1" noChangeAspect="1"/>
                    </pic:cNvPicPr>
                  </pic:nvPicPr>
                  <pic:blipFill>
                    <a:blip r:embed="rId57"/>
                    <a:stretch>
                      <a:fillRect/>
                    </a:stretch>
                  </pic:blipFill>
                  <pic:spPr bwMode="auto">
                    <a:xfrm>
                      <a:off x="0" y="0"/>
                      <a:ext cx="5334000" cy="6420928"/>
                    </a:xfrm>
                    <a:prstGeom prst="rect">
                      <a:avLst/>
                    </a:prstGeom>
                    <a:noFill/>
                    <a:ln w="9525">
                      <a:noFill/>
                      <a:headEnd/>
                      <a:tailEnd/>
                    </a:ln>
                  </pic:spPr>
                </pic:pic>
              </a:graphicData>
            </a:graphic>
          </wp:inline>
        </w:drawing>
      </w:r>
    </w:p>
    <w:p>
      <w:pPr>
        <w:pStyle w:val="ImageCaption"/>
      </w:pPr>
      <w:r>
        <w:t xml:space="preserve">UC-D1 — Account, Portfolio and Loan Management</w:t>
      </w:r>
    </w:p>
    <w:p>
      <w:pPr>
        <w:pStyle w:val="CaptionedFigure"/>
      </w:pPr>
      <w:r>
        <w:drawing>
          <wp:inline>
            <wp:extent cx="5334000" cy="6137790"/>
            <wp:effectExtent b="0" l="0" r="0" t="0"/>
            <wp:docPr descr="UC-D2 — Ledger, Import, Documents, Analytics and Reports" title="" id="61" name="Picture"/>
            <a:graphic>
              <a:graphicData uri="http://schemas.openxmlformats.org/drawingml/2006/picture">
                <pic:pic>
                  <pic:nvPicPr>
                    <pic:cNvPr descr="diagrams/UC-D2.png" id="62" name="Picture"/>
                    <pic:cNvPicPr>
                      <a:picLocks noChangeArrowheads="1" noChangeAspect="1"/>
                    </pic:cNvPicPr>
                  </pic:nvPicPr>
                  <pic:blipFill>
                    <a:blip r:embed="rId60"/>
                    <a:stretch>
                      <a:fillRect/>
                    </a:stretch>
                  </pic:blipFill>
                  <pic:spPr bwMode="auto">
                    <a:xfrm>
                      <a:off x="0" y="0"/>
                      <a:ext cx="5334000" cy="6137790"/>
                    </a:xfrm>
                    <a:prstGeom prst="rect">
                      <a:avLst/>
                    </a:prstGeom>
                    <a:noFill/>
                    <a:ln w="9525">
                      <a:noFill/>
                      <a:headEnd/>
                      <a:tailEnd/>
                    </a:ln>
                  </pic:spPr>
                </pic:pic>
              </a:graphicData>
            </a:graphic>
          </wp:inline>
        </w:drawing>
      </w:r>
    </w:p>
    <w:p>
      <w:pPr>
        <w:pStyle w:val="ImageCaption"/>
      </w:pPr>
      <w:r>
        <w:t xml:space="preserve">UC-D2 — Ledger, Import, Documents, Analytics and Reports</w:t>
      </w:r>
    </w:p>
    <w:p>
      <w:pPr>
        <w:pStyle w:val="CaptionedFigure"/>
      </w:pPr>
      <w:r>
        <w:drawing>
          <wp:inline>
            <wp:extent cx="5303520" cy="3798607"/>
            <wp:effectExtent b="0" l="0" r="0" t="0"/>
            <wp:docPr descr="UC-D3 — Advisor Oversight and Market News" title="" id="64" name="Picture"/>
            <a:graphic>
              <a:graphicData uri="http://schemas.openxmlformats.org/drawingml/2006/picture">
                <pic:pic>
                  <pic:nvPicPr>
                    <pic:cNvPr descr="diagrams/UC-D3.png" id="65" name="Picture"/>
                    <pic:cNvPicPr>
                      <a:picLocks noChangeArrowheads="1" noChangeAspect="1"/>
                    </pic:cNvPicPr>
                  </pic:nvPicPr>
                  <pic:blipFill>
                    <a:blip r:embed="rId63"/>
                    <a:stretch>
                      <a:fillRect/>
                    </a:stretch>
                  </pic:blipFill>
                  <pic:spPr bwMode="auto">
                    <a:xfrm>
                      <a:off x="0" y="0"/>
                      <a:ext cx="5303520" cy="3798607"/>
                    </a:xfrm>
                    <a:prstGeom prst="rect">
                      <a:avLst/>
                    </a:prstGeom>
                    <a:noFill/>
                    <a:ln w="9525">
                      <a:noFill/>
                      <a:headEnd/>
                      <a:tailEnd/>
                    </a:ln>
                  </pic:spPr>
                </pic:pic>
              </a:graphicData>
            </a:graphic>
          </wp:inline>
        </w:drawing>
      </w:r>
    </w:p>
    <w:p>
      <w:pPr>
        <w:pStyle w:val="ImageCaption"/>
      </w:pPr>
      <w:r>
        <w:t xml:space="preserve">UC-D3 — Advisor Oversight and Market News</w:t>
      </w:r>
    </w:p>
    <w:bookmarkEnd w:id="66"/>
    <w:bookmarkStart w:id="67" w:name="use-case-summary"/>
    <w:p>
      <w:pPr>
        <w:pStyle w:val="Heading2"/>
      </w:pPr>
      <w:r>
        <w:t xml:space="preserve">7.2 Use-case summary</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4434"/>
        <w:gridCol w:w="2643"/>
        <w:gridCol w:w="2426"/>
      </w:tblGrid>
      <w:tr>
        <w:trPr>
          <w:tblHeader w:val="true"/>
          <w:tblHeader w:val="true"/>
        </w:trPr>
        <w:tc>
          <w:tcPr>
            <w:tcW w:type="dxa" w:w="4434"/>
            <w:shd w:val="clear" w:color="auto" w:fill="DCE6F1"/>
          </w:tcPr>
          <w:p>
            <w:pPr>
              <w:pStyle w:val="Compact"/>
              <w:spacing w:after="20" w:before="20"/>
              <w:jc w:val="left"/>
            </w:pPr>
            <w:r>
              <w:rPr>
                <w:b/>
                <w:sz w:val="18"/>
              </w:rPr>
              <w:t xml:space="preserve">Use case</w:t>
            </w:r>
          </w:p>
        </w:tc>
        <w:tc>
          <w:tcPr>
            <w:tcW w:type="dxa" w:w="2643"/>
            <w:shd w:val="clear" w:color="auto" w:fill="DCE6F1"/>
          </w:tcPr>
          <w:p>
            <w:pPr>
              <w:pStyle w:val="Compact"/>
              <w:spacing w:after="20" w:before="20"/>
              <w:jc w:val="left"/>
            </w:pPr>
            <w:r>
              <w:rPr>
                <w:b/>
                <w:sz w:val="18"/>
              </w:rPr>
              <w:t xml:space="preserve">Primary actor</w:t>
            </w:r>
          </w:p>
        </w:tc>
        <w:tc>
          <w:tcPr>
            <w:tcW w:type="dxa" w:w="2426"/>
            <w:shd w:val="clear" w:color="auto" w:fill="DCE6F1"/>
          </w:tcPr>
          <w:p>
            <w:pPr>
              <w:pStyle w:val="Compact"/>
              <w:spacing w:after="20" w:before="20"/>
              <w:jc w:val="left"/>
            </w:pPr>
            <w:r>
              <w:rPr>
                <w:b/>
                <w:sz w:val="18"/>
              </w:rPr>
              <w:t xml:space="preserve">Requirement(s)</w:t>
            </w:r>
          </w:p>
        </w:tc>
      </w:tr>
      <w:tr>
        <w:tc>
          <w:tcPr>
            <w:tcW w:type="dxa" w:w="4434"/>
          </w:tcPr>
          <w:p>
            <w:pPr>
              <w:pStyle w:val="Compact"/>
              <w:spacing w:after="20" w:before="20"/>
              <w:jc w:val="left"/>
            </w:pPr>
            <w:r>
              <w:rPr>
                <w:sz w:val="18"/>
              </w:rPr>
              <w:t xml:space="preserve">Register / Log in / Log out</w:t>
            </w:r>
          </w:p>
        </w:tc>
        <w:tc>
          <w:tcPr>
            <w:tcW w:type="dxa" w:w="2643"/>
          </w:tcPr>
          <w:p>
            <w:pPr>
              <w:pStyle w:val="Compact"/>
              <w:spacing w:after="20" w:before="20"/>
              <w:jc w:val="left"/>
            </w:pPr>
            <w:r>
              <w:rPr>
                <w:sz w:val="18"/>
              </w:rPr>
              <w:t xml:space="preserve">Individual User, Advisor</w:t>
            </w:r>
          </w:p>
        </w:tc>
        <w:tc>
          <w:tcPr>
            <w:tcW w:type="dxa" w:w="2426"/>
          </w:tcPr>
          <w:p>
            <w:pPr>
              <w:pStyle w:val="Compact"/>
              <w:spacing w:after="20" w:before="20"/>
              <w:jc w:val="left"/>
            </w:pPr>
            <w:r>
              <w:rPr>
                <w:sz w:val="18"/>
              </w:rPr>
              <w:t xml:space="preserve">FR-01, FR-02, FR-03</w:t>
            </w:r>
          </w:p>
        </w:tc>
      </w:tr>
      <w:tr>
        <w:tc>
          <w:tcPr>
            <w:tcW w:type="dxa" w:w="4434"/>
          </w:tcPr>
          <w:p>
            <w:pPr>
              <w:pStyle w:val="Compact"/>
              <w:spacing w:after="20" w:before="20"/>
              <w:jc w:val="left"/>
            </w:pPr>
            <w:r>
              <w:rPr>
                <w:sz w:val="18"/>
              </w:rPr>
              <w:t xml:space="preserve">Manage Assets; View Valuation History</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FR-05, FR-06</w:t>
            </w:r>
          </w:p>
        </w:tc>
      </w:tr>
      <w:tr>
        <w:tc>
          <w:tcPr>
            <w:tcW w:type="dxa" w:w="4434"/>
          </w:tcPr>
          <w:p>
            <w:pPr>
              <w:pStyle w:val="Compact"/>
              <w:spacing w:after="20" w:before="20"/>
              <w:jc w:val="left"/>
            </w:pPr>
            <w:r>
              <w:rPr>
                <w:sz w:val="18"/>
              </w:rPr>
              <w:t xml:space="preserve">Manage Loans; View Amortisation Schedule</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FR-07, FR-08</w:t>
            </w:r>
          </w:p>
        </w:tc>
      </w:tr>
      <w:tr>
        <w:tc>
          <w:tcPr>
            <w:tcW w:type="dxa" w:w="4434"/>
          </w:tcPr>
          <w:p>
            <w:pPr>
              <w:pStyle w:val="Compact"/>
              <w:spacing w:after="20" w:before="20"/>
              <w:jc w:val="left"/>
            </w:pPr>
            <w:r>
              <w:rPr>
                <w:sz w:val="18"/>
              </w:rPr>
              <w:t xml:space="preserve">Mark EMI Paid (includes Record Ledger Entry)</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FR-09</w:t>
            </w:r>
          </w:p>
        </w:tc>
      </w:tr>
      <w:tr>
        <w:tc>
          <w:tcPr>
            <w:tcW w:type="dxa" w:w="4434"/>
          </w:tcPr>
          <w:p>
            <w:pPr>
              <w:pStyle w:val="Compact"/>
              <w:spacing w:after="20" w:before="20"/>
              <w:jc w:val="left"/>
            </w:pPr>
            <w:r>
              <w:rPr>
                <w:sz w:val="18"/>
              </w:rPr>
              <w:t xml:space="preserve">View Upcoming / Overdue Dues</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FR-10</w:t>
            </w:r>
          </w:p>
        </w:tc>
      </w:tr>
      <w:tr>
        <w:tc>
          <w:tcPr>
            <w:tcW w:type="dxa" w:w="4434"/>
          </w:tcPr>
          <w:p>
            <w:pPr>
              <w:pStyle w:val="Compact"/>
              <w:spacing w:after="20" w:before="20"/>
              <w:jc w:val="left"/>
            </w:pPr>
            <w:r>
              <w:rPr>
                <w:sz w:val="18"/>
              </w:rPr>
              <w:t xml:space="preserve">Simulate / Apply Prepayment</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FR-11</w:t>
            </w:r>
          </w:p>
        </w:tc>
      </w:tr>
      <w:tr>
        <w:tc>
          <w:tcPr>
            <w:tcW w:type="dxa" w:w="4434"/>
          </w:tcPr>
          <w:p>
            <w:pPr>
              <w:pStyle w:val="Compact"/>
              <w:spacing w:after="20" w:before="20"/>
              <w:jc w:val="left"/>
            </w:pPr>
            <w:r>
              <w:rPr>
                <w:sz w:val="18"/>
              </w:rPr>
              <w:t xml:space="preserve">Record Transaction; Search Ledger</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FR-12, FR-13</w:t>
            </w:r>
          </w:p>
        </w:tc>
      </w:tr>
      <w:tr>
        <w:tc>
          <w:tcPr>
            <w:tcW w:type="dxa" w:w="4434"/>
          </w:tcPr>
          <w:p>
            <w:pPr>
              <w:pStyle w:val="Compact"/>
              <w:spacing w:after="20" w:before="20"/>
              <w:jc w:val="left"/>
            </w:pPr>
            <w:r>
              <w:rPr>
                <w:sz w:val="18"/>
              </w:rPr>
              <w:t xml:space="preserve">Import Bank Statement (includes Categorise) ; Manage Rules</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FR-14, FR-15</w:t>
            </w:r>
          </w:p>
        </w:tc>
      </w:tr>
      <w:tr>
        <w:tc>
          <w:tcPr>
            <w:tcW w:type="dxa" w:w="4434"/>
          </w:tcPr>
          <w:p>
            <w:pPr>
              <w:pStyle w:val="Compact"/>
              <w:spacing w:after="20" w:before="20"/>
              <w:jc w:val="left"/>
            </w:pPr>
            <w:r>
              <w:rPr>
                <w:sz w:val="18"/>
              </w:rPr>
              <w:t xml:space="preserve">Scan Receipt; Confirm Receipt Expense</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FR-16</w:t>
            </w:r>
          </w:p>
        </w:tc>
      </w:tr>
      <w:tr>
        <w:tc>
          <w:tcPr>
            <w:tcW w:type="dxa" w:w="4434"/>
          </w:tcPr>
          <w:p>
            <w:pPr>
              <w:pStyle w:val="Compact"/>
              <w:spacing w:after="20" w:before="20"/>
              <w:jc w:val="left"/>
            </w:pPr>
            <w:r>
              <w:rPr>
                <w:sz w:val="18"/>
              </w:rPr>
              <w:t xml:space="preserve">Manage Document Vault</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FR-17</w:t>
            </w:r>
          </w:p>
        </w:tc>
      </w:tr>
      <w:tr>
        <w:tc>
          <w:tcPr>
            <w:tcW w:type="dxa" w:w="4434"/>
          </w:tcPr>
          <w:p>
            <w:pPr>
              <w:pStyle w:val="Compact"/>
              <w:spacing w:after="20" w:before="20"/>
              <w:jc w:val="left"/>
            </w:pPr>
            <w:r>
              <w:rPr>
                <w:sz w:val="18"/>
              </w:rPr>
              <w:t xml:space="preserve">View Dashboard</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FR-18</w:t>
            </w:r>
          </w:p>
        </w:tc>
      </w:tr>
      <w:tr>
        <w:tc>
          <w:tcPr>
            <w:tcW w:type="dxa" w:w="4434"/>
          </w:tcPr>
          <w:p>
            <w:pPr>
              <w:pStyle w:val="Compact"/>
              <w:spacing w:after="20" w:before="20"/>
              <w:jc w:val="left"/>
            </w:pPr>
            <w:r>
              <w:rPr>
                <w:sz w:val="18"/>
              </w:rPr>
              <w:t xml:space="preserve">View Credit Score; Compare Loan Products; Run Projection</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FR-19, FR-20, FR-21</w:t>
            </w:r>
          </w:p>
        </w:tc>
      </w:tr>
      <w:tr>
        <w:tc>
          <w:tcPr>
            <w:tcW w:type="dxa" w:w="4434"/>
          </w:tcPr>
          <w:p>
            <w:pPr>
              <w:pStyle w:val="Compact"/>
              <w:spacing w:after="20" w:before="20"/>
              <w:jc w:val="left"/>
            </w:pPr>
            <w:r>
              <w:rPr>
                <w:sz w:val="18"/>
              </w:rPr>
              <w:t xml:space="preserve">View FY Report; Download PDF Statement</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FR-22, FR-23</w:t>
            </w:r>
          </w:p>
        </w:tc>
      </w:tr>
      <w:tr>
        <w:tc>
          <w:tcPr>
            <w:tcW w:type="dxa" w:w="4434"/>
          </w:tcPr>
          <w:p>
            <w:pPr>
              <w:pStyle w:val="Compact"/>
              <w:spacing w:after="20" w:before="20"/>
              <w:jc w:val="left"/>
            </w:pPr>
            <w:r>
              <w:rPr>
                <w:sz w:val="18"/>
              </w:rPr>
              <w:t xml:space="preserve">View / Read Notifications</w:t>
            </w:r>
          </w:p>
        </w:tc>
        <w:tc>
          <w:tcPr>
            <w:tcW w:type="dxa" w:w="2643"/>
          </w:tcPr>
          <w:p>
            <w:pPr>
              <w:pStyle w:val="Compact"/>
              <w:spacing w:after="20" w:before="20"/>
              <w:jc w:val="left"/>
            </w:pPr>
            <w:r>
              <w:rPr>
                <w:sz w:val="18"/>
              </w:rPr>
              <w:t xml:space="preserve">Individual User</w:t>
            </w:r>
          </w:p>
        </w:tc>
        <w:tc>
          <w:tcPr>
            <w:tcW w:type="dxa" w:w="2426"/>
          </w:tcPr>
          <w:p>
            <w:pPr>
              <w:pStyle w:val="Compact"/>
              <w:spacing w:after="20" w:before="20"/>
              <w:jc w:val="left"/>
            </w:pPr>
            <w:r>
              <w:rPr>
                <w:sz w:val="18"/>
              </w:rPr>
              <w:t xml:space="preserve">FR-24</w:t>
            </w:r>
          </w:p>
        </w:tc>
      </w:tr>
      <w:tr>
        <w:tc>
          <w:tcPr>
            <w:tcW w:type="dxa" w:w="4434"/>
          </w:tcPr>
          <w:p>
            <w:pPr>
              <w:pStyle w:val="Compact"/>
              <w:spacing w:after="20" w:before="20"/>
              <w:jc w:val="left"/>
            </w:pPr>
            <w:r>
              <w:rPr>
                <w:sz w:val="18"/>
              </w:rPr>
              <w:t xml:space="preserve">Browse News; View Rate Impact; Refresh News</w:t>
            </w:r>
          </w:p>
        </w:tc>
        <w:tc>
          <w:tcPr>
            <w:tcW w:type="dxa" w:w="2643"/>
          </w:tcPr>
          <w:p>
            <w:pPr>
              <w:pStyle w:val="Compact"/>
              <w:spacing w:after="20" w:before="20"/>
              <w:jc w:val="left"/>
            </w:pPr>
            <w:r>
              <w:rPr>
                <w:sz w:val="18"/>
              </w:rPr>
              <w:t xml:space="preserve">Individual User; Advisor; RBI feed</w:t>
            </w:r>
          </w:p>
        </w:tc>
        <w:tc>
          <w:tcPr>
            <w:tcW w:type="dxa" w:w="2426"/>
          </w:tcPr>
          <w:p>
            <w:pPr>
              <w:pStyle w:val="Compact"/>
              <w:spacing w:after="20" w:before="20"/>
              <w:jc w:val="left"/>
            </w:pPr>
            <w:r>
              <w:rPr>
                <w:sz w:val="18"/>
              </w:rPr>
              <w:t xml:space="preserve">FR-25</w:t>
            </w:r>
          </w:p>
        </w:tc>
      </w:tr>
      <w:tr>
        <w:tc>
          <w:tcPr>
            <w:tcW w:type="dxa" w:w="4434"/>
          </w:tcPr>
          <w:p>
            <w:pPr>
              <w:pStyle w:val="Compact"/>
              <w:spacing w:after="20" w:before="20"/>
              <w:jc w:val="left"/>
            </w:pPr>
            <w:r>
              <w:rPr>
                <w:sz w:val="18"/>
              </w:rPr>
              <w:t xml:space="preserve">View Assigned Clients; View Client Assets</w:t>
            </w:r>
          </w:p>
        </w:tc>
        <w:tc>
          <w:tcPr>
            <w:tcW w:type="dxa" w:w="2643"/>
          </w:tcPr>
          <w:p>
            <w:pPr>
              <w:pStyle w:val="Compact"/>
              <w:spacing w:after="20" w:before="20"/>
              <w:jc w:val="left"/>
            </w:pPr>
            <w:r>
              <w:rPr>
                <w:sz w:val="18"/>
              </w:rPr>
              <w:t xml:space="preserve">Advisor</w:t>
            </w:r>
          </w:p>
        </w:tc>
        <w:tc>
          <w:tcPr>
            <w:tcW w:type="dxa" w:w="2426"/>
          </w:tcPr>
          <w:p>
            <w:pPr>
              <w:pStyle w:val="Compact"/>
              <w:spacing w:after="20" w:before="20"/>
              <w:jc w:val="left"/>
            </w:pPr>
            <w:r>
              <w:rPr>
                <w:sz w:val="18"/>
              </w:rPr>
              <w:t xml:space="preserve">FR-26</w:t>
            </w:r>
          </w:p>
        </w:tc>
      </w:tr>
    </w:tbl>
    <w:p>
      <w:pPr>
        <w:pStyle w:val="BodyText"/>
      </w:pPr>
      <w:r>
        <w:t xml:space="preserve">FR-04 (access control) is a cross-cutting constraint on every use case rather than a use case of its own.</w:t>
      </w:r>
    </w:p>
    <w:bookmarkEnd w:id="67"/>
    <w:bookmarkEnd w:id="68"/>
    <w:bookmarkStart w:id="69" w:name="requirements-traceability-matrix-rtm"/>
    <w:p>
      <w:pPr>
        <w:pStyle w:val="Heading1"/>
      </w:pPr>
      <w:r>
        <w:t xml:space="preserve">8. Requirements Traceability Matrix (RTM)</w:t>
      </w:r>
    </w:p>
    <w:p>
      <w:pPr>
        <w:pStyle w:val="FirstParagraph"/>
      </w:pPr>
      <w:r>
        <w:t xml:space="preserve">Status: N = Not yet tested, P = Passed, A = Accepted. Status reflects the test execution of 31-10-2026 recorded in the STP (all 59 test cases passed). Design references point to the SAD (component CMP-xx, sequence SEQ-xx, API section).</w:t>
      </w:r>
    </w:p>
    <w:tbl>
      <w:tblPr>
        <w:tblStyle w:val="Table"/>
        <w:tblW w:type="dxa" w:w="9504"/>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815"/>
        <w:gridCol w:w="1784"/>
        <w:gridCol w:w="995"/>
        <w:gridCol w:w="1653"/>
        <w:gridCol w:w="1628"/>
        <w:gridCol w:w="888"/>
        <w:gridCol w:w="1737"/>
      </w:tblGrid>
      <w:tr>
        <w:trPr>
          <w:tblHeader w:val="true"/>
          <w:tblHeader w:val="true"/>
        </w:trPr>
        <w:tc>
          <w:tcPr>
            <w:tcW w:type="dxa" w:w="816"/>
            <w:shd w:val="clear" w:color="auto" w:fill="DCE6F1"/>
          </w:tcPr>
          <w:p>
            <w:pPr>
              <w:pStyle w:val="Compact"/>
              <w:spacing w:after="20" w:before="20"/>
              <w:jc w:val="left"/>
            </w:pPr>
            <w:r>
              <w:rPr>
                <w:b/>
                <w:sz w:val="16"/>
              </w:rPr>
              <w:t xml:space="preserve">Req ID</w:t>
            </w:r>
          </w:p>
        </w:tc>
        <w:tc>
          <w:tcPr>
            <w:tcW w:type="dxa" w:w="1785"/>
            <w:shd w:val="clear" w:color="auto" w:fill="DCE6F1"/>
          </w:tcPr>
          <w:p>
            <w:pPr>
              <w:pStyle w:val="Compact"/>
              <w:spacing w:after="20" w:before="20"/>
              <w:jc w:val="left"/>
            </w:pPr>
            <w:r>
              <w:rPr>
                <w:b/>
                <w:sz w:val="16"/>
              </w:rPr>
              <w:t xml:space="preserve">Requirement short</w:t>
            </w:r>
          </w:p>
        </w:tc>
        <w:tc>
          <w:tcPr>
            <w:tcW w:type="dxa" w:w="995"/>
            <w:shd w:val="clear" w:color="auto" w:fill="DCE6F1"/>
          </w:tcPr>
          <w:p>
            <w:pPr>
              <w:pStyle w:val="Compact"/>
              <w:spacing w:after="20" w:before="20"/>
              <w:jc w:val="left"/>
            </w:pPr>
            <w:r>
              <w:rPr>
                <w:b/>
                <w:sz w:val="16"/>
              </w:rPr>
              <w:t xml:space="preserve">Section ref / Design Spec</w:t>
            </w:r>
          </w:p>
        </w:tc>
        <w:tc>
          <w:tcPr>
            <w:tcW w:type="dxa" w:w="1654"/>
            <w:shd w:val="clear" w:color="auto" w:fill="DCE6F1"/>
          </w:tcPr>
          <w:p>
            <w:pPr>
              <w:pStyle w:val="Compact"/>
              <w:spacing w:after="20" w:before="20"/>
              <w:jc w:val="left"/>
            </w:pPr>
            <w:r>
              <w:rPr>
                <w:b/>
                <w:sz w:val="16"/>
              </w:rPr>
              <w:t xml:space="preserve">Module</w:t>
            </w:r>
          </w:p>
        </w:tc>
        <w:tc>
          <w:tcPr>
            <w:tcW w:type="dxa" w:w="1628"/>
            <w:shd w:val="clear" w:color="auto" w:fill="DCE6F1"/>
          </w:tcPr>
          <w:p>
            <w:pPr>
              <w:pStyle w:val="Compact"/>
              <w:spacing w:after="20" w:before="20"/>
              <w:jc w:val="left"/>
            </w:pPr>
            <w:r>
              <w:rPr>
                <w:b/>
                <w:sz w:val="16"/>
              </w:rPr>
              <w:t xml:space="preserve">Test case(s)</w:t>
            </w:r>
          </w:p>
        </w:tc>
        <w:tc>
          <w:tcPr>
            <w:tcW w:type="dxa" w:w="889"/>
            <w:shd w:val="clear" w:color="auto" w:fill="DCE6F1"/>
          </w:tcPr>
          <w:p>
            <w:pPr>
              <w:pStyle w:val="Compact"/>
              <w:spacing w:after="20" w:before="20"/>
              <w:jc w:val="left"/>
            </w:pPr>
            <w:r>
              <w:rPr>
                <w:b/>
                <w:sz w:val="16"/>
              </w:rPr>
              <w:t xml:space="preserve">Status (N/P/A)</w:t>
            </w:r>
          </w:p>
        </w:tc>
        <w:tc>
          <w:tcPr>
            <w:tcW w:type="dxa" w:w="1738"/>
            <w:shd w:val="clear" w:color="auto" w:fill="DCE6F1"/>
          </w:tcPr>
          <w:p>
            <w:pPr>
              <w:pStyle w:val="Compact"/>
              <w:spacing w:after="20" w:before="20"/>
              <w:jc w:val="left"/>
            </w:pPr>
            <w:r>
              <w:rPr>
                <w:b/>
                <w:sz w:val="16"/>
              </w:rPr>
              <w:t xml:space="preserve">Comments</w:t>
            </w:r>
          </w:p>
        </w:tc>
      </w:tr>
      <w:tr>
        <w:tc>
          <w:tcPr>
            <w:tcW w:type="dxa" w:w="816"/>
          </w:tcPr>
          <w:p>
            <w:pPr>
              <w:pStyle w:val="Compact"/>
              <w:spacing w:after="20" w:before="20"/>
              <w:jc w:val="left"/>
            </w:pPr>
            <w:r>
              <w:rPr>
                <w:sz w:val="16"/>
              </w:rPr>
              <w:t xml:space="preserve">FR-01</w:t>
            </w:r>
          </w:p>
        </w:tc>
        <w:tc>
          <w:tcPr>
            <w:tcW w:type="dxa" w:w="1785"/>
          </w:tcPr>
          <w:p>
            <w:pPr>
              <w:pStyle w:val="Compact"/>
              <w:spacing w:after="20" w:before="20"/>
              <w:jc w:val="left"/>
            </w:pPr>
            <w:r>
              <w:rPr>
                <w:sz w:val="16"/>
              </w:rPr>
              <w:t xml:space="preserve">Register account</w:t>
            </w:r>
          </w:p>
        </w:tc>
        <w:tc>
          <w:tcPr>
            <w:tcW w:type="dxa" w:w="995"/>
          </w:tcPr>
          <w:p>
            <w:pPr>
              <w:pStyle w:val="Compact"/>
              <w:spacing w:after="20" w:before="20"/>
              <w:jc w:val="left"/>
            </w:pPr>
            <w:r>
              <w:rPr>
                <w:sz w:val="16"/>
              </w:rPr>
              <w:t xml:space="preserve">4.1 / SAD 4.3.1</w:t>
            </w:r>
          </w:p>
        </w:tc>
        <w:tc>
          <w:tcPr>
            <w:tcW w:type="dxa" w:w="1654"/>
          </w:tcPr>
          <w:p>
            <w:pPr>
              <w:pStyle w:val="Compact"/>
              <w:spacing w:after="20" w:before="20"/>
              <w:jc w:val="left"/>
            </w:pPr>
            <w:r>
              <w:rPr>
                <w:sz w:val="16"/>
              </w:rPr>
              <w:t xml:space="preserve">CMP-03 Authentication</w:t>
            </w:r>
          </w:p>
        </w:tc>
        <w:tc>
          <w:tcPr>
            <w:tcW w:type="dxa" w:w="1628"/>
          </w:tcPr>
          <w:p>
            <w:pPr>
              <w:pStyle w:val="Compact"/>
              <w:spacing w:after="20" w:before="20"/>
              <w:jc w:val="left"/>
            </w:pPr>
            <w:r>
              <w:rPr>
                <w:sz w:val="16"/>
              </w:rPr>
              <w:t xml:space="preserve">TC-001–TC-004</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FR-02</w:t>
            </w:r>
          </w:p>
        </w:tc>
        <w:tc>
          <w:tcPr>
            <w:tcW w:type="dxa" w:w="1785"/>
          </w:tcPr>
          <w:p>
            <w:pPr>
              <w:pStyle w:val="Compact"/>
              <w:spacing w:after="20" w:before="20"/>
              <w:jc w:val="left"/>
            </w:pPr>
            <w:r>
              <w:rPr>
                <w:sz w:val="16"/>
              </w:rPr>
              <w:t xml:space="preserve">Log in, issue session</w:t>
            </w:r>
          </w:p>
        </w:tc>
        <w:tc>
          <w:tcPr>
            <w:tcW w:type="dxa" w:w="995"/>
          </w:tcPr>
          <w:p>
            <w:pPr>
              <w:pStyle w:val="Compact"/>
              <w:spacing w:after="20" w:before="20"/>
              <w:jc w:val="left"/>
            </w:pPr>
            <w:r>
              <w:rPr>
                <w:sz w:val="16"/>
              </w:rPr>
              <w:t xml:space="preserve">4.1 / SAD SEQ-01, 4.3.1</w:t>
            </w:r>
          </w:p>
        </w:tc>
        <w:tc>
          <w:tcPr>
            <w:tcW w:type="dxa" w:w="1654"/>
          </w:tcPr>
          <w:p>
            <w:pPr>
              <w:pStyle w:val="Compact"/>
              <w:spacing w:after="20" w:before="20"/>
              <w:jc w:val="left"/>
            </w:pPr>
            <w:r>
              <w:rPr>
                <w:sz w:val="16"/>
              </w:rPr>
              <w:t xml:space="preserve">CMP-03 Authentication</w:t>
            </w:r>
          </w:p>
        </w:tc>
        <w:tc>
          <w:tcPr>
            <w:tcW w:type="dxa" w:w="1628"/>
          </w:tcPr>
          <w:p>
            <w:pPr>
              <w:pStyle w:val="Compact"/>
              <w:spacing w:after="20" w:before="20"/>
              <w:jc w:val="left"/>
            </w:pPr>
            <w:r>
              <w:rPr>
                <w:sz w:val="16"/>
              </w:rPr>
              <w:t xml:space="preserve">TC-005, TC-006</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FR-03</w:t>
            </w:r>
          </w:p>
        </w:tc>
        <w:tc>
          <w:tcPr>
            <w:tcW w:type="dxa" w:w="1785"/>
          </w:tcPr>
          <w:p>
            <w:pPr>
              <w:pStyle w:val="Compact"/>
              <w:spacing w:after="20" w:before="20"/>
              <w:jc w:val="left"/>
            </w:pPr>
            <w:r>
              <w:rPr>
                <w:sz w:val="16"/>
              </w:rPr>
              <w:t xml:space="preserve">Log out / current user</w:t>
            </w:r>
          </w:p>
        </w:tc>
        <w:tc>
          <w:tcPr>
            <w:tcW w:type="dxa" w:w="995"/>
          </w:tcPr>
          <w:p>
            <w:pPr>
              <w:pStyle w:val="Compact"/>
              <w:spacing w:after="20" w:before="20"/>
              <w:jc w:val="left"/>
            </w:pPr>
            <w:r>
              <w:rPr>
                <w:sz w:val="16"/>
              </w:rPr>
              <w:t xml:space="preserve">4.1 / SAD 4.3.1</w:t>
            </w:r>
          </w:p>
        </w:tc>
        <w:tc>
          <w:tcPr>
            <w:tcW w:type="dxa" w:w="1654"/>
          </w:tcPr>
          <w:p>
            <w:pPr>
              <w:pStyle w:val="Compact"/>
              <w:spacing w:after="20" w:before="20"/>
              <w:jc w:val="left"/>
            </w:pPr>
            <w:r>
              <w:rPr>
                <w:sz w:val="16"/>
              </w:rPr>
              <w:t xml:space="preserve">CMP-03 Authentication</w:t>
            </w:r>
          </w:p>
        </w:tc>
        <w:tc>
          <w:tcPr>
            <w:tcW w:type="dxa" w:w="1628"/>
          </w:tcPr>
          <w:p>
            <w:pPr>
              <w:pStyle w:val="Compact"/>
              <w:spacing w:after="20" w:before="20"/>
              <w:jc w:val="left"/>
            </w:pPr>
            <w:r>
              <w:rPr>
                <w:sz w:val="16"/>
              </w:rPr>
              <w:t xml:space="preserve">TC-007</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FR-04</w:t>
            </w:r>
          </w:p>
        </w:tc>
        <w:tc>
          <w:tcPr>
            <w:tcW w:type="dxa" w:w="1785"/>
          </w:tcPr>
          <w:p>
            <w:pPr>
              <w:pStyle w:val="Compact"/>
              <w:spacing w:after="20" w:before="20"/>
              <w:jc w:val="left"/>
            </w:pPr>
            <w:r>
              <w:rPr>
                <w:sz w:val="16"/>
              </w:rPr>
              <w:t xml:space="preserve">Role-based access</w:t>
            </w:r>
          </w:p>
        </w:tc>
        <w:tc>
          <w:tcPr>
            <w:tcW w:type="dxa" w:w="995"/>
          </w:tcPr>
          <w:p>
            <w:pPr>
              <w:pStyle w:val="Compact"/>
              <w:spacing w:after="20" w:before="20"/>
              <w:jc w:val="left"/>
            </w:pPr>
            <w:r>
              <w:rPr>
                <w:sz w:val="16"/>
              </w:rPr>
              <w:t xml:space="preserve">4.1 / SAD 3.9</w:t>
            </w:r>
          </w:p>
        </w:tc>
        <w:tc>
          <w:tcPr>
            <w:tcW w:type="dxa" w:w="1654"/>
          </w:tcPr>
          <w:p>
            <w:pPr>
              <w:pStyle w:val="Compact"/>
              <w:spacing w:after="20" w:before="20"/>
              <w:jc w:val="left"/>
            </w:pPr>
            <w:r>
              <w:rPr>
                <w:sz w:val="16"/>
              </w:rPr>
              <w:t xml:space="preserve">CMP-02 API Layer, CMP-03</w:t>
            </w:r>
          </w:p>
        </w:tc>
        <w:tc>
          <w:tcPr>
            <w:tcW w:type="dxa" w:w="1628"/>
          </w:tcPr>
          <w:p>
            <w:pPr>
              <w:pStyle w:val="Compact"/>
              <w:spacing w:after="20" w:before="20"/>
              <w:jc w:val="left"/>
            </w:pPr>
            <w:r>
              <w:rPr>
                <w:sz w:val="16"/>
              </w:rPr>
              <w:t xml:space="preserve">TC-008, TC-009</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FR-05</w:t>
            </w:r>
          </w:p>
        </w:tc>
        <w:tc>
          <w:tcPr>
            <w:tcW w:type="dxa" w:w="1785"/>
          </w:tcPr>
          <w:p>
            <w:pPr>
              <w:pStyle w:val="Compact"/>
              <w:spacing w:after="20" w:before="20"/>
              <w:jc w:val="left"/>
            </w:pPr>
            <w:r>
              <w:rPr>
                <w:sz w:val="16"/>
              </w:rPr>
              <w:t xml:space="preserve">Asset CRUD</w:t>
            </w:r>
          </w:p>
        </w:tc>
        <w:tc>
          <w:tcPr>
            <w:tcW w:type="dxa" w:w="995"/>
          </w:tcPr>
          <w:p>
            <w:pPr>
              <w:pStyle w:val="Compact"/>
              <w:spacing w:after="20" w:before="20"/>
              <w:jc w:val="left"/>
            </w:pPr>
            <w:r>
              <w:rPr>
                <w:sz w:val="16"/>
              </w:rPr>
              <w:t xml:space="preserve">4.2 / SAD 4.3.2</w:t>
            </w:r>
          </w:p>
        </w:tc>
        <w:tc>
          <w:tcPr>
            <w:tcW w:type="dxa" w:w="1654"/>
          </w:tcPr>
          <w:p>
            <w:pPr>
              <w:pStyle w:val="Compact"/>
              <w:spacing w:after="20" w:before="20"/>
              <w:jc w:val="left"/>
            </w:pPr>
            <w:r>
              <w:rPr>
                <w:sz w:val="16"/>
              </w:rPr>
              <w:t xml:space="preserve">CMP-04 Assets</w:t>
            </w:r>
          </w:p>
        </w:tc>
        <w:tc>
          <w:tcPr>
            <w:tcW w:type="dxa" w:w="1628"/>
          </w:tcPr>
          <w:p>
            <w:pPr>
              <w:pStyle w:val="Compact"/>
              <w:spacing w:after="20" w:before="20"/>
              <w:jc w:val="left"/>
            </w:pPr>
            <w:r>
              <w:rPr>
                <w:sz w:val="16"/>
              </w:rPr>
              <w:t xml:space="preserve">TC-010–TC-012, TC-014</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FR-06</w:t>
            </w:r>
          </w:p>
        </w:tc>
        <w:tc>
          <w:tcPr>
            <w:tcW w:type="dxa" w:w="1785"/>
          </w:tcPr>
          <w:p>
            <w:pPr>
              <w:pStyle w:val="Compact"/>
              <w:spacing w:after="20" w:before="20"/>
              <w:jc w:val="left"/>
            </w:pPr>
            <w:r>
              <w:rPr>
                <w:sz w:val="16"/>
              </w:rPr>
              <w:t xml:space="preserve">Valuation history</w:t>
            </w:r>
          </w:p>
        </w:tc>
        <w:tc>
          <w:tcPr>
            <w:tcW w:type="dxa" w:w="995"/>
          </w:tcPr>
          <w:p>
            <w:pPr>
              <w:pStyle w:val="Compact"/>
              <w:spacing w:after="20" w:before="20"/>
              <w:jc w:val="left"/>
            </w:pPr>
            <w:r>
              <w:rPr>
                <w:sz w:val="16"/>
              </w:rPr>
              <w:t xml:space="preserve">4.2 / SAD 3.4</w:t>
            </w:r>
          </w:p>
        </w:tc>
        <w:tc>
          <w:tcPr>
            <w:tcW w:type="dxa" w:w="1654"/>
          </w:tcPr>
          <w:p>
            <w:pPr>
              <w:pStyle w:val="Compact"/>
              <w:spacing w:after="20" w:before="20"/>
              <w:jc w:val="left"/>
            </w:pPr>
            <w:r>
              <w:rPr>
                <w:sz w:val="16"/>
              </w:rPr>
              <w:t xml:space="preserve">CMP-04 Assets</w:t>
            </w:r>
          </w:p>
        </w:tc>
        <w:tc>
          <w:tcPr>
            <w:tcW w:type="dxa" w:w="1628"/>
          </w:tcPr>
          <w:p>
            <w:pPr>
              <w:pStyle w:val="Compact"/>
              <w:spacing w:after="20" w:before="20"/>
              <w:jc w:val="left"/>
            </w:pPr>
            <w:r>
              <w:rPr>
                <w:sz w:val="16"/>
              </w:rPr>
              <w:t xml:space="preserve">TC-013</w:t>
            </w:r>
          </w:p>
        </w:tc>
        <w:tc>
          <w:tcPr>
            <w:tcW w:type="dxa" w:w="889"/>
          </w:tcPr>
          <w:p>
            <w:pPr>
              <w:pStyle w:val="Compact"/>
              <w:spacing w:after="20" w:before="20"/>
              <w:jc w:val="left"/>
            </w:pPr>
            <w:r>
              <w:rPr>
                <w:sz w:val="16"/>
              </w:rPr>
              <w:t xml:space="preserve">P</w:t>
            </w:r>
          </w:p>
        </w:tc>
        <w:tc>
          <w:tcPr>
            <w:tcW w:type="dxa" w:w="1738"/>
          </w:tcPr>
          <w:p>
            <w:pPr>
              <w:pStyle w:val="Compact"/>
              <w:spacing w:after="20" w:before="20"/>
              <w:jc w:val="left"/>
            </w:pPr>
            <w:r>
              <w:rPr>
                <w:sz w:val="16"/>
              </w:rPr>
              <w:t xml:space="preserve">PostgreSQL</w:t>
            </w:r>
            <w:r>
              <w:rPr>
                <w:sz w:val="16"/>
              </w:rPr>
              <w:t xml:space="preserve"> </w:t>
            </w:r>
            <w:r>
              <w:rPr>
                <w:rStyle w:val="VerbatimChar"/>
                <w:sz w:val="16"/>
              </w:rPr>
              <w:t xml:space="preserve">asset_valuations</w:t>
            </w:r>
          </w:p>
        </w:tc>
      </w:tr>
      <w:tr>
        <w:tc>
          <w:tcPr>
            <w:tcW w:type="dxa" w:w="816"/>
          </w:tcPr>
          <w:p>
            <w:pPr>
              <w:pStyle w:val="Compact"/>
              <w:spacing w:after="20" w:before="20"/>
              <w:jc w:val="left"/>
            </w:pPr>
            <w:r>
              <w:rPr>
                <w:sz w:val="16"/>
              </w:rPr>
              <w:t xml:space="preserve">FR-07</w:t>
            </w:r>
          </w:p>
        </w:tc>
        <w:tc>
          <w:tcPr>
            <w:tcW w:type="dxa" w:w="1785"/>
          </w:tcPr>
          <w:p>
            <w:pPr>
              <w:pStyle w:val="Compact"/>
              <w:spacing w:after="20" w:before="20"/>
              <w:jc w:val="left"/>
            </w:pPr>
            <w:r>
              <w:rPr>
                <w:sz w:val="16"/>
              </w:rPr>
              <w:t xml:space="preserve">Loan + EMI schedule</w:t>
            </w:r>
          </w:p>
        </w:tc>
        <w:tc>
          <w:tcPr>
            <w:tcW w:type="dxa" w:w="995"/>
          </w:tcPr>
          <w:p>
            <w:pPr>
              <w:pStyle w:val="Compact"/>
              <w:spacing w:after="20" w:before="20"/>
              <w:jc w:val="left"/>
            </w:pPr>
            <w:r>
              <w:rPr>
                <w:sz w:val="16"/>
              </w:rPr>
              <w:t xml:space="preserve">4.3 / SAD SEQ-02, 4.3.3</w:t>
            </w:r>
          </w:p>
        </w:tc>
        <w:tc>
          <w:tcPr>
            <w:tcW w:type="dxa" w:w="1654"/>
          </w:tcPr>
          <w:p>
            <w:pPr>
              <w:pStyle w:val="Compact"/>
              <w:spacing w:after="20" w:before="20"/>
              <w:jc w:val="left"/>
            </w:pPr>
            <w:r>
              <w:rPr>
                <w:sz w:val="16"/>
              </w:rPr>
              <w:t xml:space="preserve">CMP-05 Loans &amp; EMI</w:t>
            </w:r>
          </w:p>
        </w:tc>
        <w:tc>
          <w:tcPr>
            <w:tcW w:type="dxa" w:w="1628"/>
          </w:tcPr>
          <w:p>
            <w:pPr>
              <w:pStyle w:val="Compact"/>
              <w:spacing w:after="20" w:before="20"/>
              <w:jc w:val="left"/>
            </w:pPr>
            <w:r>
              <w:rPr>
                <w:sz w:val="16"/>
              </w:rPr>
              <w:t xml:space="preserve">TC-015, TC-016</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FR-08</w:t>
            </w:r>
          </w:p>
        </w:tc>
        <w:tc>
          <w:tcPr>
            <w:tcW w:type="dxa" w:w="1785"/>
          </w:tcPr>
          <w:p>
            <w:pPr>
              <w:pStyle w:val="Compact"/>
              <w:spacing w:after="20" w:before="20"/>
              <w:jc w:val="left"/>
            </w:pPr>
            <w:r>
              <w:rPr>
                <w:sz w:val="16"/>
              </w:rPr>
              <w:t xml:space="preserve">Loan list, schedule, edit</w:t>
            </w:r>
          </w:p>
        </w:tc>
        <w:tc>
          <w:tcPr>
            <w:tcW w:type="dxa" w:w="995"/>
          </w:tcPr>
          <w:p>
            <w:pPr>
              <w:pStyle w:val="Compact"/>
              <w:spacing w:after="20" w:before="20"/>
              <w:jc w:val="left"/>
            </w:pPr>
            <w:r>
              <w:rPr>
                <w:sz w:val="16"/>
              </w:rPr>
              <w:t xml:space="preserve">4.3 / SAD 4.3.3</w:t>
            </w:r>
          </w:p>
        </w:tc>
        <w:tc>
          <w:tcPr>
            <w:tcW w:type="dxa" w:w="1654"/>
          </w:tcPr>
          <w:p>
            <w:pPr>
              <w:pStyle w:val="Compact"/>
              <w:spacing w:after="20" w:before="20"/>
              <w:jc w:val="left"/>
            </w:pPr>
            <w:r>
              <w:rPr>
                <w:sz w:val="16"/>
              </w:rPr>
              <w:t xml:space="preserve">CMP-05 Loans &amp; EMI</w:t>
            </w:r>
          </w:p>
        </w:tc>
        <w:tc>
          <w:tcPr>
            <w:tcW w:type="dxa" w:w="1628"/>
          </w:tcPr>
          <w:p>
            <w:pPr>
              <w:pStyle w:val="Compact"/>
              <w:spacing w:after="20" w:before="20"/>
              <w:jc w:val="left"/>
            </w:pPr>
            <w:r>
              <w:rPr>
                <w:sz w:val="16"/>
              </w:rPr>
              <w:t xml:space="preserve">TC-017, TC-018</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FR-09</w:t>
            </w:r>
          </w:p>
        </w:tc>
        <w:tc>
          <w:tcPr>
            <w:tcW w:type="dxa" w:w="1785"/>
          </w:tcPr>
          <w:p>
            <w:pPr>
              <w:pStyle w:val="Compact"/>
              <w:spacing w:after="20" w:before="20"/>
              <w:jc w:val="left"/>
            </w:pPr>
            <w:r>
              <w:rPr>
                <w:sz w:val="16"/>
              </w:rPr>
              <w:t xml:space="preserve">Mark EMI paid</w:t>
            </w:r>
          </w:p>
        </w:tc>
        <w:tc>
          <w:tcPr>
            <w:tcW w:type="dxa" w:w="995"/>
          </w:tcPr>
          <w:p>
            <w:pPr>
              <w:pStyle w:val="Compact"/>
              <w:spacing w:after="20" w:before="20"/>
              <w:jc w:val="left"/>
            </w:pPr>
            <w:r>
              <w:rPr>
                <w:sz w:val="16"/>
              </w:rPr>
              <w:t xml:space="preserve">4.3 / SAD SEQ-03, 4.3.3</w:t>
            </w:r>
          </w:p>
        </w:tc>
        <w:tc>
          <w:tcPr>
            <w:tcW w:type="dxa" w:w="1654"/>
          </w:tcPr>
          <w:p>
            <w:pPr>
              <w:pStyle w:val="Compact"/>
              <w:spacing w:after="20" w:before="20"/>
              <w:jc w:val="left"/>
            </w:pPr>
            <w:r>
              <w:rPr>
                <w:sz w:val="16"/>
              </w:rPr>
              <w:t xml:space="preserve">CMP-05 Loans &amp; EMI</w:t>
            </w:r>
          </w:p>
        </w:tc>
        <w:tc>
          <w:tcPr>
            <w:tcW w:type="dxa" w:w="1628"/>
          </w:tcPr>
          <w:p>
            <w:pPr>
              <w:pStyle w:val="Compact"/>
              <w:spacing w:after="20" w:before="20"/>
              <w:jc w:val="left"/>
            </w:pPr>
            <w:r>
              <w:rPr>
                <w:sz w:val="16"/>
              </w:rPr>
              <w:t xml:space="preserve">TC-019–TC-021</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FR-10</w:t>
            </w:r>
          </w:p>
        </w:tc>
        <w:tc>
          <w:tcPr>
            <w:tcW w:type="dxa" w:w="1785"/>
          </w:tcPr>
          <w:p>
            <w:pPr>
              <w:pStyle w:val="Compact"/>
              <w:spacing w:after="20" w:before="20"/>
              <w:jc w:val="left"/>
            </w:pPr>
            <w:r>
              <w:rPr>
                <w:sz w:val="16"/>
              </w:rPr>
              <w:t xml:space="preserve">Dues &amp; overdue</w:t>
            </w:r>
          </w:p>
        </w:tc>
        <w:tc>
          <w:tcPr>
            <w:tcW w:type="dxa" w:w="995"/>
          </w:tcPr>
          <w:p>
            <w:pPr>
              <w:pStyle w:val="Compact"/>
              <w:spacing w:after="20" w:before="20"/>
              <w:jc w:val="left"/>
            </w:pPr>
            <w:r>
              <w:rPr>
                <w:sz w:val="16"/>
              </w:rPr>
              <w:t xml:space="preserve">4.3 / SAD 3.4</w:t>
            </w:r>
          </w:p>
        </w:tc>
        <w:tc>
          <w:tcPr>
            <w:tcW w:type="dxa" w:w="1654"/>
          </w:tcPr>
          <w:p>
            <w:pPr>
              <w:pStyle w:val="Compact"/>
              <w:spacing w:after="20" w:before="20"/>
              <w:jc w:val="left"/>
            </w:pPr>
            <w:r>
              <w:rPr>
                <w:sz w:val="16"/>
              </w:rPr>
              <w:t xml:space="preserve">CMP-05, CMP-10</w:t>
            </w:r>
          </w:p>
        </w:tc>
        <w:tc>
          <w:tcPr>
            <w:tcW w:type="dxa" w:w="1628"/>
          </w:tcPr>
          <w:p>
            <w:pPr>
              <w:pStyle w:val="Compact"/>
              <w:spacing w:after="20" w:before="20"/>
              <w:jc w:val="left"/>
            </w:pPr>
            <w:r>
              <w:rPr>
                <w:sz w:val="16"/>
              </w:rPr>
              <w:t xml:space="preserve">TC-022</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FR-11</w:t>
            </w:r>
          </w:p>
        </w:tc>
        <w:tc>
          <w:tcPr>
            <w:tcW w:type="dxa" w:w="1785"/>
          </w:tcPr>
          <w:p>
            <w:pPr>
              <w:pStyle w:val="Compact"/>
              <w:spacing w:after="20" w:before="20"/>
              <w:jc w:val="left"/>
            </w:pPr>
            <w:r>
              <w:rPr>
                <w:sz w:val="16"/>
              </w:rPr>
              <w:t xml:space="preserve">Prepayment simulate/apply</w:t>
            </w:r>
          </w:p>
        </w:tc>
        <w:tc>
          <w:tcPr>
            <w:tcW w:type="dxa" w:w="995"/>
          </w:tcPr>
          <w:p>
            <w:pPr>
              <w:pStyle w:val="Compact"/>
              <w:spacing w:after="20" w:before="20"/>
              <w:jc w:val="left"/>
            </w:pPr>
            <w:r>
              <w:rPr>
                <w:sz w:val="16"/>
              </w:rPr>
              <w:t xml:space="preserve">4.3 / SAD 4.3.3</w:t>
            </w:r>
          </w:p>
        </w:tc>
        <w:tc>
          <w:tcPr>
            <w:tcW w:type="dxa" w:w="1654"/>
          </w:tcPr>
          <w:p>
            <w:pPr>
              <w:pStyle w:val="Compact"/>
              <w:spacing w:after="20" w:before="20"/>
              <w:jc w:val="left"/>
            </w:pPr>
            <w:r>
              <w:rPr>
                <w:sz w:val="16"/>
              </w:rPr>
              <w:t xml:space="preserve">CMP-11 Insights</w:t>
            </w:r>
          </w:p>
        </w:tc>
        <w:tc>
          <w:tcPr>
            <w:tcW w:type="dxa" w:w="1628"/>
          </w:tcPr>
          <w:p>
            <w:pPr>
              <w:pStyle w:val="Compact"/>
              <w:spacing w:after="20" w:before="20"/>
              <w:jc w:val="left"/>
            </w:pPr>
            <w:r>
              <w:rPr>
                <w:sz w:val="16"/>
              </w:rPr>
              <w:t xml:space="preserve">TC-023–TC-025</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FR-12</w:t>
            </w:r>
          </w:p>
        </w:tc>
        <w:tc>
          <w:tcPr>
            <w:tcW w:type="dxa" w:w="1785"/>
          </w:tcPr>
          <w:p>
            <w:pPr>
              <w:pStyle w:val="Compact"/>
              <w:spacing w:after="20" w:before="20"/>
              <w:jc w:val="left"/>
            </w:pPr>
            <w:r>
              <w:rPr>
                <w:sz w:val="16"/>
              </w:rPr>
              <w:t xml:space="preserve">Record / filter transactions</w:t>
            </w:r>
          </w:p>
        </w:tc>
        <w:tc>
          <w:tcPr>
            <w:tcW w:type="dxa" w:w="995"/>
          </w:tcPr>
          <w:p>
            <w:pPr>
              <w:pStyle w:val="Compact"/>
              <w:spacing w:after="20" w:before="20"/>
              <w:jc w:val="left"/>
            </w:pPr>
            <w:r>
              <w:rPr>
                <w:sz w:val="16"/>
              </w:rPr>
              <w:t xml:space="preserve">4.4 / SAD 4.3.5</w:t>
            </w:r>
          </w:p>
        </w:tc>
        <w:tc>
          <w:tcPr>
            <w:tcW w:type="dxa" w:w="1654"/>
          </w:tcPr>
          <w:p>
            <w:pPr>
              <w:pStyle w:val="Compact"/>
              <w:spacing w:after="20" w:before="20"/>
              <w:jc w:val="left"/>
            </w:pPr>
            <w:r>
              <w:rPr>
                <w:sz w:val="16"/>
              </w:rPr>
              <w:t xml:space="preserve">CMP-06 Ledger</w:t>
            </w:r>
          </w:p>
        </w:tc>
        <w:tc>
          <w:tcPr>
            <w:tcW w:type="dxa" w:w="1628"/>
          </w:tcPr>
          <w:p>
            <w:pPr>
              <w:pStyle w:val="Compact"/>
              <w:spacing w:after="20" w:before="20"/>
              <w:jc w:val="left"/>
            </w:pPr>
            <w:r>
              <w:rPr>
                <w:sz w:val="16"/>
              </w:rPr>
              <w:t xml:space="preserve">TC-026, TC-027</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FR-13</w:t>
            </w:r>
          </w:p>
        </w:tc>
        <w:tc>
          <w:tcPr>
            <w:tcW w:type="dxa" w:w="1785"/>
          </w:tcPr>
          <w:p>
            <w:pPr>
              <w:pStyle w:val="Compact"/>
              <w:spacing w:after="20" w:before="20"/>
              <w:jc w:val="left"/>
            </w:pPr>
            <w:r>
              <w:rPr>
                <w:sz w:val="16"/>
              </w:rPr>
              <w:t xml:space="preserve">Full-text search</w:t>
            </w:r>
          </w:p>
        </w:tc>
        <w:tc>
          <w:tcPr>
            <w:tcW w:type="dxa" w:w="995"/>
          </w:tcPr>
          <w:p>
            <w:pPr>
              <w:pStyle w:val="Compact"/>
              <w:spacing w:after="20" w:before="20"/>
              <w:jc w:val="left"/>
            </w:pPr>
            <w:r>
              <w:rPr>
                <w:sz w:val="16"/>
              </w:rPr>
              <w:t xml:space="preserve">4.4 / SAD 3.6</w:t>
            </w:r>
          </w:p>
        </w:tc>
        <w:tc>
          <w:tcPr>
            <w:tcW w:type="dxa" w:w="1654"/>
          </w:tcPr>
          <w:p>
            <w:pPr>
              <w:pStyle w:val="Compact"/>
              <w:spacing w:after="20" w:before="20"/>
              <w:jc w:val="left"/>
            </w:pPr>
            <w:r>
              <w:rPr>
                <w:sz w:val="16"/>
              </w:rPr>
              <w:t xml:space="preserve">CMP-06 Ledger</w:t>
            </w:r>
          </w:p>
        </w:tc>
        <w:tc>
          <w:tcPr>
            <w:tcW w:type="dxa" w:w="1628"/>
          </w:tcPr>
          <w:p>
            <w:pPr>
              <w:pStyle w:val="Compact"/>
              <w:spacing w:after="20" w:before="20"/>
              <w:jc w:val="left"/>
            </w:pPr>
            <w:r>
              <w:rPr>
                <w:sz w:val="16"/>
              </w:rPr>
              <w:t xml:space="preserve">TC-028</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FR-14</w:t>
            </w:r>
          </w:p>
        </w:tc>
        <w:tc>
          <w:tcPr>
            <w:tcW w:type="dxa" w:w="1785"/>
          </w:tcPr>
          <w:p>
            <w:pPr>
              <w:pStyle w:val="Compact"/>
              <w:spacing w:after="20" w:before="20"/>
              <w:jc w:val="left"/>
            </w:pPr>
            <w:r>
              <w:rPr>
                <w:sz w:val="16"/>
              </w:rPr>
              <w:t xml:space="preserve">CSV import</w:t>
            </w:r>
          </w:p>
        </w:tc>
        <w:tc>
          <w:tcPr>
            <w:tcW w:type="dxa" w:w="995"/>
          </w:tcPr>
          <w:p>
            <w:pPr>
              <w:pStyle w:val="Compact"/>
              <w:spacing w:after="20" w:before="20"/>
              <w:jc w:val="left"/>
            </w:pPr>
            <w:r>
              <w:rPr>
                <w:sz w:val="16"/>
              </w:rPr>
              <w:t xml:space="preserve">4.5 / SAD SEQ-04, 4.3.4</w:t>
            </w:r>
          </w:p>
        </w:tc>
        <w:tc>
          <w:tcPr>
            <w:tcW w:type="dxa" w:w="1654"/>
          </w:tcPr>
          <w:p>
            <w:pPr>
              <w:pStyle w:val="Compact"/>
              <w:spacing w:after="20" w:before="20"/>
              <w:jc w:val="left"/>
            </w:pPr>
            <w:r>
              <w:rPr>
                <w:sz w:val="16"/>
              </w:rPr>
              <w:t xml:space="preserve">CMP-07 Import</w:t>
            </w:r>
          </w:p>
        </w:tc>
        <w:tc>
          <w:tcPr>
            <w:tcW w:type="dxa" w:w="1628"/>
          </w:tcPr>
          <w:p>
            <w:pPr>
              <w:pStyle w:val="Compact"/>
              <w:spacing w:after="20" w:before="20"/>
              <w:jc w:val="left"/>
            </w:pPr>
            <w:r>
              <w:rPr>
                <w:sz w:val="16"/>
              </w:rPr>
              <w:t xml:space="preserve">TC-029–TC-032</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FR-15</w:t>
            </w:r>
          </w:p>
        </w:tc>
        <w:tc>
          <w:tcPr>
            <w:tcW w:type="dxa" w:w="1785"/>
          </w:tcPr>
          <w:p>
            <w:pPr>
              <w:pStyle w:val="Compact"/>
              <w:spacing w:after="20" w:before="20"/>
              <w:jc w:val="left"/>
            </w:pPr>
            <w:r>
              <w:rPr>
                <w:sz w:val="16"/>
              </w:rPr>
              <w:t xml:space="preserve">Categorisation rules</w:t>
            </w:r>
          </w:p>
        </w:tc>
        <w:tc>
          <w:tcPr>
            <w:tcW w:type="dxa" w:w="995"/>
          </w:tcPr>
          <w:p>
            <w:pPr>
              <w:pStyle w:val="Compact"/>
              <w:spacing w:after="20" w:before="20"/>
              <w:jc w:val="left"/>
            </w:pPr>
            <w:r>
              <w:rPr>
                <w:sz w:val="16"/>
              </w:rPr>
              <w:t xml:space="preserve">4.5 / SAD 4.3.4</w:t>
            </w:r>
          </w:p>
        </w:tc>
        <w:tc>
          <w:tcPr>
            <w:tcW w:type="dxa" w:w="1654"/>
          </w:tcPr>
          <w:p>
            <w:pPr>
              <w:pStyle w:val="Compact"/>
              <w:spacing w:after="20" w:before="20"/>
              <w:jc w:val="left"/>
            </w:pPr>
            <w:r>
              <w:rPr>
                <w:sz w:val="16"/>
              </w:rPr>
              <w:t xml:space="preserve">CMP-07 Import</w:t>
            </w:r>
          </w:p>
        </w:tc>
        <w:tc>
          <w:tcPr>
            <w:tcW w:type="dxa" w:w="1628"/>
          </w:tcPr>
          <w:p>
            <w:pPr>
              <w:pStyle w:val="Compact"/>
              <w:spacing w:after="20" w:before="20"/>
              <w:jc w:val="left"/>
            </w:pPr>
            <w:r>
              <w:rPr>
                <w:sz w:val="16"/>
              </w:rPr>
              <w:t xml:space="preserve">TC-029, TC-033</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FR-16</w:t>
            </w:r>
          </w:p>
        </w:tc>
        <w:tc>
          <w:tcPr>
            <w:tcW w:type="dxa" w:w="1785"/>
          </w:tcPr>
          <w:p>
            <w:pPr>
              <w:pStyle w:val="Compact"/>
              <w:spacing w:after="20" w:before="20"/>
              <w:jc w:val="left"/>
            </w:pPr>
            <w:r>
              <w:rPr>
                <w:sz w:val="16"/>
              </w:rPr>
              <w:t xml:space="preserve">Receipt OCR</w:t>
            </w:r>
          </w:p>
        </w:tc>
        <w:tc>
          <w:tcPr>
            <w:tcW w:type="dxa" w:w="995"/>
          </w:tcPr>
          <w:p>
            <w:pPr>
              <w:pStyle w:val="Compact"/>
              <w:spacing w:after="20" w:before="20"/>
              <w:jc w:val="left"/>
            </w:pPr>
            <w:r>
              <w:rPr>
                <w:sz w:val="16"/>
              </w:rPr>
              <w:t xml:space="preserve">4.5 / SAD 4.3.4</w:t>
            </w:r>
          </w:p>
        </w:tc>
        <w:tc>
          <w:tcPr>
            <w:tcW w:type="dxa" w:w="1654"/>
          </w:tcPr>
          <w:p>
            <w:pPr>
              <w:pStyle w:val="Compact"/>
              <w:spacing w:after="20" w:before="20"/>
              <w:jc w:val="left"/>
            </w:pPr>
            <w:r>
              <w:rPr>
                <w:sz w:val="16"/>
              </w:rPr>
              <w:t xml:space="preserve">CMP-08 Receipt OCR</w:t>
            </w:r>
          </w:p>
        </w:tc>
        <w:tc>
          <w:tcPr>
            <w:tcW w:type="dxa" w:w="1628"/>
          </w:tcPr>
          <w:p>
            <w:pPr>
              <w:pStyle w:val="Compact"/>
              <w:spacing w:after="20" w:before="20"/>
              <w:jc w:val="left"/>
            </w:pPr>
            <w:r>
              <w:rPr>
                <w:sz w:val="16"/>
              </w:rPr>
              <w:t xml:space="preserve">TC-034, TC-035</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FR-17</w:t>
            </w:r>
          </w:p>
        </w:tc>
        <w:tc>
          <w:tcPr>
            <w:tcW w:type="dxa" w:w="1785"/>
          </w:tcPr>
          <w:p>
            <w:pPr>
              <w:pStyle w:val="Compact"/>
              <w:spacing w:after="20" w:before="20"/>
              <w:jc w:val="left"/>
            </w:pPr>
            <w:r>
              <w:rPr>
                <w:sz w:val="16"/>
              </w:rPr>
              <w:t xml:space="preserve">Document vault</w:t>
            </w:r>
          </w:p>
        </w:tc>
        <w:tc>
          <w:tcPr>
            <w:tcW w:type="dxa" w:w="995"/>
          </w:tcPr>
          <w:p>
            <w:pPr>
              <w:pStyle w:val="Compact"/>
              <w:spacing w:after="20" w:before="20"/>
              <w:jc w:val="left"/>
            </w:pPr>
            <w:r>
              <w:rPr>
                <w:sz w:val="16"/>
              </w:rPr>
              <w:t xml:space="preserve">4.6 / SAD 4.3.6</w:t>
            </w:r>
          </w:p>
        </w:tc>
        <w:tc>
          <w:tcPr>
            <w:tcW w:type="dxa" w:w="1654"/>
          </w:tcPr>
          <w:p>
            <w:pPr>
              <w:pStyle w:val="Compact"/>
              <w:spacing w:after="20" w:before="20"/>
              <w:jc w:val="left"/>
            </w:pPr>
            <w:r>
              <w:rPr>
                <w:sz w:val="16"/>
              </w:rPr>
              <w:t xml:space="preserve">CMP-09 Vault</w:t>
            </w:r>
          </w:p>
        </w:tc>
        <w:tc>
          <w:tcPr>
            <w:tcW w:type="dxa" w:w="1628"/>
          </w:tcPr>
          <w:p>
            <w:pPr>
              <w:pStyle w:val="Compact"/>
              <w:spacing w:after="20" w:before="20"/>
              <w:jc w:val="left"/>
            </w:pPr>
            <w:r>
              <w:rPr>
                <w:sz w:val="16"/>
              </w:rPr>
              <w:t xml:space="preserve">TC-036–TC-038</w:t>
            </w:r>
          </w:p>
        </w:tc>
        <w:tc>
          <w:tcPr>
            <w:tcW w:type="dxa" w:w="889"/>
          </w:tcPr>
          <w:p>
            <w:pPr>
              <w:pStyle w:val="Compact"/>
              <w:spacing w:after="20" w:before="20"/>
              <w:jc w:val="left"/>
            </w:pPr>
            <w:r>
              <w:rPr>
                <w:sz w:val="16"/>
              </w:rPr>
              <w:t xml:space="preserve">P</w:t>
            </w:r>
          </w:p>
        </w:tc>
        <w:tc>
          <w:tcPr>
            <w:tcW w:type="dxa" w:w="1738"/>
          </w:tcPr>
          <w:p>
            <w:pPr>
              <w:pStyle w:val="Compact"/>
              <w:spacing w:after="20" w:before="20"/>
              <w:jc w:val="left"/>
            </w:pPr>
            <w:r>
              <w:rPr>
                <w:sz w:val="16"/>
              </w:rPr>
              <w:t xml:space="preserve">Private file storage</w:t>
            </w:r>
          </w:p>
        </w:tc>
      </w:tr>
      <w:tr>
        <w:tc>
          <w:tcPr>
            <w:tcW w:type="dxa" w:w="816"/>
          </w:tcPr>
          <w:p>
            <w:pPr>
              <w:pStyle w:val="Compact"/>
              <w:spacing w:after="20" w:before="20"/>
              <w:jc w:val="left"/>
            </w:pPr>
            <w:r>
              <w:rPr>
                <w:sz w:val="16"/>
              </w:rPr>
              <w:t xml:space="preserve">FR-18</w:t>
            </w:r>
          </w:p>
        </w:tc>
        <w:tc>
          <w:tcPr>
            <w:tcW w:type="dxa" w:w="1785"/>
          </w:tcPr>
          <w:p>
            <w:pPr>
              <w:pStyle w:val="Compact"/>
              <w:spacing w:after="20" w:before="20"/>
              <w:jc w:val="left"/>
            </w:pPr>
            <w:r>
              <w:rPr>
                <w:sz w:val="16"/>
              </w:rPr>
              <w:t xml:space="preserve">Dashboard</w:t>
            </w:r>
          </w:p>
        </w:tc>
        <w:tc>
          <w:tcPr>
            <w:tcW w:type="dxa" w:w="995"/>
          </w:tcPr>
          <w:p>
            <w:pPr>
              <w:pStyle w:val="Compact"/>
              <w:spacing w:after="20" w:before="20"/>
              <w:jc w:val="left"/>
            </w:pPr>
            <w:r>
              <w:rPr>
                <w:sz w:val="16"/>
              </w:rPr>
              <w:t xml:space="preserve">4.7 / SAD 4.3.6</w:t>
            </w:r>
          </w:p>
        </w:tc>
        <w:tc>
          <w:tcPr>
            <w:tcW w:type="dxa" w:w="1654"/>
          </w:tcPr>
          <w:p>
            <w:pPr>
              <w:pStyle w:val="Compact"/>
              <w:spacing w:after="20" w:before="20"/>
              <w:jc w:val="left"/>
            </w:pPr>
            <w:r>
              <w:rPr>
                <w:sz w:val="16"/>
              </w:rPr>
              <w:t xml:space="preserve">CMP-10 Dashboard</w:t>
            </w:r>
          </w:p>
        </w:tc>
        <w:tc>
          <w:tcPr>
            <w:tcW w:type="dxa" w:w="1628"/>
          </w:tcPr>
          <w:p>
            <w:pPr>
              <w:pStyle w:val="Compact"/>
              <w:spacing w:after="20" w:before="20"/>
              <w:jc w:val="left"/>
            </w:pPr>
            <w:r>
              <w:rPr>
                <w:sz w:val="16"/>
              </w:rPr>
              <w:t xml:space="preserve">TC-039, TC-010</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FR-19</w:t>
            </w:r>
          </w:p>
        </w:tc>
        <w:tc>
          <w:tcPr>
            <w:tcW w:type="dxa" w:w="1785"/>
          </w:tcPr>
          <w:p>
            <w:pPr>
              <w:pStyle w:val="Compact"/>
              <w:spacing w:after="20" w:before="20"/>
              <w:jc w:val="left"/>
            </w:pPr>
            <w:r>
              <w:rPr>
                <w:sz w:val="16"/>
              </w:rPr>
              <w:t xml:space="preserve">Derived credit score</w:t>
            </w:r>
          </w:p>
        </w:tc>
        <w:tc>
          <w:tcPr>
            <w:tcW w:type="dxa" w:w="995"/>
          </w:tcPr>
          <w:p>
            <w:pPr>
              <w:pStyle w:val="Compact"/>
              <w:spacing w:after="20" w:before="20"/>
              <w:jc w:val="left"/>
            </w:pPr>
            <w:r>
              <w:rPr>
                <w:sz w:val="16"/>
              </w:rPr>
              <w:t xml:space="preserve">4.8 / SAD 3.4</w:t>
            </w:r>
          </w:p>
        </w:tc>
        <w:tc>
          <w:tcPr>
            <w:tcW w:type="dxa" w:w="1654"/>
          </w:tcPr>
          <w:p>
            <w:pPr>
              <w:pStyle w:val="Compact"/>
              <w:spacing w:after="20" w:before="20"/>
              <w:jc w:val="left"/>
            </w:pPr>
            <w:r>
              <w:rPr>
                <w:sz w:val="16"/>
              </w:rPr>
              <w:t xml:space="preserve">CMP-11 Insights</w:t>
            </w:r>
          </w:p>
        </w:tc>
        <w:tc>
          <w:tcPr>
            <w:tcW w:type="dxa" w:w="1628"/>
          </w:tcPr>
          <w:p>
            <w:pPr>
              <w:pStyle w:val="Compact"/>
              <w:spacing w:after="20" w:before="20"/>
              <w:jc w:val="left"/>
            </w:pPr>
            <w:r>
              <w:rPr>
                <w:sz w:val="16"/>
              </w:rPr>
              <w:t xml:space="preserve">TC-040</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FR-20</w:t>
            </w:r>
          </w:p>
        </w:tc>
        <w:tc>
          <w:tcPr>
            <w:tcW w:type="dxa" w:w="1785"/>
          </w:tcPr>
          <w:p>
            <w:pPr>
              <w:pStyle w:val="Compact"/>
              <w:spacing w:after="20" w:before="20"/>
              <w:jc w:val="left"/>
            </w:pPr>
            <w:r>
              <w:rPr>
                <w:sz w:val="16"/>
              </w:rPr>
              <w:t xml:space="preserve">Loan recommendations</w:t>
            </w:r>
          </w:p>
        </w:tc>
        <w:tc>
          <w:tcPr>
            <w:tcW w:type="dxa" w:w="995"/>
          </w:tcPr>
          <w:p>
            <w:pPr>
              <w:pStyle w:val="Compact"/>
              <w:spacing w:after="20" w:before="20"/>
              <w:jc w:val="left"/>
            </w:pPr>
            <w:r>
              <w:rPr>
                <w:sz w:val="16"/>
              </w:rPr>
              <w:t xml:space="preserve">4.8 / SAD 3.4</w:t>
            </w:r>
          </w:p>
        </w:tc>
        <w:tc>
          <w:tcPr>
            <w:tcW w:type="dxa" w:w="1654"/>
          </w:tcPr>
          <w:p>
            <w:pPr>
              <w:pStyle w:val="Compact"/>
              <w:spacing w:after="20" w:before="20"/>
              <w:jc w:val="left"/>
            </w:pPr>
            <w:r>
              <w:rPr>
                <w:sz w:val="16"/>
              </w:rPr>
              <w:t xml:space="preserve">CMP-11 Insights</w:t>
            </w:r>
          </w:p>
        </w:tc>
        <w:tc>
          <w:tcPr>
            <w:tcW w:type="dxa" w:w="1628"/>
          </w:tcPr>
          <w:p>
            <w:pPr>
              <w:pStyle w:val="Compact"/>
              <w:spacing w:after="20" w:before="20"/>
              <w:jc w:val="left"/>
            </w:pPr>
            <w:r>
              <w:rPr>
                <w:sz w:val="16"/>
              </w:rPr>
              <w:t xml:space="preserve">TC-041</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FR-21</w:t>
            </w:r>
          </w:p>
        </w:tc>
        <w:tc>
          <w:tcPr>
            <w:tcW w:type="dxa" w:w="1785"/>
          </w:tcPr>
          <w:p>
            <w:pPr>
              <w:pStyle w:val="Compact"/>
              <w:spacing w:after="20" w:before="20"/>
              <w:jc w:val="left"/>
            </w:pPr>
            <w:r>
              <w:rPr>
                <w:sz w:val="16"/>
              </w:rPr>
              <w:t xml:space="preserve">What-if projection</w:t>
            </w:r>
          </w:p>
        </w:tc>
        <w:tc>
          <w:tcPr>
            <w:tcW w:type="dxa" w:w="995"/>
          </w:tcPr>
          <w:p>
            <w:pPr>
              <w:pStyle w:val="Compact"/>
              <w:spacing w:after="20" w:before="20"/>
              <w:jc w:val="left"/>
            </w:pPr>
            <w:r>
              <w:rPr>
                <w:sz w:val="16"/>
              </w:rPr>
              <w:t xml:space="preserve">4.8 / SAD 3.4</w:t>
            </w:r>
          </w:p>
        </w:tc>
        <w:tc>
          <w:tcPr>
            <w:tcW w:type="dxa" w:w="1654"/>
          </w:tcPr>
          <w:p>
            <w:pPr>
              <w:pStyle w:val="Compact"/>
              <w:spacing w:after="20" w:before="20"/>
              <w:jc w:val="left"/>
            </w:pPr>
            <w:r>
              <w:rPr>
                <w:sz w:val="16"/>
              </w:rPr>
              <w:t xml:space="preserve">CMP-11 Insights</w:t>
            </w:r>
          </w:p>
        </w:tc>
        <w:tc>
          <w:tcPr>
            <w:tcW w:type="dxa" w:w="1628"/>
          </w:tcPr>
          <w:p>
            <w:pPr>
              <w:pStyle w:val="Compact"/>
              <w:spacing w:after="20" w:before="20"/>
              <w:jc w:val="left"/>
            </w:pPr>
            <w:r>
              <w:rPr>
                <w:sz w:val="16"/>
              </w:rPr>
              <w:t xml:space="preserve">TC-042</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FR-22</w:t>
            </w:r>
          </w:p>
        </w:tc>
        <w:tc>
          <w:tcPr>
            <w:tcW w:type="dxa" w:w="1785"/>
          </w:tcPr>
          <w:p>
            <w:pPr>
              <w:pStyle w:val="Compact"/>
              <w:spacing w:after="20" w:before="20"/>
              <w:jc w:val="left"/>
            </w:pPr>
            <w:r>
              <w:rPr>
                <w:sz w:val="16"/>
              </w:rPr>
              <w:t xml:space="preserve">FY report</w:t>
            </w:r>
          </w:p>
        </w:tc>
        <w:tc>
          <w:tcPr>
            <w:tcW w:type="dxa" w:w="995"/>
          </w:tcPr>
          <w:p>
            <w:pPr>
              <w:pStyle w:val="Compact"/>
              <w:spacing w:after="20" w:before="20"/>
              <w:jc w:val="left"/>
            </w:pPr>
            <w:r>
              <w:rPr>
                <w:sz w:val="16"/>
              </w:rPr>
              <w:t xml:space="preserve">4.9 / SAD 3.4</w:t>
            </w:r>
          </w:p>
        </w:tc>
        <w:tc>
          <w:tcPr>
            <w:tcW w:type="dxa" w:w="1654"/>
          </w:tcPr>
          <w:p>
            <w:pPr>
              <w:pStyle w:val="Compact"/>
              <w:spacing w:after="20" w:before="20"/>
              <w:jc w:val="left"/>
            </w:pPr>
            <w:r>
              <w:rPr>
                <w:sz w:val="16"/>
              </w:rPr>
              <w:t xml:space="preserve">CMP-12 Reporting</w:t>
            </w:r>
          </w:p>
        </w:tc>
        <w:tc>
          <w:tcPr>
            <w:tcW w:type="dxa" w:w="1628"/>
          </w:tcPr>
          <w:p>
            <w:pPr>
              <w:pStyle w:val="Compact"/>
              <w:spacing w:after="20" w:before="20"/>
              <w:jc w:val="left"/>
            </w:pPr>
            <w:r>
              <w:rPr>
                <w:sz w:val="16"/>
              </w:rPr>
              <w:t xml:space="preserve">TC-043</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FR-23</w:t>
            </w:r>
          </w:p>
        </w:tc>
        <w:tc>
          <w:tcPr>
            <w:tcW w:type="dxa" w:w="1785"/>
          </w:tcPr>
          <w:p>
            <w:pPr>
              <w:pStyle w:val="Compact"/>
              <w:spacing w:after="20" w:before="20"/>
              <w:jc w:val="left"/>
            </w:pPr>
            <w:r>
              <w:rPr>
                <w:sz w:val="16"/>
              </w:rPr>
              <w:t xml:space="preserve">PDF statement</w:t>
            </w:r>
          </w:p>
        </w:tc>
        <w:tc>
          <w:tcPr>
            <w:tcW w:type="dxa" w:w="995"/>
          </w:tcPr>
          <w:p>
            <w:pPr>
              <w:pStyle w:val="Compact"/>
              <w:spacing w:after="20" w:before="20"/>
              <w:jc w:val="left"/>
            </w:pPr>
            <w:r>
              <w:rPr>
                <w:sz w:val="16"/>
              </w:rPr>
              <w:t xml:space="preserve">4.9 / SAD 3.4</w:t>
            </w:r>
          </w:p>
        </w:tc>
        <w:tc>
          <w:tcPr>
            <w:tcW w:type="dxa" w:w="1654"/>
          </w:tcPr>
          <w:p>
            <w:pPr>
              <w:pStyle w:val="Compact"/>
              <w:spacing w:after="20" w:before="20"/>
              <w:jc w:val="left"/>
            </w:pPr>
            <w:r>
              <w:rPr>
                <w:sz w:val="16"/>
              </w:rPr>
              <w:t xml:space="preserve">CMP-12 Reporting</w:t>
            </w:r>
          </w:p>
        </w:tc>
        <w:tc>
          <w:tcPr>
            <w:tcW w:type="dxa" w:w="1628"/>
          </w:tcPr>
          <w:p>
            <w:pPr>
              <w:pStyle w:val="Compact"/>
              <w:spacing w:after="20" w:before="20"/>
              <w:jc w:val="left"/>
            </w:pPr>
            <w:r>
              <w:rPr>
                <w:sz w:val="16"/>
              </w:rPr>
              <w:t xml:space="preserve">TC-044</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FR-24</w:t>
            </w:r>
          </w:p>
        </w:tc>
        <w:tc>
          <w:tcPr>
            <w:tcW w:type="dxa" w:w="1785"/>
          </w:tcPr>
          <w:p>
            <w:pPr>
              <w:pStyle w:val="Compact"/>
              <w:spacing w:after="20" w:before="20"/>
              <w:jc w:val="left"/>
            </w:pPr>
            <w:r>
              <w:rPr>
                <w:sz w:val="16"/>
              </w:rPr>
              <w:t xml:space="preserve">EMI reminders</w:t>
            </w:r>
          </w:p>
        </w:tc>
        <w:tc>
          <w:tcPr>
            <w:tcW w:type="dxa" w:w="995"/>
          </w:tcPr>
          <w:p>
            <w:pPr>
              <w:pStyle w:val="Compact"/>
              <w:spacing w:after="20" w:before="20"/>
              <w:jc w:val="left"/>
            </w:pPr>
            <w:r>
              <w:rPr>
                <w:sz w:val="16"/>
              </w:rPr>
              <w:t xml:space="preserve">4.10 / SAD 3.4</w:t>
            </w:r>
          </w:p>
        </w:tc>
        <w:tc>
          <w:tcPr>
            <w:tcW w:type="dxa" w:w="1654"/>
          </w:tcPr>
          <w:p>
            <w:pPr>
              <w:pStyle w:val="Compact"/>
              <w:spacing w:after="20" w:before="20"/>
              <w:jc w:val="left"/>
            </w:pPr>
            <w:r>
              <w:rPr>
                <w:sz w:val="16"/>
              </w:rPr>
              <w:t xml:space="preserve">CMP-13 Notifications</w:t>
            </w:r>
          </w:p>
        </w:tc>
        <w:tc>
          <w:tcPr>
            <w:tcW w:type="dxa" w:w="1628"/>
          </w:tcPr>
          <w:p>
            <w:pPr>
              <w:pStyle w:val="Compact"/>
              <w:spacing w:after="20" w:before="20"/>
              <w:jc w:val="left"/>
            </w:pPr>
            <w:r>
              <w:rPr>
                <w:sz w:val="16"/>
              </w:rPr>
              <w:t xml:space="preserve">TC-045</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FR-25</w:t>
            </w:r>
          </w:p>
        </w:tc>
        <w:tc>
          <w:tcPr>
            <w:tcW w:type="dxa" w:w="1785"/>
          </w:tcPr>
          <w:p>
            <w:pPr>
              <w:pStyle w:val="Compact"/>
              <w:spacing w:after="20" w:before="20"/>
              <w:jc w:val="left"/>
            </w:pPr>
            <w:r>
              <w:rPr>
                <w:sz w:val="16"/>
              </w:rPr>
              <w:t xml:space="preserve">News &amp; rate impact</w:t>
            </w:r>
          </w:p>
        </w:tc>
        <w:tc>
          <w:tcPr>
            <w:tcW w:type="dxa" w:w="995"/>
          </w:tcPr>
          <w:p>
            <w:pPr>
              <w:pStyle w:val="Compact"/>
              <w:spacing w:after="20" w:before="20"/>
              <w:jc w:val="left"/>
            </w:pPr>
            <w:r>
              <w:rPr>
                <w:sz w:val="16"/>
              </w:rPr>
              <w:t xml:space="preserve">4.10 / SAD 3.4</w:t>
            </w:r>
          </w:p>
        </w:tc>
        <w:tc>
          <w:tcPr>
            <w:tcW w:type="dxa" w:w="1654"/>
          </w:tcPr>
          <w:p>
            <w:pPr>
              <w:pStyle w:val="Compact"/>
              <w:spacing w:after="20" w:before="20"/>
              <w:jc w:val="left"/>
            </w:pPr>
            <w:r>
              <w:rPr>
                <w:sz w:val="16"/>
              </w:rPr>
              <w:t xml:space="preserve">CMP-14 News</w:t>
            </w:r>
          </w:p>
        </w:tc>
        <w:tc>
          <w:tcPr>
            <w:tcW w:type="dxa" w:w="1628"/>
          </w:tcPr>
          <w:p>
            <w:pPr>
              <w:pStyle w:val="Compact"/>
              <w:spacing w:after="20" w:before="20"/>
              <w:jc w:val="left"/>
            </w:pPr>
            <w:r>
              <w:rPr>
                <w:sz w:val="16"/>
              </w:rPr>
              <w:t xml:space="preserve">TC-046</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FR-26</w:t>
            </w:r>
          </w:p>
        </w:tc>
        <w:tc>
          <w:tcPr>
            <w:tcW w:type="dxa" w:w="1785"/>
          </w:tcPr>
          <w:p>
            <w:pPr>
              <w:pStyle w:val="Compact"/>
              <w:spacing w:after="20" w:before="20"/>
              <w:jc w:val="left"/>
            </w:pPr>
            <w:r>
              <w:rPr>
                <w:sz w:val="16"/>
              </w:rPr>
              <w:t xml:space="preserve">Advisor client view</w:t>
            </w:r>
          </w:p>
        </w:tc>
        <w:tc>
          <w:tcPr>
            <w:tcW w:type="dxa" w:w="995"/>
          </w:tcPr>
          <w:p>
            <w:pPr>
              <w:pStyle w:val="Compact"/>
              <w:spacing w:after="20" w:before="20"/>
              <w:jc w:val="left"/>
            </w:pPr>
            <w:r>
              <w:rPr>
                <w:sz w:val="16"/>
              </w:rPr>
              <w:t xml:space="preserve">4.11 / SAD 3.4</w:t>
            </w:r>
          </w:p>
        </w:tc>
        <w:tc>
          <w:tcPr>
            <w:tcW w:type="dxa" w:w="1654"/>
          </w:tcPr>
          <w:p>
            <w:pPr>
              <w:pStyle w:val="Compact"/>
              <w:spacing w:after="20" w:before="20"/>
              <w:jc w:val="left"/>
            </w:pPr>
            <w:r>
              <w:rPr>
                <w:sz w:val="16"/>
              </w:rPr>
              <w:t xml:space="preserve">CMP-15 Advisor</w:t>
            </w:r>
          </w:p>
        </w:tc>
        <w:tc>
          <w:tcPr>
            <w:tcW w:type="dxa" w:w="1628"/>
          </w:tcPr>
          <w:p>
            <w:pPr>
              <w:pStyle w:val="Compact"/>
              <w:spacing w:after="20" w:before="20"/>
              <w:jc w:val="left"/>
            </w:pPr>
            <w:r>
              <w:rPr>
                <w:sz w:val="16"/>
              </w:rPr>
              <w:t xml:space="preserve">TC-047</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NFR-01</w:t>
            </w:r>
          </w:p>
        </w:tc>
        <w:tc>
          <w:tcPr>
            <w:tcW w:type="dxa" w:w="1785"/>
          </w:tcPr>
          <w:p>
            <w:pPr>
              <w:pStyle w:val="Compact"/>
              <w:spacing w:after="20" w:before="20"/>
              <w:jc w:val="left"/>
            </w:pPr>
            <w:r>
              <w:rPr>
                <w:sz w:val="16"/>
              </w:rPr>
              <w:t xml:space="preserve">Response time targets</w:t>
            </w:r>
          </w:p>
        </w:tc>
        <w:tc>
          <w:tcPr>
            <w:tcW w:type="dxa" w:w="995"/>
          </w:tcPr>
          <w:p>
            <w:pPr>
              <w:pStyle w:val="Compact"/>
              <w:spacing w:after="20" w:before="20"/>
              <w:jc w:val="left"/>
            </w:pPr>
            <w:r>
              <w:rPr>
                <w:sz w:val="16"/>
              </w:rPr>
              <w:t xml:space="preserve">5 / SAD 3.1</w:t>
            </w:r>
          </w:p>
        </w:tc>
        <w:tc>
          <w:tcPr>
            <w:tcW w:type="dxa" w:w="1654"/>
          </w:tcPr>
          <w:p>
            <w:pPr>
              <w:pStyle w:val="Compact"/>
              <w:spacing w:after="20" w:before="20"/>
              <w:jc w:val="left"/>
            </w:pPr>
            <w:r>
              <w:rPr>
                <w:sz w:val="16"/>
              </w:rPr>
              <w:t xml:space="preserve">CMP-10, CMP-08</w:t>
            </w:r>
          </w:p>
        </w:tc>
        <w:tc>
          <w:tcPr>
            <w:tcW w:type="dxa" w:w="1628"/>
          </w:tcPr>
          <w:p>
            <w:pPr>
              <w:pStyle w:val="Compact"/>
              <w:spacing w:after="20" w:before="20"/>
              <w:jc w:val="left"/>
            </w:pPr>
            <w:r>
              <w:rPr>
                <w:sz w:val="16"/>
              </w:rPr>
              <w:t xml:space="preserve">TC-054</w:t>
            </w:r>
          </w:p>
        </w:tc>
        <w:tc>
          <w:tcPr>
            <w:tcW w:type="dxa" w:w="889"/>
          </w:tcPr>
          <w:p>
            <w:pPr>
              <w:pStyle w:val="Compact"/>
              <w:spacing w:after="20" w:before="20"/>
              <w:jc w:val="left"/>
            </w:pPr>
            <w:r>
              <w:rPr>
                <w:sz w:val="16"/>
              </w:rPr>
              <w:t xml:space="preserve">P</w:t>
            </w:r>
          </w:p>
        </w:tc>
        <w:tc>
          <w:tcPr>
            <w:tcW w:type="dxa" w:w="1738"/>
          </w:tcPr>
          <w:p>
            <w:pPr>
              <w:pStyle w:val="Compact"/>
              <w:spacing w:after="20" w:before="20"/>
              <w:jc w:val="left"/>
            </w:pPr>
            <w:r>
              <w:rPr>
                <w:sz w:val="16"/>
              </w:rPr>
              <w:t xml:space="preserve">Baseline: dashboard p90 11 ms; OCR ≈ 1 s</w:t>
            </w:r>
          </w:p>
        </w:tc>
      </w:tr>
      <w:tr>
        <w:tc>
          <w:tcPr>
            <w:tcW w:type="dxa" w:w="816"/>
          </w:tcPr>
          <w:p>
            <w:pPr>
              <w:pStyle w:val="Compact"/>
              <w:spacing w:after="20" w:before="20"/>
              <w:jc w:val="left"/>
            </w:pPr>
            <w:r>
              <w:rPr>
                <w:sz w:val="16"/>
              </w:rPr>
              <w:t xml:space="preserve">NFR-02</w:t>
            </w:r>
          </w:p>
        </w:tc>
        <w:tc>
          <w:tcPr>
            <w:tcW w:type="dxa" w:w="1785"/>
          </w:tcPr>
          <w:p>
            <w:pPr>
              <w:pStyle w:val="Compact"/>
              <w:spacing w:after="20" w:before="20"/>
              <w:jc w:val="left"/>
            </w:pPr>
            <w:r>
              <w:rPr>
                <w:sz w:val="16"/>
              </w:rPr>
              <w:t xml:space="preserve">Exact money arithmetic</w:t>
            </w:r>
          </w:p>
        </w:tc>
        <w:tc>
          <w:tcPr>
            <w:tcW w:type="dxa" w:w="995"/>
          </w:tcPr>
          <w:p>
            <w:pPr>
              <w:pStyle w:val="Compact"/>
              <w:spacing w:after="20" w:before="20"/>
              <w:jc w:val="left"/>
            </w:pPr>
            <w:r>
              <w:rPr>
                <w:sz w:val="16"/>
              </w:rPr>
              <w:t xml:space="preserve">5 / SAD 3.6</w:t>
            </w:r>
          </w:p>
        </w:tc>
        <w:tc>
          <w:tcPr>
            <w:tcW w:type="dxa" w:w="1654"/>
          </w:tcPr>
          <w:p>
            <w:pPr>
              <w:pStyle w:val="Compact"/>
              <w:spacing w:after="20" w:before="20"/>
              <w:jc w:val="left"/>
            </w:pPr>
            <w:r>
              <w:rPr>
                <w:sz w:val="16"/>
              </w:rPr>
              <w:t xml:space="preserve">CMP-05, DS-01</w:t>
            </w:r>
          </w:p>
        </w:tc>
        <w:tc>
          <w:tcPr>
            <w:tcW w:type="dxa" w:w="1628"/>
          </w:tcPr>
          <w:p>
            <w:pPr>
              <w:pStyle w:val="Compact"/>
              <w:spacing w:after="20" w:before="20"/>
              <w:jc w:val="left"/>
            </w:pPr>
            <w:r>
              <w:rPr>
                <w:sz w:val="16"/>
              </w:rPr>
              <w:t xml:space="preserve">TC-015, TC-055</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NFR-03</w:t>
            </w:r>
          </w:p>
        </w:tc>
        <w:tc>
          <w:tcPr>
            <w:tcW w:type="dxa" w:w="1785"/>
          </w:tcPr>
          <w:p>
            <w:pPr>
              <w:pStyle w:val="Compact"/>
              <w:spacing w:after="20" w:before="20"/>
              <w:jc w:val="left"/>
            </w:pPr>
            <w:r>
              <w:rPr>
                <w:sz w:val="16"/>
              </w:rPr>
              <w:t xml:space="preserve">Atomic operations</w:t>
            </w:r>
          </w:p>
        </w:tc>
        <w:tc>
          <w:tcPr>
            <w:tcW w:type="dxa" w:w="995"/>
          </w:tcPr>
          <w:p>
            <w:pPr>
              <w:pStyle w:val="Compact"/>
              <w:spacing w:after="20" w:before="20"/>
              <w:jc w:val="left"/>
            </w:pPr>
            <w:r>
              <w:rPr>
                <w:sz w:val="16"/>
              </w:rPr>
              <w:t xml:space="preserve">5 / SAD 3.6</w:t>
            </w:r>
          </w:p>
        </w:tc>
        <w:tc>
          <w:tcPr>
            <w:tcW w:type="dxa" w:w="1654"/>
          </w:tcPr>
          <w:p>
            <w:pPr>
              <w:pStyle w:val="Compact"/>
              <w:spacing w:after="20" w:before="20"/>
              <w:jc w:val="left"/>
            </w:pPr>
            <w:r>
              <w:rPr>
                <w:sz w:val="16"/>
              </w:rPr>
              <w:t xml:space="preserve">CMP-05, CMP-07, CMP-11</w:t>
            </w:r>
          </w:p>
        </w:tc>
        <w:tc>
          <w:tcPr>
            <w:tcW w:type="dxa" w:w="1628"/>
          </w:tcPr>
          <w:p>
            <w:pPr>
              <w:pStyle w:val="Compact"/>
              <w:spacing w:after="20" w:before="20"/>
              <w:jc w:val="left"/>
            </w:pPr>
            <w:r>
              <w:rPr>
                <w:sz w:val="16"/>
              </w:rPr>
              <w:t xml:space="preserve">TC-025, TC-032</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NFR-04</w:t>
            </w:r>
          </w:p>
        </w:tc>
        <w:tc>
          <w:tcPr>
            <w:tcW w:type="dxa" w:w="1785"/>
          </w:tcPr>
          <w:p>
            <w:pPr>
              <w:pStyle w:val="Compact"/>
              <w:spacing w:after="20" w:before="20"/>
              <w:jc w:val="left"/>
            </w:pPr>
            <w:r>
              <w:rPr>
                <w:sz w:val="16"/>
              </w:rPr>
              <w:t xml:space="preserve">Graceful degradation</w:t>
            </w:r>
          </w:p>
        </w:tc>
        <w:tc>
          <w:tcPr>
            <w:tcW w:type="dxa" w:w="995"/>
          </w:tcPr>
          <w:p>
            <w:pPr>
              <w:pStyle w:val="Compact"/>
              <w:spacing w:after="20" w:before="20"/>
              <w:jc w:val="left"/>
            </w:pPr>
            <w:r>
              <w:rPr>
                <w:sz w:val="16"/>
              </w:rPr>
              <w:t xml:space="preserve">5 / SAD 3.7</w:t>
            </w:r>
          </w:p>
        </w:tc>
        <w:tc>
          <w:tcPr>
            <w:tcW w:type="dxa" w:w="1654"/>
          </w:tcPr>
          <w:p>
            <w:pPr>
              <w:pStyle w:val="Compact"/>
              <w:spacing w:after="20" w:before="20"/>
              <w:jc w:val="left"/>
            </w:pPr>
            <w:r>
              <w:rPr>
                <w:sz w:val="16"/>
              </w:rPr>
              <w:t xml:space="preserve">CMP-16, DS-02</w:t>
            </w:r>
          </w:p>
        </w:tc>
        <w:tc>
          <w:tcPr>
            <w:tcW w:type="dxa" w:w="1628"/>
          </w:tcPr>
          <w:p>
            <w:pPr>
              <w:pStyle w:val="Compact"/>
              <w:spacing w:after="20" w:before="20"/>
              <w:jc w:val="left"/>
            </w:pPr>
            <w:r>
              <w:rPr>
                <w:sz w:val="16"/>
              </w:rPr>
              <w:t xml:space="preserve">TC-038, TC-056</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NFR-05</w:t>
            </w:r>
          </w:p>
        </w:tc>
        <w:tc>
          <w:tcPr>
            <w:tcW w:type="dxa" w:w="1785"/>
          </w:tcPr>
          <w:p>
            <w:pPr>
              <w:pStyle w:val="Compact"/>
              <w:spacing w:after="20" w:before="20"/>
              <w:jc w:val="left"/>
            </w:pPr>
            <w:r>
              <w:rPr>
                <w:sz w:val="16"/>
              </w:rPr>
              <w:t xml:space="preserve">Usability / accessibility</w:t>
            </w:r>
          </w:p>
        </w:tc>
        <w:tc>
          <w:tcPr>
            <w:tcW w:type="dxa" w:w="995"/>
          </w:tcPr>
          <w:p>
            <w:pPr>
              <w:pStyle w:val="Compact"/>
              <w:spacing w:after="20" w:before="20"/>
              <w:jc w:val="left"/>
            </w:pPr>
            <w:r>
              <w:rPr>
                <w:sz w:val="16"/>
              </w:rPr>
              <w:t xml:space="preserve">5 / SAD 4.5</w:t>
            </w:r>
          </w:p>
        </w:tc>
        <w:tc>
          <w:tcPr>
            <w:tcW w:type="dxa" w:w="1654"/>
          </w:tcPr>
          <w:p>
            <w:pPr>
              <w:pStyle w:val="Compact"/>
              <w:spacing w:after="20" w:before="20"/>
              <w:jc w:val="left"/>
            </w:pPr>
            <w:r>
              <w:rPr>
                <w:sz w:val="16"/>
              </w:rPr>
              <w:t xml:space="preserve">CMP-01 Web UI</w:t>
            </w:r>
          </w:p>
        </w:tc>
        <w:tc>
          <w:tcPr>
            <w:tcW w:type="dxa" w:w="1628"/>
          </w:tcPr>
          <w:p>
            <w:pPr>
              <w:pStyle w:val="Compact"/>
              <w:spacing w:after="20" w:before="20"/>
              <w:jc w:val="left"/>
            </w:pPr>
            <w:r>
              <w:rPr>
                <w:sz w:val="16"/>
              </w:rPr>
              <w:t xml:space="preserve">TC-057</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NFR-06</w:t>
            </w:r>
          </w:p>
        </w:tc>
        <w:tc>
          <w:tcPr>
            <w:tcW w:type="dxa" w:w="1785"/>
          </w:tcPr>
          <w:p>
            <w:pPr>
              <w:pStyle w:val="Compact"/>
              <w:spacing w:after="20" w:before="20"/>
              <w:jc w:val="left"/>
            </w:pPr>
            <w:r>
              <w:rPr>
                <w:sz w:val="16"/>
              </w:rPr>
              <w:t xml:space="preserve">Maintainability</w:t>
            </w:r>
          </w:p>
        </w:tc>
        <w:tc>
          <w:tcPr>
            <w:tcW w:type="dxa" w:w="995"/>
          </w:tcPr>
          <w:p>
            <w:pPr>
              <w:pStyle w:val="Compact"/>
              <w:spacing w:after="20" w:before="20"/>
              <w:jc w:val="left"/>
            </w:pPr>
            <w:r>
              <w:rPr>
                <w:sz w:val="16"/>
              </w:rPr>
              <w:t xml:space="preserve">5 / SAD 3.5</w:t>
            </w:r>
          </w:p>
        </w:tc>
        <w:tc>
          <w:tcPr>
            <w:tcW w:type="dxa" w:w="1654"/>
          </w:tcPr>
          <w:p>
            <w:pPr>
              <w:pStyle w:val="Compact"/>
              <w:spacing w:after="20" w:before="20"/>
              <w:jc w:val="left"/>
            </w:pPr>
            <w:r>
              <w:rPr>
                <w:sz w:val="16"/>
              </w:rPr>
              <w:t xml:space="preserve">All</w:t>
            </w:r>
          </w:p>
        </w:tc>
        <w:tc>
          <w:tcPr>
            <w:tcW w:type="dxa" w:w="1628"/>
          </w:tcPr>
          <w:p>
            <w:pPr>
              <w:pStyle w:val="Compact"/>
              <w:spacing w:after="20" w:before="20"/>
              <w:jc w:val="left"/>
            </w:pPr>
            <w:r>
              <w:rPr>
                <w:sz w:val="16"/>
              </w:rPr>
              <w:t xml:space="preserve">TC-058</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NFR-07</w:t>
            </w:r>
          </w:p>
        </w:tc>
        <w:tc>
          <w:tcPr>
            <w:tcW w:type="dxa" w:w="1785"/>
          </w:tcPr>
          <w:p>
            <w:pPr>
              <w:pStyle w:val="Compact"/>
              <w:spacing w:after="20" w:before="20"/>
              <w:jc w:val="left"/>
            </w:pPr>
            <w:r>
              <w:rPr>
                <w:sz w:val="16"/>
              </w:rPr>
              <w:t xml:space="preserve">Configurability</w:t>
            </w:r>
          </w:p>
        </w:tc>
        <w:tc>
          <w:tcPr>
            <w:tcW w:type="dxa" w:w="995"/>
          </w:tcPr>
          <w:p>
            <w:pPr>
              <w:pStyle w:val="Compact"/>
              <w:spacing w:after="20" w:before="20"/>
              <w:jc w:val="left"/>
            </w:pPr>
            <w:r>
              <w:rPr>
                <w:sz w:val="16"/>
              </w:rPr>
              <w:t xml:space="preserve">5 / SAD 3.6</w:t>
            </w:r>
          </w:p>
        </w:tc>
        <w:tc>
          <w:tcPr>
            <w:tcW w:type="dxa" w:w="1654"/>
          </w:tcPr>
          <w:p>
            <w:pPr>
              <w:pStyle w:val="Compact"/>
              <w:spacing w:after="20" w:before="20"/>
              <w:jc w:val="left"/>
            </w:pPr>
            <w:r>
              <w:rPr>
                <w:sz w:val="16"/>
              </w:rPr>
              <w:t xml:space="preserve">All</w:t>
            </w:r>
          </w:p>
        </w:tc>
        <w:tc>
          <w:tcPr>
            <w:tcW w:type="dxa" w:w="1628"/>
          </w:tcPr>
          <w:p>
            <w:pPr>
              <w:pStyle w:val="Compact"/>
              <w:spacing w:after="20" w:before="20"/>
              <w:jc w:val="left"/>
            </w:pPr>
            <w:r>
              <w:rPr>
                <w:sz w:val="16"/>
              </w:rPr>
              <w:t xml:space="preserve">TC-053, TC-059</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SR-01</w:t>
            </w:r>
          </w:p>
        </w:tc>
        <w:tc>
          <w:tcPr>
            <w:tcW w:type="dxa" w:w="1785"/>
          </w:tcPr>
          <w:p>
            <w:pPr>
              <w:pStyle w:val="Compact"/>
              <w:spacing w:after="20" w:before="20"/>
              <w:jc w:val="left"/>
            </w:pPr>
            <w:r>
              <w:rPr>
                <w:sz w:val="16"/>
              </w:rPr>
              <w:t xml:space="preserve">Password hashing</w:t>
            </w:r>
          </w:p>
        </w:tc>
        <w:tc>
          <w:tcPr>
            <w:tcW w:type="dxa" w:w="995"/>
          </w:tcPr>
          <w:p>
            <w:pPr>
              <w:pStyle w:val="Compact"/>
              <w:spacing w:after="20" w:before="20"/>
              <w:jc w:val="left"/>
            </w:pPr>
            <w:r>
              <w:rPr>
                <w:sz w:val="16"/>
              </w:rPr>
              <w:t xml:space="preserve">5.1 / SAD 3.9</w:t>
            </w:r>
          </w:p>
        </w:tc>
        <w:tc>
          <w:tcPr>
            <w:tcW w:type="dxa" w:w="1654"/>
          </w:tcPr>
          <w:p>
            <w:pPr>
              <w:pStyle w:val="Compact"/>
              <w:spacing w:after="20" w:before="20"/>
              <w:jc w:val="left"/>
            </w:pPr>
            <w:r>
              <w:rPr>
                <w:sz w:val="16"/>
              </w:rPr>
              <w:t xml:space="preserve">CMP-03</w:t>
            </w:r>
          </w:p>
        </w:tc>
        <w:tc>
          <w:tcPr>
            <w:tcW w:type="dxa" w:w="1628"/>
          </w:tcPr>
          <w:p>
            <w:pPr>
              <w:pStyle w:val="Compact"/>
              <w:spacing w:after="20" w:before="20"/>
              <w:jc w:val="left"/>
            </w:pPr>
            <w:r>
              <w:rPr>
                <w:sz w:val="16"/>
              </w:rPr>
              <w:t xml:space="preserve">TC-048</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SR-02</w:t>
            </w:r>
          </w:p>
        </w:tc>
        <w:tc>
          <w:tcPr>
            <w:tcW w:type="dxa" w:w="1785"/>
          </w:tcPr>
          <w:p>
            <w:pPr>
              <w:pStyle w:val="Compact"/>
              <w:spacing w:after="20" w:before="20"/>
              <w:jc w:val="left"/>
            </w:pPr>
            <w:r>
              <w:rPr>
                <w:sz w:val="16"/>
              </w:rPr>
              <w:t xml:space="preserve">Signed session cookie</w:t>
            </w:r>
          </w:p>
        </w:tc>
        <w:tc>
          <w:tcPr>
            <w:tcW w:type="dxa" w:w="995"/>
          </w:tcPr>
          <w:p>
            <w:pPr>
              <w:pStyle w:val="Compact"/>
              <w:spacing w:after="20" w:before="20"/>
              <w:jc w:val="left"/>
            </w:pPr>
            <w:r>
              <w:rPr>
                <w:sz w:val="16"/>
              </w:rPr>
              <w:t xml:space="preserve">5.1 / SAD 3.9, SEQ-01</w:t>
            </w:r>
          </w:p>
        </w:tc>
        <w:tc>
          <w:tcPr>
            <w:tcW w:type="dxa" w:w="1654"/>
          </w:tcPr>
          <w:p>
            <w:pPr>
              <w:pStyle w:val="Compact"/>
              <w:spacing w:after="20" w:before="20"/>
              <w:jc w:val="left"/>
            </w:pPr>
            <w:r>
              <w:rPr>
                <w:sz w:val="16"/>
              </w:rPr>
              <w:t xml:space="preserve">CMP-03</w:t>
            </w:r>
          </w:p>
        </w:tc>
        <w:tc>
          <w:tcPr>
            <w:tcW w:type="dxa" w:w="1628"/>
          </w:tcPr>
          <w:p>
            <w:pPr>
              <w:pStyle w:val="Compact"/>
              <w:spacing w:after="20" w:before="20"/>
              <w:jc w:val="left"/>
            </w:pPr>
            <w:r>
              <w:rPr>
                <w:sz w:val="16"/>
              </w:rPr>
              <w:t xml:space="preserve">TC-005, TC-007, TC-049</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SR-03</w:t>
            </w:r>
          </w:p>
        </w:tc>
        <w:tc>
          <w:tcPr>
            <w:tcW w:type="dxa" w:w="1785"/>
          </w:tcPr>
          <w:p>
            <w:pPr>
              <w:pStyle w:val="Compact"/>
              <w:spacing w:after="20" w:before="20"/>
              <w:jc w:val="left"/>
            </w:pPr>
            <w:r>
              <w:rPr>
                <w:sz w:val="16"/>
              </w:rPr>
              <w:t xml:space="preserve">No account enumeration</w:t>
            </w:r>
          </w:p>
        </w:tc>
        <w:tc>
          <w:tcPr>
            <w:tcW w:type="dxa" w:w="995"/>
          </w:tcPr>
          <w:p>
            <w:pPr>
              <w:pStyle w:val="Compact"/>
              <w:spacing w:after="20" w:before="20"/>
              <w:jc w:val="left"/>
            </w:pPr>
            <w:r>
              <w:rPr>
                <w:sz w:val="16"/>
              </w:rPr>
              <w:t xml:space="preserve">5.1 / SAD SEQ-01</w:t>
            </w:r>
          </w:p>
        </w:tc>
        <w:tc>
          <w:tcPr>
            <w:tcW w:type="dxa" w:w="1654"/>
          </w:tcPr>
          <w:p>
            <w:pPr>
              <w:pStyle w:val="Compact"/>
              <w:spacing w:after="20" w:before="20"/>
              <w:jc w:val="left"/>
            </w:pPr>
            <w:r>
              <w:rPr>
                <w:sz w:val="16"/>
              </w:rPr>
              <w:t xml:space="preserve">CMP-03</w:t>
            </w:r>
          </w:p>
        </w:tc>
        <w:tc>
          <w:tcPr>
            <w:tcW w:type="dxa" w:w="1628"/>
          </w:tcPr>
          <w:p>
            <w:pPr>
              <w:pStyle w:val="Compact"/>
              <w:spacing w:after="20" w:before="20"/>
              <w:jc w:val="left"/>
            </w:pPr>
            <w:r>
              <w:rPr>
                <w:sz w:val="16"/>
              </w:rPr>
              <w:t xml:space="preserve">TC-006</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SR-04</w:t>
            </w:r>
          </w:p>
        </w:tc>
        <w:tc>
          <w:tcPr>
            <w:tcW w:type="dxa" w:w="1785"/>
          </w:tcPr>
          <w:p>
            <w:pPr>
              <w:pStyle w:val="Compact"/>
              <w:spacing w:after="20" w:before="20"/>
              <w:jc w:val="left"/>
            </w:pPr>
            <w:r>
              <w:rPr>
                <w:sz w:val="16"/>
              </w:rPr>
              <w:t xml:space="preserve">Authentication &amp; role checks</w:t>
            </w:r>
          </w:p>
        </w:tc>
        <w:tc>
          <w:tcPr>
            <w:tcW w:type="dxa" w:w="995"/>
          </w:tcPr>
          <w:p>
            <w:pPr>
              <w:pStyle w:val="Compact"/>
              <w:spacing w:after="20" w:before="20"/>
              <w:jc w:val="left"/>
            </w:pPr>
            <w:r>
              <w:rPr>
                <w:sz w:val="16"/>
              </w:rPr>
              <w:t xml:space="preserve">5.1 / SAD 3.9</w:t>
            </w:r>
          </w:p>
        </w:tc>
        <w:tc>
          <w:tcPr>
            <w:tcW w:type="dxa" w:w="1654"/>
          </w:tcPr>
          <w:p>
            <w:pPr>
              <w:pStyle w:val="Compact"/>
              <w:spacing w:after="20" w:before="20"/>
              <w:jc w:val="left"/>
            </w:pPr>
            <w:r>
              <w:rPr>
                <w:sz w:val="16"/>
              </w:rPr>
              <w:t xml:space="preserve">CMP-02, CMP-03</w:t>
            </w:r>
          </w:p>
        </w:tc>
        <w:tc>
          <w:tcPr>
            <w:tcW w:type="dxa" w:w="1628"/>
          </w:tcPr>
          <w:p>
            <w:pPr>
              <w:pStyle w:val="Compact"/>
              <w:spacing w:after="20" w:before="20"/>
              <w:jc w:val="left"/>
            </w:pPr>
            <w:r>
              <w:rPr>
                <w:sz w:val="16"/>
              </w:rPr>
              <w:t xml:space="preserve">TC-008, TC-009</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SR-05</w:t>
            </w:r>
          </w:p>
        </w:tc>
        <w:tc>
          <w:tcPr>
            <w:tcW w:type="dxa" w:w="1785"/>
          </w:tcPr>
          <w:p>
            <w:pPr>
              <w:pStyle w:val="Compact"/>
              <w:spacing w:after="20" w:before="20"/>
              <w:jc w:val="left"/>
            </w:pPr>
            <w:r>
              <w:rPr>
                <w:sz w:val="16"/>
              </w:rPr>
              <w:t xml:space="preserve">Object-level authorisation</w:t>
            </w:r>
          </w:p>
        </w:tc>
        <w:tc>
          <w:tcPr>
            <w:tcW w:type="dxa" w:w="995"/>
          </w:tcPr>
          <w:p>
            <w:pPr>
              <w:pStyle w:val="Compact"/>
              <w:spacing w:after="20" w:before="20"/>
              <w:jc w:val="left"/>
            </w:pPr>
            <w:r>
              <w:rPr>
                <w:sz w:val="16"/>
              </w:rPr>
              <w:t xml:space="preserve">5.1 / SAD 3.9</w:t>
            </w:r>
          </w:p>
        </w:tc>
        <w:tc>
          <w:tcPr>
            <w:tcW w:type="dxa" w:w="1654"/>
          </w:tcPr>
          <w:p>
            <w:pPr>
              <w:pStyle w:val="Compact"/>
              <w:spacing w:after="20" w:before="20"/>
              <w:jc w:val="left"/>
            </w:pPr>
            <w:r>
              <w:rPr>
                <w:sz w:val="16"/>
              </w:rPr>
              <w:t xml:space="preserve">CMP-16, CMP-15</w:t>
            </w:r>
          </w:p>
        </w:tc>
        <w:tc>
          <w:tcPr>
            <w:tcW w:type="dxa" w:w="1628"/>
          </w:tcPr>
          <w:p>
            <w:pPr>
              <w:pStyle w:val="Compact"/>
              <w:spacing w:after="20" w:before="20"/>
              <w:jc w:val="left"/>
            </w:pPr>
            <w:r>
              <w:rPr>
                <w:sz w:val="16"/>
              </w:rPr>
              <w:t xml:space="preserve">TC-047, TC-050</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SR-06</w:t>
            </w:r>
          </w:p>
        </w:tc>
        <w:tc>
          <w:tcPr>
            <w:tcW w:type="dxa" w:w="1785"/>
          </w:tcPr>
          <w:p>
            <w:pPr>
              <w:pStyle w:val="Compact"/>
              <w:spacing w:after="20" w:before="20"/>
              <w:jc w:val="left"/>
            </w:pPr>
            <w:r>
              <w:rPr>
                <w:sz w:val="16"/>
              </w:rPr>
              <w:t xml:space="preserve">Validation &amp; parameterised SQL</w:t>
            </w:r>
          </w:p>
        </w:tc>
        <w:tc>
          <w:tcPr>
            <w:tcW w:type="dxa" w:w="995"/>
          </w:tcPr>
          <w:p>
            <w:pPr>
              <w:pStyle w:val="Compact"/>
              <w:spacing w:after="20" w:before="20"/>
              <w:jc w:val="left"/>
            </w:pPr>
            <w:r>
              <w:rPr>
                <w:sz w:val="16"/>
              </w:rPr>
              <w:t xml:space="preserve">5.1 / SAD 3.9</w:t>
            </w:r>
          </w:p>
        </w:tc>
        <w:tc>
          <w:tcPr>
            <w:tcW w:type="dxa" w:w="1654"/>
          </w:tcPr>
          <w:p>
            <w:pPr>
              <w:pStyle w:val="Compact"/>
              <w:spacing w:after="20" w:before="20"/>
              <w:jc w:val="left"/>
            </w:pPr>
            <w:r>
              <w:rPr>
                <w:sz w:val="16"/>
              </w:rPr>
              <w:t xml:space="preserve">CMP-02, CMP-16</w:t>
            </w:r>
          </w:p>
        </w:tc>
        <w:tc>
          <w:tcPr>
            <w:tcW w:type="dxa" w:w="1628"/>
          </w:tcPr>
          <w:p>
            <w:pPr>
              <w:pStyle w:val="Compact"/>
              <w:spacing w:after="20" w:before="20"/>
              <w:jc w:val="left"/>
            </w:pPr>
            <w:r>
              <w:rPr>
                <w:sz w:val="16"/>
              </w:rPr>
              <w:t xml:space="preserve">TC-011, TC-016, TC-027, TC-051</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SR-07</w:t>
            </w:r>
          </w:p>
        </w:tc>
        <w:tc>
          <w:tcPr>
            <w:tcW w:type="dxa" w:w="1785"/>
          </w:tcPr>
          <w:p>
            <w:pPr>
              <w:pStyle w:val="Compact"/>
              <w:spacing w:after="20" w:before="20"/>
              <w:jc w:val="left"/>
            </w:pPr>
            <w:r>
              <w:rPr>
                <w:sz w:val="16"/>
              </w:rPr>
              <w:t xml:space="preserve">Upload restrictions</w:t>
            </w:r>
          </w:p>
        </w:tc>
        <w:tc>
          <w:tcPr>
            <w:tcW w:type="dxa" w:w="995"/>
          </w:tcPr>
          <w:p>
            <w:pPr>
              <w:pStyle w:val="Compact"/>
              <w:spacing w:after="20" w:before="20"/>
              <w:jc w:val="left"/>
            </w:pPr>
            <w:r>
              <w:rPr>
                <w:sz w:val="16"/>
              </w:rPr>
              <w:t xml:space="preserve">5.1 / SAD 3.9</w:t>
            </w:r>
          </w:p>
        </w:tc>
        <w:tc>
          <w:tcPr>
            <w:tcW w:type="dxa" w:w="1654"/>
          </w:tcPr>
          <w:p>
            <w:pPr>
              <w:pStyle w:val="Compact"/>
              <w:spacing w:after="20" w:before="20"/>
              <w:jc w:val="left"/>
            </w:pPr>
            <w:r>
              <w:rPr>
                <w:sz w:val="16"/>
              </w:rPr>
              <w:t xml:space="preserve">CMP-07, CMP-08, CMP-09</w:t>
            </w:r>
          </w:p>
        </w:tc>
        <w:tc>
          <w:tcPr>
            <w:tcW w:type="dxa" w:w="1628"/>
          </w:tcPr>
          <w:p>
            <w:pPr>
              <w:pStyle w:val="Compact"/>
              <w:spacing w:after="20" w:before="20"/>
              <w:jc w:val="left"/>
            </w:pPr>
            <w:r>
              <w:rPr>
                <w:sz w:val="16"/>
              </w:rPr>
              <w:t xml:space="preserve">TC-031, TC-035, TC-037</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SR-08</w:t>
            </w:r>
          </w:p>
        </w:tc>
        <w:tc>
          <w:tcPr>
            <w:tcW w:type="dxa" w:w="1785"/>
          </w:tcPr>
          <w:p>
            <w:pPr>
              <w:pStyle w:val="Compact"/>
              <w:spacing w:after="20" w:before="20"/>
              <w:jc w:val="left"/>
            </w:pPr>
            <w:r>
              <w:rPr>
                <w:sz w:val="16"/>
              </w:rPr>
              <w:t xml:space="preserve">Safe error responses</w:t>
            </w:r>
          </w:p>
        </w:tc>
        <w:tc>
          <w:tcPr>
            <w:tcW w:type="dxa" w:w="995"/>
          </w:tcPr>
          <w:p>
            <w:pPr>
              <w:pStyle w:val="Compact"/>
              <w:spacing w:after="20" w:before="20"/>
              <w:jc w:val="left"/>
            </w:pPr>
            <w:r>
              <w:rPr>
                <w:sz w:val="16"/>
              </w:rPr>
              <w:t xml:space="preserve">5.1 / SAD 4.4</w:t>
            </w:r>
          </w:p>
        </w:tc>
        <w:tc>
          <w:tcPr>
            <w:tcW w:type="dxa" w:w="1654"/>
          </w:tcPr>
          <w:p>
            <w:pPr>
              <w:pStyle w:val="Compact"/>
              <w:spacing w:after="20" w:before="20"/>
              <w:jc w:val="left"/>
            </w:pPr>
            <w:r>
              <w:rPr>
                <w:sz w:val="16"/>
              </w:rPr>
              <w:t xml:space="preserve">CMP-02</w:t>
            </w:r>
          </w:p>
        </w:tc>
        <w:tc>
          <w:tcPr>
            <w:tcW w:type="dxa" w:w="1628"/>
          </w:tcPr>
          <w:p>
            <w:pPr>
              <w:pStyle w:val="Compact"/>
              <w:spacing w:after="20" w:before="20"/>
              <w:jc w:val="left"/>
            </w:pPr>
            <w:r>
              <w:rPr>
                <w:sz w:val="16"/>
              </w:rPr>
              <w:t xml:space="preserve">TC-052</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r>
        <w:tc>
          <w:tcPr>
            <w:tcW w:type="dxa" w:w="816"/>
          </w:tcPr>
          <w:p>
            <w:pPr>
              <w:pStyle w:val="Compact"/>
              <w:spacing w:after="20" w:before="20"/>
              <w:jc w:val="left"/>
            </w:pPr>
            <w:r>
              <w:rPr>
                <w:sz w:val="16"/>
              </w:rPr>
              <w:t xml:space="preserve">SR-09</w:t>
            </w:r>
          </w:p>
        </w:tc>
        <w:tc>
          <w:tcPr>
            <w:tcW w:type="dxa" w:w="1785"/>
          </w:tcPr>
          <w:p>
            <w:pPr>
              <w:pStyle w:val="Compact"/>
              <w:spacing w:after="20" w:before="20"/>
              <w:jc w:val="left"/>
            </w:pPr>
            <w:r>
              <w:rPr>
                <w:sz w:val="16"/>
              </w:rPr>
              <w:t xml:space="preserve">Secrets &amp; PAN masking</w:t>
            </w:r>
          </w:p>
        </w:tc>
        <w:tc>
          <w:tcPr>
            <w:tcW w:type="dxa" w:w="995"/>
          </w:tcPr>
          <w:p>
            <w:pPr>
              <w:pStyle w:val="Compact"/>
              <w:spacing w:after="20" w:before="20"/>
              <w:jc w:val="left"/>
            </w:pPr>
            <w:r>
              <w:rPr>
                <w:sz w:val="16"/>
              </w:rPr>
              <w:t xml:space="preserve">5.1 / SAD 3.9</w:t>
            </w:r>
          </w:p>
        </w:tc>
        <w:tc>
          <w:tcPr>
            <w:tcW w:type="dxa" w:w="1654"/>
          </w:tcPr>
          <w:p>
            <w:pPr>
              <w:pStyle w:val="Compact"/>
              <w:spacing w:after="20" w:before="20"/>
              <w:jc w:val="left"/>
            </w:pPr>
            <w:r>
              <w:rPr>
                <w:sz w:val="16"/>
              </w:rPr>
              <w:t xml:space="preserve">CMP-03, CMP-12</w:t>
            </w:r>
          </w:p>
        </w:tc>
        <w:tc>
          <w:tcPr>
            <w:tcW w:type="dxa" w:w="1628"/>
          </w:tcPr>
          <w:p>
            <w:pPr>
              <w:pStyle w:val="Compact"/>
              <w:spacing w:after="20" w:before="20"/>
              <w:jc w:val="left"/>
            </w:pPr>
            <w:r>
              <w:rPr>
                <w:sz w:val="16"/>
              </w:rPr>
              <w:t xml:space="preserve">TC-044, TC-053</w:t>
            </w:r>
          </w:p>
        </w:tc>
        <w:tc>
          <w:tcPr>
            <w:tcW w:type="dxa" w:w="889"/>
          </w:tcPr>
          <w:p>
            <w:pPr>
              <w:pStyle w:val="Compact"/>
              <w:spacing w:after="20" w:before="20"/>
              <w:jc w:val="left"/>
            </w:pPr>
            <w:r>
              <w:rPr>
                <w:sz w:val="16"/>
              </w:rPr>
              <w:t xml:space="preserve">P</w:t>
            </w:r>
          </w:p>
        </w:tc>
        <w:tc>
          <w:tcPr>
            <w:tcW w:type="dxa" w:w="1738"/>
          </w:tcPr>
          <w:p>
            <w:pPr>
              <w:pStyle w:val="Compact"/>
              <w:spacing w:after="20" w:before="20"/>
            </w:pPr>
          </w:p>
        </w:tc>
      </w:tr>
    </w:tbl>
    <w:p>
      <w:pPr>
        <w:pStyle w:val="BodyText"/>
      </w:pPr>
      <w:r>
        <w:rPr>
          <w:bCs/>
          <w:b/>
        </w:rPr>
        <w:t xml:space="preserve">Coverage:</w:t>
      </w:r>
      <w:r>
        <w:t xml:space="preserve"> </w:t>
      </w:r>
      <w:r>
        <w:t xml:space="preserve">26 FRs, 7 NFRs, 3 security objectives and 9 security requirements; every requirement is traced to at least one test case, and every traced test case passed in the final execution. No orphan requirements.</w:t>
      </w:r>
    </w:p>
    <w:bookmarkEnd w:id="69"/>
    <w:bookmarkStart w:id="70" w:name="X5db0b3fc052ae96441811e3e00f1df6f5b607f6"/>
    <w:p>
      <w:pPr>
        <w:pStyle w:val="Heading1"/>
      </w:pPr>
      <w:r>
        <w:t xml:space="preserve">Appendix A — PlantUML source of use-case diagrams</w:t>
      </w:r>
    </w:p>
    <w:p>
      <w:pPr>
        <w:pStyle w:val="SourceCode"/>
      </w:pPr>
      <w:r>
        <w:rPr>
          <w:rStyle w:val="VerbatimChar"/>
          <w:sz w:val="14"/>
        </w:rPr>
        <w:t xml:space="preserve">@startuml UC-D1</w:t>
      </w:r>
      <w:r>
        <w:rPr>
          <w:sz w:val="14"/>
        </w:rPr>
        <w:br/>
      </w:r>
      <w:r>
        <w:rPr>
          <w:rStyle w:val="VerbatimChar"/>
          <w:sz w:val="14"/>
        </w:rPr>
        <w:t xml:space="preserve">' (shared skinparams omitted)</w:t>
      </w:r>
      <w:r>
        <w:rPr>
          <w:sz w:val="14"/>
        </w:rPr>
        <w:br/>
      </w:r>
      <w:r>
        <w:rPr>
          <w:rStyle w:val="VerbatimChar"/>
          <w:sz w:val="14"/>
        </w:rPr>
        <w:t xml:space="preserve">left to right direction</w:t>
      </w:r>
      <w:r>
        <w:rPr>
          <w:sz w:val="14"/>
        </w:rPr>
        <w:br/>
      </w:r>
      <w:r>
        <w:rPr>
          <w:rStyle w:val="VerbatimChar"/>
          <w:sz w:val="14"/>
        </w:rPr>
        <w:t xml:space="preserve">title UC-D1 — Account, Portfolio and Loan Management</w:t>
      </w:r>
      <w:r>
        <w:rPr>
          <w:sz w:val="14"/>
        </w:rPr>
        <w:br/>
      </w:r>
      <w:r>
        <w:rPr>
          <w:rStyle w:val="VerbatimChar"/>
          <w:sz w:val="14"/>
        </w:rPr>
        <w:t xml:space="preserve">actor "Individual User" as U</w:t>
      </w:r>
      <w:r>
        <w:rPr>
          <w:sz w:val="14"/>
        </w:rPr>
        <w:br/>
      </w:r>
      <w:r>
        <w:rPr>
          <w:rStyle w:val="VerbatimChar"/>
          <w:sz w:val="14"/>
        </w:rPr>
        <w:t xml:space="preserve">actor "Advisor" as A</w:t>
      </w:r>
      <w:r>
        <w:rPr>
          <w:sz w:val="14"/>
        </w:rPr>
        <w:br/>
      </w:r>
      <w:r>
        <w:rPr>
          <w:rStyle w:val="VerbatimChar"/>
          <w:sz w:val="14"/>
        </w:rPr>
        <w:t xml:space="preserve">U &lt;|-- A</w:t>
      </w:r>
      <w:r>
        <w:rPr>
          <w:sz w:val="14"/>
        </w:rPr>
        <w:br/>
      </w:r>
      <w:r>
        <w:rPr>
          <w:rStyle w:val="VerbatimChar"/>
          <w:sz w:val="14"/>
        </w:rPr>
        <w:t xml:space="preserve">rectangle "WealthWise" {</w:t>
      </w:r>
      <w:r>
        <w:rPr>
          <w:sz w:val="14"/>
        </w:rPr>
        <w:br/>
      </w:r>
      <w:r>
        <w:rPr>
          <w:rStyle w:val="VerbatimChar"/>
          <w:sz w:val="14"/>
        </w:rPr>
        <w:t xml:space="preserve">  usecase "Register Account\n(FR-01)" as UC1</w:t>
      </w:r>
      <w:r>
        <w:rPr>
          <w:sz w:val="14"/>
        </w:rPr>
        <w:br/>
      </w:r>
      <w:r>
        <w:rPr>
          <w:rStyle w:val="VerbatimChar"/>
          <w:sz w:val="14"/>
        </w:rPr>
        <w:t xml:space="preserve">  usecase "Log In\n(FR-02)" as UC2</w:t>
      </w:r>
      <w:r>
        <w:rPr>
          <w:sz w:val="14"/>
        </w:rPr>
        <w:br/>
      </w:r>
      <w:r>
        <w:rPr>
          <w:rStyle w:val="VerbatimChar"/>
          <w:sz w:val="14"/>
        </w:rPr>
        <w:t xml:space="preserve">  usecase "Log Out\n(FR-03)" as UC3</w:t>
      </w:r>
      <w:r>
        <w:rPr>
          <w:sz w:val="14"/>
        </w:rPr>
        <w:br/>
      </w:r>
      <w:r>
        <w:rPr>
          <w:rStyle w:val="VerbatimChar"/>
          <w:sz w:val="14"/>
        </w:rPr>
        <w:t xml:space="preserve">  usecase "Manage Assets\n(FR-05)" as UC5</w:t>
      </w:r>
      <w:r>
        <w:rPr>
          <w:sz w:val="14"/>
        </w:rPr>
        <w:br/>
      </w:r>
      <w:r>
        <w:rPr>
          <w:rStyle w:val="VerbatimChar"/>
          <w:sz w:val="14"/>
        </w:rPr>
        <w:t xml:space="preserve">  usecase "View Valuation History\n(FR-06)" as UC6</w:t>
      </w:r>
      <w:r>
        <w:rPr>
          <w:sz w:val="14"/>
        </w:rPr>
        <w:br/>
      </w:r>
      <w:r>
        <w:rPr>
          <w:rStyle w:val="VerbatimChar"/>
          <w:sz w:val="14"/>
        </w:rPr>
        <w:t xml:space="preserve">  usecase "Manage Loans\n(FR-07, FR-08)" as UC7</w:t>
      </w:r>
      <w:r>
        <w:rPr>
          <w:sz w:val="14"/>
        </w:rPr>
        <w:br/>
      </w:r>
      <w:r>
        <w:rPr>
          <w:rStyle w:val="VerbatimChar"/>
          <w:sz w:val="14"/>
        </w:rPr>
        <w:t xml:space="preserve">  usecase "Generate EMI Schedule\n(FR-07)" as UC7b</w:t>
      </w:r>
      <w:r>
        <w:rPr>
          <w:sz w:val="14"/>
        </w:rPr>
        <w:br/>
      </w:r>
      <w:r>
        <w:rPr>
          <w:rStyle w:val="VerbatimChar"/>
          <w:sz w:val="14"/>
        </w:rPr>
        <w:t xml:space="preserve">  usecase "View Amortisation Schedule\n(FR-08)" as UC8</w:t>
      </w:r>
      <w:r>
        <w:rPr>
          <w:sz w:val="14"/>
        </w:rPr>
        <w:br/>
      </w:r>
      <w:r>
        <w:rPr>
          <w:rStyle w:val="VerbatimChar"/>
          <w:sz w:val="14"/>
        </w:rPr>
        <w:t xml:space="preserve">  usecase "Mark EMI Paid\n(FR-09)" as UC9</w:t>
      </w:r>
      <w:r>
        <w:rPr>
          <w:sz w:val="14"/>
        </w:rPr>
        <w:br/>
      </w:r>
      <w:r>
        <w:rPr>
          <w:rStyle w:val="VerbatimChar"/>
          <w:sz w:val="14"/>
        </w:rPr>
        <w:t xml:space="preserve">  usecase "Record Ledger Entry" as UC9b</w:t>
      </w:r>
      <w:r>
        <w:rPr>
          <w:sz w:val="14"/>
        </w:rPr>
        <w:br/>
      </w:r>
      <w:r>
        <w:rPr>
          <w:rStyle w:val="VerbatimChar"/>
          <w:sz w:val="14"/>
        </w:rPr>
        <w:t xml:space="preserve">  usecase "View Upcoming / Overdue Dues\n(FR-10)" as UC10</w:t>
      </w:r>
      <w:r>
        <w:rPr>
          <w:sz w:val="14"/>
        </w:rPr>
        <w:br/>
      </w:r>
      <w:r>
        <w:rPr>
          <w:rStyle w:val="VerbatimChar"/>
          <w:sz w:val="14"/>
        </w:rPr>
        <w:t xml:space="preserve">  usecase "Simulate Prepayment\n(FR-11)" as UC11</w:t>
      </w:r>
      <w:r>
        <w:rPr>
          <w:sz w:val="14"/>
        </w:rPr>
        <w:br/>
      </w:r>
      <w:r>
        <w:rPr>
          <w:rStyle w:val="VerbatimChar"/>
          <w:sz w:val="14"/>
        </w:rPr>
        <w:t xml:space="preserve">  usecase "Apply Prepayment\n(FR-11)" as UC11b</w:t>
      </w:r>
      <w:r>
        <w:rPr>
          <w:sz w:val="14"/>
        </w:rPr>
        <w:br/>
      </w:r>
      <w:r>
        <w:rPr>
          <w:rStyle w:val="VerbatimChar"/>
          <w:sz w:val="14"/>
        </w:rPr>
        <w:t xml:space="preserve">}</w:t>
      </w:r>
      <w:r>
        <w:rPr>
          <w:sz w:val="14"/>
        </w:rPr>
        <w:br/>
      </w:r>
      <w:r>
        <w:rPr>
          <w:rStyle w:val="VerbatimChar"/>
          <w:sz w:val="14"/>
        </w:rPr>
        <w:t xml:space="preserve">U --&gt; UC1</w:t>
      </w:r>
      <w:r>
        <w:rPr>
          <w:sz w:val="14"/>
        </w:rPr>
        <w:br/>
      </w:r>
      <w:r>
        <w:rPr>
          <w:rStyle w:val="VerbatimChar"/>
          <w:sz w:val="14"/>
        </w:rPr>
        <w:t xml:space="preserve">U --&gt; UC2</w:t>
      </w:r>
      <w:r>
        <w:rPr>
          <w:sz w:val="14"/>
        </w:rPr>
        <w:br/>
      </w:r>
      <w:r>
        <w:rPr>
          <w:rStyle w:val="VerbatimChar"/>
          <w:sz w:val="14"/>
        </w:rPr>
        <w:t xml:space="preserve">U --&gt; UC3</w:t>
      </w:r>
      <w:r>
        <w:rPr>
          <w:sz w:val="14"/>
        </w:rPr>
        <w:br/>
      </w:r>
      <w:r>
        <w:rPr>
          <w:rStyle w:val="VerbatimChar"/>
          <w:sz w:val="14"/>
        </w:rPr>
        <w:t xml:space="preserve">U --&gt; UC5</w:t>
      </w:r>
      <w:r>
        <w:rPr>
          <w:sz w:val="14"/>
        </w:rPr>
        <w:br/>
      </w:r>
      <w:r>
        <w:rPr>
          <w:rStyle w:val="VerbatimChar"/>
          <w:sz w:val="14"/>
        </w:rPr>
        <w:t xml:space="preserve">U --&gt; UC7</w:t>
      </w:r>
      <w:r>
        <w:rPr>
          <w:sz w:val="14"/>
        </w:rPr>
        <w:br/>
      </w:r>
      <w:r>
        <w:rPr>
          <w:rStyle w:val="VerbatimChar"/>
          <w:sz w:val="14"/>
        </w:rPr>
        <w:t xml:space="preserve">U --&gt; UC8</w:t>
      </w:r>
      <w:r>
        <w:rPr>
          <w:sz w:val="14"/>
        </w:rPr>
        <w:br/>
      </w:r>
      <w:r>
        <w:rPr>
          <w:rStyle w:val="VerbatimChar"/>
          <w:sz w:val="14"/>
        </w:rPr>
        <w:t xml:space="preserve">U --&gt; UC9</w:t>
      </w:r>
      <w:r>
        <w:rPr>
          <w:sz w:val="14"/>
        </w:rPr>
        <w:br/>
      </w:r>
      <w:r>
        <w:rPr>
          <w:rStyle w:val="VerbatimChar"/>
          <w:sz w:val="14"/>
        </w:rPr>
        <w:t xml:space="preserve">U --&gt; UC10</w:t>
      </w:r>
      <w:r>
        <w:rPr>
          <w:sz w:val="14"/>
        </w:rPr>
        <w:br/>
      </w:r>
      <w:r>
        <w:rPr>
          <w:rStyle w:val="VerbatimChar"/>
          <w:sz w:val="14"/>
        </w:rPr>
        <w:t xml:space="preserve">U --&gt; UC11</w:t>
      </w:r>
      <w:r>
        <w:rPr>
          <w:sz w:val="14"/>
        </w:rPr>
        <w:br/>
      </w:r>
      <w:r>
        <w:rPr>
          <w:rStyle w:val="VerbatimChar"/>
          <w:sz w:val="14"/>
        </w:rPr>
        <w:t xml:space="preserve">UC5 &lt;.. UC6 : &lt;&lt;extend&gt;&gt;</w:t>
      </w:r>
      <w:r>
        <w:rPr>
          <w:sz w:val="14"/>
        </w:rPr>
        <w:br/>
      </w:r>
      <w:r>
        <w:rPr>
          <w:rStyle w:val="VerbatimChar"/>
          <w:sz w:val="14"/>
        </w:rPr>
        <w:t xml:space="preserve">UC7 ..&gt; UC7b : &lt;&lt;include&gt;&gt;</w:t>
      </w:r>
      <w:r>
        <w:rPr>
          <w:sz w:val="14"/>
        </w:rPr>
        <w:br/>
      </w:r>
      <w:r>
        <w:rPr>
          <w:rStyle w:val="VerbatimChar"/>
          <w:sz w:val="14"/>
        </w:rPr>
        <w:t xml:space="preserve">UC9 ..&gt; UC9b : &lt;&lt;include&gt;&gt;</w:t>
      </w:r>
      <w:r>
        <w:rPr>
          <w:sz w:val="14"/>
        </w:rPr>
        <w:br/>
      </w:r>
      <w:r>
        <w:rPr>
          <w:rStyle w:val="VerbatimChar"/>
          <w:sz w:val="14"/>
        </w:rPr>
        <w:t xml:space="preserve">UC11 &lt;.. UC11b : &lt;&lt;extend&gt;&gt;</w:t>
      </w:r>
      <w:r>
        <w:rPr>
          <w:sz w:val="14"/>
        </w:rPr>
        <w:br/>
      </w:r>
      <w:r>
        <w:rPr>
          <w:rStyle w:val="VerbatimChar"/>
          <w:sz w:val="14"/>
        </w:rPr>
        <w:t xml:space="preserve">@enduml</w:t>
      </w:r>
    </w:p>
    <w:p>
      <w:pPr>
        <w:pStyle w:val="SourceCode"/>
      </w:pPr>
      <w:r>
        <w:rPr>
          <w:rStyle w:val="VerbatimChar"/>
          <w:sz w:val="14"/>
        </w:rPr>
        <w:t xml:space="preserve">@startuml UC-D2</w:t>
      </w:r>
      <w:r>
        <w:rPr>
          <w:sz w:val="14"/>
        </w:rPr>
        <w:br/>
      </w:r>
      <w:r>
        <w:rPr>
          <w:rStyle w:val="VerbatimChar"/>
          <w:sz w:val="14"/>
        </w:rPr>
        <w:t xml:space="preserve">' (shared skinparams omitted)</w:t>
      </w:r>
      <w:r>
        <w:rPr>
          <w:sz w:val="14"/>
        </w:rPr>
        <w:br/>
      </w:r>
      <w:r>
        <w:rPr>
          <w:rStyle w:val="VerbatimChar"/>
          <w:sz w:val="14"/>
        </w:rPr>
        <w:t xml:space="preserve">left to right direction</w:t>
      </w:r>
      <w:r>
        <w:rPr>
          <w:sz w:val="14"/>
        </w:rPr>
        <w:br/>
      </w:r>
      <w:r>
        <w:rPr>
          <w:rStyle w:val="VerbatimChar"/>
          <w:sz w:val="14"/>
        </w:rPr>
        <w:t xml:space="preserve">title UC-D2 — Ledger, Import, Documents, Analytics and Reports</w:t>
      </w:r>
      <w:r>
        <w:rPr>
          <w:sz w:val="14"/>
        </w:rPr>
        <w:br/>
      </w:r>
      <w:r>
        <w:rPr>
          <w:rStyle w:val="VerbatimChar"/>
          <w:sz w:val="14"/>
        </w:rPr>
        <w:t xml:space="preserve">actor "Individual User" as U</w:t>
      </w:r>
      <w:r>
        <w:rPr>
          <w:sz w:val="14"/>
        </w:rPr>
        <w:br/>
      </w:r>
      <w:r>
        <w:rPr>
          <w:rStyle w:val="VerbatimChar"/>
          <w:sz w:val="14"/>
        </w:rPr>
        <w:t xml:space="preserve">rectangle "WealthWise" {</w:t>
      </w:r>
      <w:r>
        <w:rPr>
          <w:sz w:val="14"/>
        </w:rPr>
        <w:br/>
      </w:r>
      <w:r>
        <w:rPr>
          <w:rStyle w:val="VerbatimChar"/>
          <w:sz w:val="14"/>
        </w:rPr>
        <w:t xml:space="preserve">  usecase "Record / Delete Transaction\n(FR-12)" as T1</w:t>
      </w:r>
      <w:r>
        <w:rPr>
          <w:sz w:val="14"/>
        </w:rPr>
        <w:br/>
      </w:r>
      <w:r>
        <w:rPr>
          <w:rStyle w:val="VerbatimChar"/>
          <w:sz w:val="14"/>
        </w:rPr>
        <w:t xml:space="preserve">  usecase "Search Ledger\n(FR-13)" as T2</w:t>
      </w:r>
      <w:r>
        <w:rPr>
          <w:sz w:val="14"/>
        </w:rPr>
        <w:br/>
      </w:r>
      <w:r>
        <w:rPr>
          <w:rStyle w:val="VerbatimChar"/>
          <w:sz w:val="14"/>
        </w:rPr>
        <w:t xml:space="preserve">  usecase "Import Bank Statement CSV\n(FR-14)" as I1</w:t>
      </w:r>
      <w:r>
        <w:rPr>
          <w:sz w:val="14"/>
        </w:rPr>
        <w:br/>
      </w:r>
      <w:r>
        <w:rPr>
          <w:rStyle w:val="VerbatimChar"/>
          <w:sz w:val="14"/>
        </w:rPr>
        <w:t xml:space="preserve">  usecase "Categorise Transactions\n(FR-15)" as I2</w:t>
      </w:r>
      <w:r>
        <w:rPr>
          <w:sz w:val="14"/>
        </w:rPr>
        <w:br/>
      </w:r>
      <w:r>
        <w:rPr>
          <w:rStyle w:val="VerbatimChar"/>
          <w:sz w:val="14"/>
        </w:rPr>
        <w:t xml:space="preserve">  usecase "Manage Categorisation Rules\n(FR-15)" as I3</w:t>
      </w:r>
      <w:r>
        <w:rPr>
          <w:sz w:val="14"/>
        </w:rPr>
        <w:br/>
      </w:r>
      <w:r>
        <w:rPr>
          <w:rStyle w:val="VerbatimChar"/>
          <w:sz w:val="14"/>
        </w:rPr>
        <w:t xml:space="preserve">  usecase "Scan Receipt\n(FR-16)" as R1</w:t>
      </w:r>
      <w:r>
        <w:rPr>
          <w:sz w:val="14"/>
        </w:rPr>
        <w:br/>
      </w:r>
      <w:r>
        <w:rPr>
          <w:rStyle w:val="VerbatimChar"/>
          <w:sz w:val="14"/>
        </w:rPr>
        <w:t xml:space="preserve">  usecase "Confirm Receipt Expense\n(FR-16)" as R2</w:t>
      </w:r>
      <w:r>
        <w:rPr>
          <w:sz w:val="14"/>
        </w:rPr>
        <w:br/>
      </w:r>
      <w:r>
        <w:rPr>
          <w:rStyle w:val="VerbatimChar"/>
          <w:sz w:val="14"/>
        </w:rPr>
        <w:t xml:space="preserve">  usecase "Manage Document Vault\n(FR-17)" as V1</w:t>
      </w:r>
      <w:r>
        <w:rPr>
          <w:sz w:val="14"/>
        </w:rPr>
        <w:br/>
      </w:r>
      <w:r>
        <w:rPr>
          <w:rStyle w:val="VerbatimChar"/>
          <w:sz w:val="14"/>
        </w:rPr>
        <w:t xml:space="preserve">  usecase "View Dashboard\n(FR-18)" as D1</w:t>
      </w:r>
      <w:r>
        <w:rPr>
          <w:sz w:val="14"/>
        </w:rPr>
        <w:br/>
      </w:r>
      <w:r>
        <w:rPr>
          <w:rStyle w:val="VerbatimChar"/>
          <w:sz w:val="14"/>
        </w:rPr>
        <w:t xml:space="preserve">  usecase "View Derived Credit Score\n(FR-19)" as S1</w:t>
      </w:r>
      <w:r>
        <w:rPr>
          <w:sz w:val="14"/>
        </w:rPr>
        <w:br/>
      </w:r>
      <w:r>
        <w:rPr>
          <w:rStyle w:val="VerbatimChar"/>
          <w:sz w:val="14"/>
        </w:rPr>
        <w:t xml:space="preserve">  usecase "Compare Loan Products\n(FR-20)" as S2</w:t>
      </w:r>
      <w:r>
        <w:rPr>
          <w:sz w:val="14"/>
        </w:rPr>
        <w:br/>
      </w:r>
      <w:r>
        <w:rPr>
          <w:rStyle w:val="VerbatimChar"/>
          <w:sz w:val="14"/>
        </w:rPr>
        <w:t xml:space="preserve">  usecase "Run What-if Projection\n(FR-21)" as S3</w:t>
      </w:r>
      <w:r>
        <w:rPr>
          <w:sz w:val="14"/>
        </w:rPr>
        <w:br/>
      </w:r>
      <w:r>
        <w:rPr>
          <w:rStyle w:val="VerbatimChar"/>
          <w:sz w:val="14"/>
        </w:rPr>
        <w:t xml:space="preserve">  usecase "View Financial-Year Report\n(FR-22)" as P1</w:t>
      </w:r>
      <w:r>
        <w:rPr>
          <w:sz w:val="14"/>
        </w:rPr>
        <w:br/>
      </w:r>
      <w:r>
        <w:rPr>
          <w:rStyle w:val="VerbatimChar"/>
          <w:sz w:val="14"/>
        </w:rPr>
        <w:t xml:space="preserve">  usecase "Download PDF Statement\n(FR-23)" as P2</w:t>
      </w:r>
      <w:r>
        <w:rPr>
          <w:sz w:val="14"/>
        </w:rPr>
        <w:br/>
      </w:r>
      <w:r>
        <w:rPr>
          <w:rStyle w:val="VerbatimChar"/>
          <w:sz w:val="14"/>
        </w:rPr>
        <w:t xml:space="preserve">  usecase "View / Read Notifications\n(FR-24)" as N1</w:t>
      </w:r>
      <w:r>
        <w:rPr>
          <w:sz w:val="14"/>
        </w:rPr>
        <w:br/>
      </w:r>
      <w:r>
        <w:rPr>
          <w:rStyle w:val="VerbatimChar"/>
          <w:sz w:val="14"/>
        </w:rPr>
        <w:t xml:space="preserve">}</w:t>
      </w:r>
      <w:r>
        <w:rPr>
          <w:sz w:val="14"/>
        </w:rPr>
        <w:br/>
      </w:r>
      <w:r>
        <w:rPr>
          <w:rStyle w:val="VerbatimChar"/>
          <w:sz w:val="14"/>
        </w:rPr>
        <w:t xml:space="preserve">U --&gt; T1</w:t>
      </w:r>
      <w:r>
        <w:rPr>
          <w:sz w:val="14"/>
        </w:rPr>
        <w:br/>
      </w:r>
      <w:r>
        <w:rPr>
          <w:rStyle w:val="VerbatimChar"/>
          <w:sz w:val="14"/>
        </w:rPr>
        <w:t xml:space="preserve">U --&gt; T2</w:t>
      </w:r>
      <w:r>
        <w:rPr>
          <w:sz w:val="14"/>
        </w:rPr>
        <w:br/>
      </w:r>
      <w:r>
        <w:rPr>
          <w:rStyle w:val="VerbatimChar"/>
          <w:sz w:val="14"/>
        </w:rPr>
        <w:t xml:space="preserve">U --&gt; I1</w:t>
      </w:r>
      <w:r>
        <w:rPr>
          <w:sz w:val="14"/>
        </w:rPr>
        <w:br/>
      </w:r>
      <w:r>
        <w:rPr>
          <w:rStyle w:val="VerbatimChar"/>
          <w:sz w:val="14"/>
        </w:rPr>
        <w:t xml:space="preserve">U --&gt; I3</w:t>
      </w:r>
      <w:r>
        <w:rPr>
          <w:sz w:val="14"/>
        </w:rPr>
        <w:br/>
      </w:r>
      <w:r>
        <w:rPr>
          <w:rStyle w:val="VerbatimChar"/>
          <w:sz w:val="14"/>
        </w:rPr>
        <w:t xml:space="preserve">U --&gt; R1</w:t>
      </w:r>
      <w:r>
        <w:rPr>
          <w:sz w:val="14"/>
        </w:rPr>
        <w:br/>
      </w:r>
      <w:r>
        <w:rPr>
          <w:rStyle w:val="VerbatimChar"/>
          <w:sz w:val="14"/>
        </w:rPr>
        <w:t xml:space="preserve">U --&gt; V1</w:t>
      </w:r>
      <w:r>
        <w:rPr>
          <w:sz w:val="14"/>
        </w:rPr>
        <w:br/>
      </w:r>
      <w:r>
        <w:rPr>
          <w:rStyle w:val="VerbatimChar"/>
          <w:sz w:val="14"/>
        </w:rPr>
        <w:t xml:space="preserve">U --&gt; D1</w:t>
      </w:r>
      <w:r>
        <w:rPr>
          <w:sz w:val="14"/>
        </w:rPr>
        <w:br/>
      </w:r>
      <w:r>
        <w:rPr>
          <w:rStyle w:val="VerbatimChar"/>
          <w:sz w:val="14"/>
        </w:rPr>
        <w:t xml:space="preserve">U --&gt; S1</w:t>
      </w:r>
      <w:r>
        <w:rPr>
          <w:sz w:val="14"/>
        </w:rPr>
        <w:br/>
      </w:r>
      <w:r>
        <w:rPr>
          <w:rStyle w:val="VerbatimChar"/>
          <w:sz w:val="14"/>
        </w:rPr>
        <w:t xml:space="preserve">U --&gt; S2</w:t>
      </w:r>
      <w:r>
        <w:rPr>
          <w:sz w:val="14"/>
        </w:rPr>
        <w:br/>
      </w:r>
      <w:r>
        <w:rPr>
          <w:rStyle w:val="VerbatimChar"/>
          <w:sz w:val="14"/>
        </w:rPr>
        <w:t xml:space="preserve">U --&gt; S3</w:t>
      </w:r>
      <w:r>
        <w:rPr>
          <w:sz w:val="14"/>
        </w:rPr>
        <w:br/>
      </w:r>
      <w:r>
        <w:rPr>
          <w:rStyle w:val="VerbatimChar"/>
          <w:sz w:val="14"/>
        </w:rPr>
        <w:t xml:space="preserve">U --&gt; P1</w:t>
      </w:r>
      <w:r>
        <w:rPr>
          <w:sz w:val="14"/>
        </w:rPr>
        <w:br/>
      </w:r>
      <w:r>
        <w:rPr>
          <w:rStyle w:val="VerbatimChar"/>
          <w:sz w:val="14"/>
        </w:rPr>
        <w:t xml:space="preserve">U --&gt; P2</w:t>
      </w:r>
      <w:r>
        <w:rPr>
          <w:sz w:val="14"/>
        </w:rPr>
        <w:br/>
      </w:r>
      <w:r>
        <w:rPr>
          <w:rStyle w:val="VerbatimChar"/>
          <w:sz w:val="14"/>
        </w:rPr>
        <w:t xml:space="preserve">U --&gt; N1</w:t>
      </w:r>
      <w:r>
        <w:rPr>
          <w:sz w:val="14"/>
        </w:rPr>
        <w:br/>
      </w:r>
      <w:r>
        <w:rPr>
          <w:rStyle w:val="VerbatimChar"/>
          <w:sz w:val="14"/>
        </w:rPr>
        <w:t xml:space="preserve">I1 ..&gt; I2 : &lt;&lt;include&gt;&gt;</w:t>
      </w:r>
      <w:r>
        <w:rPr>
          <w:sz w:val="14"/>
        </w:rPr>
        <w:br/>
      </w:r>
      <w:r>
        <w:rPr>
          <w:rStyle w:val="VerbatimChar"/>
          <w:sz w:val="14"/>
        </w:rPr>
        <w:t xml:space="preserve">R1 ..&gt; I2 : &lt;&lt;include&gt;&gt;</w:t>
      </w:r>
      <w:r>
        <w:rPr>
          <w:sz w:val="14"/>
        </w:rPr>
        <w:br/>
      </w:r>
      <w:r>
        <w:rPr>
          <w:rStyle w:val="VerbatimChar"/>
          <w:sz w:val="14"/>
        </w:rPr>
        <w:t xml:space="preserve">R1 &lt;.. R2 : &lt;&lt;extend&gt;&gt;</w:t>
      </w:r>
      <w:r>
        <w:rPr>
          <w:sz w:val="14"/>
        </w:rPr>
        <w:br/>
      </w:r>
      <w:r>
        <w:rPr>
          <w:rStyle w:val="VerbatimChar"/>
          <w:sz w:val="14"/>
        </w:rPr>
        <w:t xml:space="preserve">R2 ..&gt; V1 : &lt;&lt;extend&gt;&gt;\n(keep image)</w:t>
      </w:r>
      <w:r>
        <w:rPr>
          <w:sz w:val="14"/>
        </w:rPr>
        <w:br/>
      </w:r>
      <w:r>
        <w:rPr>
          <w:rStyle w:val="VerbatimChar"/>
          <w:sz w:val="14"/>
        </w:rPr>
        <w:t xml:space="preserve">@enduml</w:t>
      </w:r>
    </w:p>
    <w:p>
      <w:pPr>
        <w:pStyle w:val="SourceCode"/>
      </w:pPr>
      <w:r>
        <w:rPr>
          <w:rStyle w:val="VerbatimChar"/>
          <w:sz w:val="14"/>
        </w:rPr>
        <w:t xml:space="preserve">@startuml UC-D3</w:t>
      </w:r>
      <w:r>
        <w:rPr>
          <w:sz w:val="14"/>
        </w:rPr>
        <w:br/>
      </w:r>
      <w:r>
        <w:rPr>
          <w:rStyle w:val="VerbatimChar"/>
          <w:sz w:val="14"/>
        </w:rPr>
        <w:t xml:space="preserve">' (shared skinparams omitted)</w:t>
      </w:r>
      <w:r>
        <w:rPr>
          <w:sz w:val="14"/>
        </w:rPr>
        <w:br/>
      </w:r>
      <w:r>
        <w:rPr>
          <w:rStyle w:val="VerbatimChar"/>
          <w:sz w:val="14"/>
        </w:rPr>
        <w:t xml:space="preserve">left to right direction</w:t>
      </w:r>
      <w:r>
        <w:rPr>
          <w:sz w:val="14"/>
        </w:rPr>
        <w:br/>
      </w:r>
      <w:r>
        <w:rPr>
          <w:rStyle w:val="VerbatimChar"/>
          <w:sz w:val="14"/>
        </w:rPr>
        <w:t xml:space="preserve">title UC-D3 — Advisor Oversight and Market News</w:t>
      </w:r>
      <w:r>
        <w:rPr>
          <w:sz w:val="14"/>
        </w:rPr>
        <w:br/>
      </w:r>
      <w:r>
        <w:rPr>
          <w:rStyle w:val="VerbatimChar"/>
          <w:sz w:val="14"/>
        </w:rPr>
        <w:t xml:space="preserve">actor "Individual User" as U</w:t>
      </w:r>
      <w:r>
        <w:rPr>
          <w:sz w:val="14"/>
        </w:rPr>
        <w:br/>
      </w:r>
      <w:r>
        <w:rPr>
          <w:rStyle w:val="VerbatimChar"/>
          <w:sz w:val="14"/>
        </w:rPr>
        <w:t xml:space="preserve">actor "Advisor" as A</w:t>
      </w:r>
      <w:r>
        <w:rPr>
          <w:sz w:val="14"/>
        </w:rPr>
        <w:br/>
      </w:r>
      <w:r>
        <w:rPr>
          <w:rStyle w:val="VerbatimChar"/>
          <w:sz w:val="14"/>
        </w:rPr>
        <w:t xml:space="preserve">actor "RBI Press-Release\nRSS Feed" as RBI &lt;&lt;external system&gt;&gt;</w:t>
      </w:r>
      <w:r>
        <w:rPr>
          <w:sz w:val="14"/>
        </w:rPr>
        <w:br/>
      </w:r>
      <w:r>
        <w:rPr>
          <w:rStyle w:val="VerbatimChar"/>
          <w:sz w:val="14"/>
        </w:rPr>
        <w:t xml:space="preserve">U &lt;|-- A</w:t>
      </w:r>
      <w:r>
        <w:rPr>
          <w:sz w:val="14"/>
        </w:rPr>
        <w:br/>
      </w:r>
      <w:r>
        <w:rPr>
          <w:rStyle w:val="VerbatimChar"/>
          <w:sz w:val="14"/>
        </w:rPr>
        <w:t xml:space="preserve">rectangle "WealthWise" {</w:t>
      </w:r>
      <w:r>
        <w:rPr>
          <w:sz w:val="14"/>
        </w:rPr>
        <w:br/>
      </w:r>
      <w:r>
        <w:rPr>
          <w:rStyle w:val="VerbatimChar"/>
          <w:sz w:val="14"/>
        </w:rPr>
        <w:t xml:space="preserve">  usecase "Choose / Remove\nMy Advisor (FR-26)" as A0</w:t>
      </w:r>
      <w:r>
        <w:rPr>
          <w:sz w:val="14"/>
        </w:rPr>
        <w:br/>
      </w:r>
      <w:r>
        <w:rPr>
          <w:rStyle w:val="VerbatimChar"/>
          <w:sz w:val="14"/>
        </w:rPr>
        <w:t xml:space="preserve">  usecase "View Assigned Clients\n(FR-26)" as A1</w:t>
      </w:r>
      <w:r>
        <w:rPr>
          <w:sz w:val="14"/>
        </w:rPr>
        <w:br/>
      </w:r>
      <w:r>
        <w:rPr>
          <w:rStyle w:val="VerbatimChar"/>
          <w:sz w:val="14"/>
        </w:rPr>
        <w:t xml:space="preserve">  usecase "View Client's Assets\nand Loans (FR-26)" as A2</w:t>
      </w:r>
      <w:r>
        <w:rPr>
          <w:sz w:val="14"/>
        </w:rPr>
        <w:br/>
      </w:r>
      <w:r>
        <w:rPr>
          <w:rStyle w:val="VerbatimChar"/>
          <w:sz w:val="14"/>
        </w:rPr>
        <w:t xml:space="preserve">  usecase "Browse News Feed\n(FR-25)" as N1</w:t>
      </w:r>
      <w:r>
        <w:rPr>
          <w:sz w:val="14"/>
        </w:rPr>
        <w:br/>
      </w:r>
      <w:r>
        <w:rPr>
          <w:rStyle w:val="VerbatimChar"/>
          <w:sz w:val="14"/>
        </w:rPr>
        <w:t xml:space="preserve">  usecase "View Rate Impact on\nOwn Floating-Rate Loans (FR-25)" as N2</w:t>
      </w:r>
      <w:r>
        <w:rPr>
          <w:sz w:val="14"/>
        </w:rPr>
        <w:br/>
      </w:r>
      <w:r>
        <w:rPr>
          <w:rStyle w:val="VerbatimChar"/>
          <w:sz w:val="14"/>
        </w:rPr>
        <w:t xml:space="preserve">  usecase "Refresh News Feed\n(FR-25)" as N3</w:t>
      </w:r>
      <w:r>
        <w:rPr>
          <w:sz w:val="14"/>
        </w:rPr>
        <w:br/>
      </w:r>
      <w:r>
        <w:rPr>
          <w:rStyle w:val="VerbatimChar"/>
          <w:sz w:val="14"/>
        </w:rPr>
        <w:t xml:space="preserve">}</w:t>
      </w:r>
      <w:r>
        <w:rPr>
          <w:sz w:val="14"/>
        </w:rPr>
        <w:br/>
      </w:r>
      <w:r>
        <w:rPr>
          <w:rStyle w:val="VerbatimChar"/>
          <w:sz w:val="14"/>
        </w:rPr>
        <w:t xml:space="preserve">A --&gt; A1</w:t>
      </w:r>
      <w:r>
        <w:rPr>
          <w:sz w:val="14"/>
        </w:rPr>
        <w:br/>
      </w:r>
      <w:r>
        <w:rPr>
          <w:rStyle w:val="VerbatimChar"/>
          <w:sz w:val="14"/>
        </w:rPr>
        <w:t xml:space="preserve">A --&gt; A2</w:t>
      </w:r>
      <w:r>
        <w:rPr>
          <w:sz w:val="14"/>
        </w:rPr>
        <w:br/>
      </w:r>
      <w:r>
        <w:rPr>
          <w:rStyle w:val="VerbatimChar"/>
          <w:sz w:val="14"/>
        </w:rPr>
        <w:t xml:space="preserve">A --&gt; N3</w:t>
      </w:r>
      <w:r>
        <w:rPr>
          <w:sz w:val="14"/>
        </w:rPr>
        <w:br/>
      </w:r>
      <w:r>
        <w:rPr>
          <w:rStyle w:val="VerbatimChar"/>
          <w:sz w:val="14"/>
        </w:rPr>
        <w:t xml:space="preserve">U --&gt; A0</w:t>
      </w:r>
      <w:r>
        <w:rPr>
          <w:sz w:val="14"/>
        </w:rPr>
        <w:br/>
      </w:r>
      <w:r>
        <w:rPr>
          <w:rStyle w:val="VerbatimChar"/>
          <w:sz w:val="14"/>
        </w:rPr>
        <w:t xml:space="preserve">U --&gt; N1</w:t>
      </w:r>
      <w:r>
        <w:rPr>
          <w:sz w:val="14"/>
        </w:rPr>
        <w:br/>
      </w:r>
      <w:r>
        <w:rPr>
          <w:rStyle w:val="VerbatimChar"/>
          <w:sz w:val="14"/>
        </w:rPr>
        <w:t xml:space="preserve">U --&gt; N2</w:t>
      </w:r>
      <w:r>
        <w:rPr>
          <w:sz w:val="14"/>
        </w:rPr>
        <w:br/>
      </w:r>
      <w:r>
        <w:rPr>
          <w:rStyle w:val="VerbatimChar"/>
          <w:sz w:val="14"/>
        </w:rPr>
        <w:t xml:space="preserve">N3 --&gt; RBI</w:t>
      </w:r>
      <w:r>
        <w:rPr>
          <w:sz w:val="14"/>
        </w:rPr>
        <w:br/>
      </w:r>
      <w:r>
        <w:rPr>
          <w:rStyle w:val="VerbatimChar"/>
          <w:sz w:val="14"/>
        </w:rPr>
        <w:t xml:space="preserve">N1 ..&gt; N2 : &lt;&lt;extend&gt;&gt;</w:t>
      </w:r>
      <w:r>
        <w:rPr>
          <w:sz w:val="14"/>
        </w:rPr>
        <w:br/>
      </w:r>
      <w:r>
        <w:rPr>
          <w:rStyle w:val="VerbatimChar"/>
          <w:sz w:val="14"/>
        </w:rPr>
        <w:t xml:space="preserve">@enduml</w:t>
      </w:r>
    </w:p>
    <w:bookmarkEnd w:id="70"/>
    <w:sectPr>
      <w:pgSz w:w="11909" w:h="16834"/>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rPr>
  </w:style>
  <w:style w:styleId="BodyText" w:type="paragraph">
    <w:name w:val="Body Text"/>
    <w:basedOn w:val="Normal"/>
    <w:link w:val="BodyTextChar"/>
    <w:pPr>
      <w:spacing w:after="180" w:before="180"/>
    </w:pPr>
    <w:qFormat/>
    <w:rPr>
      <w:rFonts w:ascii="Arial" w:hAnsi="Arial" w:cs="Arial" w:eastAsia="Arial"/>
    </w:rPr>
  </w:style>
  <w:style w:customStyle="1" w:styleId="FirstParagraph" w:type="paragraph">
    <w:name w:val="First Paragraph"/>
    <w:basedOn w:val="BodyText"/>
    <w:next w:val="BodyText"/>
    <w:qFormat/>
    <w:rPr>
      <w:rFonts w:ascii="Arial" w:hAnsi="Arial" w:cs="Arial" w:eastAsia="Arial"/>
    </w:rPr>
  </w:style>
  <w:style w:customStyle="1" w:styleId="Compact" w:type="paragraph">
    <w:name w:val="Compact"/>
    <w:basedOn w:val="BodyText"/>
    <w:qFormat/>
    <w:pPr>
      <w:spacing w:after="36" w:before="36"/>
    </w:pPr>
    <w:rPr>
      <w:rFonts w:ascii="Arial" w:hAnsi="Arial" w:cs="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2026-10-31T18:35:19Z</dcterms:created>
  <dcterms:modified xsi:type="dcterms:W3CDTF">2026-10-31T18:35:19Z</dcterms:modified>
</cp:coreProperties>
</file>

<file path=docProps/custom.xml><?xml version="1.0" encoding="utf-8"?>
<Properties xmlns="http://schemas.openxmlformats.org/officeDocument/2006/custom-properties" xmlns:vt="http://schemas.openxmlformats.org/officeDocument/2006/docPropsVTypes"/>
</file>