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Marketing Campaign ROI Analysis – GlowUp</w:t>
      </w:r>
    </w:p>
    <w:p>
      <w:r>
        <w:br/>
        <w:t>Marketing Campaign ROI Analysis Report – GlowUp</w:t>
        <w:br/>
        <w:br/>
        <w:t>Highest ROI Campaign: Email Boost</w:t>
        <w:br/>
        <w:t>Lowest ROI Campaign: Diwali Blast</w:t>
        <w:br/>
        <w:br/>
        <w:t>Average ROI: 484.32%</w:t>
        <w:br/>
        <w:t>Average CPA: ₹391.78</w:t>
        <w:br/>
        <w:br/>
        <w:t>Insights:</w:t>
        <w:br/>
        <w:t>- Social Media &amp; Influencer campaigns performed strongest.</w:t>
        <w:br/>
        <w:t>- Email campaigns generated high leads but lower conversions.</w:t>
        <w:br/>
        <w:t>- Events produced good brand visibility but moderate ROI.</w:t>
        <w:br/>
        <w:br/>
        <w:t>Recommendations:</w:t>
        <w:br/>
        <w:t>1. Increase budget allocation to Social Media &amp; Influencer campaigns.</w:t>
        <w:br/>
        <w:t>2. Optimize Email campaign creative and targeting.</w:t>
        <w:br/>
        <w:t>3. Reduce low-impact Event costs and focus on digital channels.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