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Intelligent Breed Detection for Indian Cows and Buffaloes: An Ensemble Deep Learning Approach</w:t>
      </w:r>
    </w:p>
    <w:p>
      <w:pPr>
        <w:spacing w:before="80" w:after="60"/>
        <w:jc w:val="center"/>
      </w:pPr>
      <w:r>
        <w:rPr>
          <w:rFonts w:ascii="Times New Roman" w:cs="Times New Roman" w:eastAsia="Times New Roman" w:hAnsi="Times New Roman"/>
          <w:b/>
          <w:bCs/>
          <w:sz w:val="22"/>
          <w:szCs w:val="22"/>
        </w:rPr>
        <w:t xml:space="preserve">Devang Saini</w:t>
      </w:r>
    </w:p>
    <w:p>
      <w:pPr>
        <w:spacing w:before="0" w:after="40"/>
        <w:jc w:val="center"/>
      </w:pPr>
      <w:r>
        <w:rPr>
          <w:rFonts w:ascii="Times New Roman" w:cs="Times New Roman" w:eastAsia="Times New Roman" w:hAnsi="Times New Roman"/>
          <w:sz w:val="18"/>
          <w:szCs w:val="18"/>
        </w:rPr>
        <w:t xml:space="preserve">Department of Computer Science and Engineering</w:t>
      </w:r>
    </w:p>
    <w:p>
      <w:pPr>
        <w:spacing w:before="0" w:after="40"/>
        <w:jc w:val="center"/>
      </w:pPr>
      <w:r>
        <w:rPr>
          <w:rFonts w:ascii="Times New Roman" w:cs="Times New Roman" w:eastAsia="Times New Roman" w:hAnsi="Times New Roman"/>
          <w:sz w:val="18"/>
          <w:szCs w:val="18"/>
        </w:rPr>
        <w:t xml:space="preserve">Chitkara University, Punjab, India</w:t>
      </w:r>
    </w:p>
    <w:p>
      <w:pPr>
        <w:spacing w:before="0" w:after="100"/>
        <w:jc w:val="center"/>
      </w:pPr>
      <w:r>
        <w:rPr>
          <w:rFonts w:ascii="Times New Roman" w:cs="Times New Roman" w:eastAsia="Times New Roman" w:hAnsi="Times New Roman"/>
          <w:sz w:val="18"/>
          <w:szCs w:val="18"/>
        </w:rPr>
        <w:t xml:space="preserve">devang257.be22@chitkara.edu.in</w:t>
      </w:r>
    </w:p>
    <w:p>
      <w:pPr>
        <w:spacing w:before="40" w:after="60"/>
        <w:jc w:val="center"/>
      </w:pPr>
      <w:r>
        <w:rPr>
          <w:rFonts w:ascii="Times New Roman" w:cs="Times New Roman" w:eastAsia="Times New Roman" w:hAnsi="Times New Roman"/>
          <w:b/>
          <w:bCs/>
          <w:sz w:val="22"/>
          <w:szCs w:val="22"/>
        </w:rPr>
        <w:t xml:space="preserve">Nishant Kamboj</w:t>
      </w:r>
    </w:p>
    <w:p>
      <w:pPr>
        <w:spacing w:before="0" w:after="40"/>
        <w:jc w:val="center"/>
      </w:pPr>
      <w:r>
        <w:rPr>
          <w:rFonts w:ascii="Times New Roman" w:cs="Times New Roman" w:eastAsia="Times New Roman" w:hAnsi="Times New Roman"/>
          <w:sz w:val="18"/>
          <w:szCs w:val="18"/>
        </w:rPr>
        <w:t xml:space="preserve">Department of Computer Science and Engineering</w:t>
      </w:r>
    </w:p>
    <w:p>
      <w:pPr>
        <w:spacing w:before="0" w:after="40"/>
        <w:jc w:val="center"/>
      </w:pPr>
      <w:r>
        <w:rPr>
          <w:rFonts w:ascii="Times New Roman" w:cs="Times New Roman" w:eastAsia="Times New Roman" w:hAnsi="Times New Roman"/>
          <w:sz w:val="18"/>
          <w:szCs w:val="18"/>
        </w:rPr>
        <w:t xml:space="preserve">Chitkara University, Punjab, India</w:t>
      </w:r>
    </w:p>
    <w:p>
      <w:pPr>
        <w:spacing w:before="0" w:after="160"/>
        <w:jc w:val="center"/>
      </w:pPr>
      <w:r>
        <w:rPr>
          <w:rFonts w:ascii="Times New Roman" w:cs="Times New Roman" w:eastAsia="Times New Roman" w:hAnsi="Times New Roman"/>
          <w:sz w:val="18"/>
          <w:szCs w:val="18"/>
        </w:rPr>
        <w:t xml:space="preserve">nishant1990.be22@chitkara.edu.in</w:t>
      </w:r>
    </w:p>
    <w:p>
      <w:pPr>
        <w:spacing w:before="80" w:after="60"/>
        <w:jc w:val="center"/>
      </w:pPr>
      <w:r>
        <w:rPr>
          <w:rFonts w:ascii="Times New Roman" w:cs="Times New Roman" w:eastAsia="Times New Roman" w:hAnsi="Times New Roman"/>
          <w:b/>
          <w:bCs/>
          <w:sz w:val="20"/>
          <w:szCs w:val="20"/>
        </w:rPr>
        <w:t xml:space="preserve">Abstract</w:t>
      </w:r>
    </w:p>
    <w:p>
      <w:pPr>
        <w:spacing w:before="0" w:after="80" w:line="240"/>
        <w:jc w:val="both"/>
      </w:pPr>
      <w:r>
        <w:rPr>
          <w:rFonts w:ascii="Times New Roman" w:cs="Times New Roman" w:eastAsia="Times New Roman" w:hAnsi="Times New Roman"/>
          <w:sz w:val="18"/>
          <w:szCs w:val="18"/>
        </w:rPr>
        <w:t xml:space="preserve">India's livestock sector, constituting approximately 4.11% of national GDP, is underpinned by over fifty recognized indigenous breeds of cattle and buffaloes. Accurate breed identification is a prerequisite for optimized breeding programs, targeted healthcare, and enhanced dairy productivity. However, conventional manual identification methods are labor-intensive, inconsistent, and demand specialized expertise. This paper presents an ensemble deep learning framework that integrates a custom four-layer Convolutional Neural Network (CNN) with the pre-trained VGG16 architecture via transfer learning to automate the visual identification of ten prominent Indian indigenous cattle and buffalo breeds: Gir, Sahiwal, Red Sindhi, Tharparkar, Kankrej, Ongole, Murrah, Surti, Jaffarabadi, and Nili-Ravi. A dataset of 5,200 field-acquired and augmented images was compiled from open repositories including the National Dairy Research Institute (NDRI) and Kaggle. The ensemble employs a weighted-average probability fusion strategy, capitalizing on the CNN's fine-grained local feature extraction and VGG16's robust global structural representations. Rigorous preprocessing—including resizing to 224×224 pixels, per-channel normalization, and contrast-limited adaptive histogram equalization (CLAHE)—alongside augmentation strategies of random rotation, horizontal flipping, and color jitter, were applied to improve generalization under real-world field conditions. The proposed ensemble achieves a top-1 classification accuracy of 93.6%, a macro-averaged F1-score of 0.931, and a mean inference latency of 47 ms per image, outperforming baseline single-model implementations and comparable state-of-the-art methods by margins of 5.3% and 3.8%, respectively. The system is deployed as a lightweight Flask-based web application, enabling farmers, veterinarians, and dairy enterprises to obtain real-time breed predictions alongside confidence scores and breed-specific productivity metrics. This research contributes a reproducible, scalable, and field-validated intelligent tool that advances digital precision agriculture in the Indian livestock domain.</w:t>
      </w:r>
    </w:p>
    <w:p>
      <w:pPr>
        <w:spacing w:before="40" w:after="16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Ensemble Deep Learning; Convolutional Neural Networks; VGG16; Transfer Learning; Livestock Breed Identification; Precision Agriculture; Image Classification; Indian Indigenous Breeds.</w:t>
      </w:r>
    </w:p>
    <w:p>
      <w:pPr>
        <w:spacing w:before="120" w:after="80"/>
        <w:jc w:val="center"/>
      </w:pPr>
      <w:r>
        <w:rPr>
          <w:rFonts w:ascii="Times New Roman" w:cs="Times New Roman" w:eastAsia="Times New Roman" w:hAnsi="Times New Roman"/>
          <w:b/>
          <w:bCs/>
          <w:caps w:val="false"/>
          <w:sz w:val="22"/>
          <w:szCs w:val="22"/>
        </w:rPr>
        <w:t xml:space="preserve">I. INTRODUCTION</w:t>
      </w:r>
    </w:p>
    <w:p>
      <w:pPr>
        <w:spacing w:before="0" w:after="80" w:line="240"/>
        <w:ind w:firstLine="720"/>
        <w:jc w:val="both"/>
      </w:pPr>
      <w:r>
        <w:rPr>
          <w:rFonts w:ascii="Times New Roman" w:cs="Times New Roman" w:eastAsia="Times New Roman" w:hAnsi="Times New Roman"/>
          <w:b w:val="false"/>
          <w:bCs w:val="false"/>
          <w:sz w:val="20"/>
          <w:szCs w:val="20"/>
        </w:rPr>
        <w:t xml:space="preserve">India possesses the world's largest livestock population, accounting for approximately 535.78 million animals as per the 20th Livestock Census (2019). The cattle and buffalo sub-sectors alone contribute an estimated USD 165 billion annually to the national economy through milk, draught power, and allied products [1]. Within this ecosystem, indigenous breeds such as Gir, Sahiwal, and Murrah command premium value owing to their superior milk fat content, disease resistance, and adaptability to tropical climate conditions [2]. Accurate and timely identification of these breeds is therefore not merely an academic pursuit but a practical necessity with direct economic implications.</w:t>
      </w:r>
    </w:p>
    <w:p>
      <w:pPr>
        <w:spacing w:before="0" w:after="80" w:line="240"/>
        <w:ind w:firstLine="720"/>
        <w:jc w:val="both"/>
      </w:pPr>
      <w:r>
        <w:rPr>
          <w:rFonts w:ascii="Times New Roman" w:cs="Times New Roman" w:eastAsia="Times New Roman" w:hAnsi="Times New Roman"/>
          <w:b w:val="false"/>
          <w:bCs w:val="false"/>
          <w:sz w:val="20"/>
          <w:szCs w:val="20"/>
        </w:rPr>
        <w:t xml:space="preserve">Traditionally, breed identification has been performed by expert veterinarians and livestock officers through visual morphological assessment—a process that is inherently subjective, time-consuming, and unscalable across India's vast rural expanse. The inter-breed visual similarity, particularly among cross-bred or juvenile animals, further compounds the error rate. With an acute shortage of trained livestock professionals in rural India, there exists an unmet need for an automated, accessible, and reliable breed identification tool [3].</w:t>
      </w:r>
    </w:p>
    <w:p>
      <w:pPr>
        <w:spacing w:before="0" w:after="80" w:line="240"/>
        <w:ind w:firstLine="720"/>
        <w:jc w:val="both"/>
      </w:pPr>
      <w:r>
        <w:rPr>
          <w:rFonts w:ascii="Times New Roman" w:cs="Times New Roman" w:eastAsia="Times New Roman" w:hAnsi="Times New Roman"/>
          <w:b w:val="false"/>
          <w:bCs w:val="false"/>
          <w:sz w:val="20"/>
          <w:szCs w:val="20"/>
        </w:rPr>
        <w:t xml:space="preserve">The convergence of computer vision and deep learning has demonstrated remarkable success in fine-grained visual recognition (FGVR) tasks across agriculture, where inter-class differences are subtle and intra-class variation is high [4]. While several prior efforts have explored deep learning for cattle identification in Western breeds (e.g., Holstein, Angus), the domain of Indian indigenous cattle remains significantly understudied. The visual characteristics unique to Indian breeds—humped backs (indicative of Bos indicus genetics), dewlap morphology, horn curvature, and coat coloration—present both distinct opportunities and challenges for automated classification systems [5].</w:t>
      </w:r>
    </w:p>
    <w:p>
      <w:pPr>
        <w:spacing w:before="0" w:after="80" w:line="240"/>
        <w:ind w:firstLine="720"/>
        <w:jc w:val="both"/>
      </w:pPr>
      <w:r>
        <w:rPr>
          <w:rFonts w:ascii="Times New Roman" w:cs="Times New Roman" w:eastAsia="Times New Roman" w:hAnsi="Times New Roman"/>
          <w:b w:val="false"/>
          <w:bCs w:val="false"/>
          <w:sz w:val="20"/>
          <w:szCs w:val="20"/>
        </w:rPr>
        <w:t xml:space="preserve">Ensemble learning methods, which combine the predictive outputs of multiple base models, have consistently demonstrated superior generalization and robustness relative to individual models in medical imaging, satellite imagery analysis, and agricultural diagnostics [6]. Yet, the systematic application of ensemble deep learning to Indian livestock breed classification has not been rigorously investigated in the published literature.</w:t>
      </w:r>
    </w:p>
    <w:p>
      <w:pPr>
        <w:spacing w:before="0" w:after="80" w:line="240"/>
        <w:ind w:firstLine="720"/>
        <w:jc w:val="both"/>
      </w:pPr>
      <w:r>
        <w:rPr>
          <w:rFonts w:ascii="Times New Roman" w:cs="Times New Roman" w:eastAsia="Times New Roman" w:hAnsi="Times New Roman"/>
          <w:b w:val="false"/>
          <w:bCs w:val="false"/>
          <w:sz w:val="20"/>
          <w:szCs w:val="20"/>
        </w:rPr>
        <w:t xml:space="preserve">This paper addresses this gap by making the following primary contributions:</w:t>
      </w:r>
    </w:p>
    <w:p>
      <w:pPr>
        <w:spacing w:before="40" w:after="40"/>
        <w:ind w:left="720" w:hanging="360"/>
        <w:jc w:val="both"/>
      </w:pPr>
      <w:r>
        <w:rPr>
          <w:rFonts w:ascii="Times New Roman" w:cs="Times New Roman" w:eastAsia="Times New Roman" w:hAnsi="Times New Roman"/>
          <w:sz w:val="20"/>
          <w:szCs w:val="20"/>
        </w:rPr>
        <w:t xml:space="preserve">1)  A curated multi-breed Indian cattle and buffalo image dataset (5,200 images, 10 classes) compiled from field photography and open repositories, with systematic preprocessing and augmentation protocols.</w:t>
      </w:r>
    </w:p>
    <w:p>
      <w:pPr>
        <w:spacing w:before="40" w:after="40"/>
        <w:ind w:left="720" w:hanging="360"/>
        <w:jc w:val="both"/>
      </w:pPr>
      <w:r>
        <w:rPr>
          <w:rFonts w:ascii="Times New Roman" w:cs="Times New Roman" w:eastAsia="Times New Roman" w:hAnsi="Times New Roman"/>
          <w:sz w:val="20"/>
          <w:szCs w:val="20"/>
        </w:rPr>
        <w:t xml:space="preserve">2)  A novel weighted-average ensemble architecture that fuses a custom four-layer CNN with a fine-tuned VGG16 transfer learning model for breed classification.</w:t>
      </w:r>
    </w:p>
    <w:p>
      <w:pPr>
        <w:spacing w:before="40" w:after="40"/>
        <w:ind w:left="720" w:hanging="360"/>
        <w:jc w:val="both"/>
      </w:pPr>
      <w:r>
        <w:rPr>
          <w:rFonts w:ascii="Times New Roman" w:cs="Times New Roman" w:eastAsia="Times New Roman" w:hAnsi="Times New Roman"/>
          <w:sz w:val="20"/>
          <w:szCs w:val="20"/>
        </w:rPr>
        <w:t xml:space="preserve">3)  Comprehensive empirical evaluation demonstrating 93.6% top-1 accuracy and superior performance relative to baseline and published comparable systems.</w:t>
      </w:r>
    </w:p>
    <w:p>
      <w:pPr>
        <w:spacing w:before="40" w:after="100"/>
        <w:ind w:left="720" w:hanging="360"/>
        <w:jc w:val="both"/>
      </w:pPr>
      <w:r>
        <w:rPr>
          <w:rFonts w:ascii="Times New Roman" w:cs="Times New Roman" w:eastAsia="Times New Roman" w:hAnsi="Times New Roman"/>
          <w:sz w:val="20"/>
          <w:szCs w:val="20"/>
        </w:rPr>
        <w:t xml:space="preserve">4)  A deployed, farmer-accessible Flask web application for real-time breed identification with confidence scoring and breed-specific advisory output.</w:t>
      </w:r>
    </w:p>
    <w:p>
      <w:pPr>
        <w:spacing w:before="0" w:after="80" w:line="240"/>
        <w:ind w:firstLine="720"/>
        <w:jc w:val="both"/>
      </w:pPr>
      <w:r>
        <w:rPr>
          <w:rFonts w:ascii="Times New Roman" w:cs="Times New Roman" w:eastAsia="Times New Roman" w:hAnsi="Times New Roman"/>
          <w:b w:val="false"/>
          <w:bCs w:val="false"/>
          <w:sz w:val="20"/>
          <w:szCs w:val="20"/>
        </w:rPr>
        <w:t xml:space="preserve">The remainder of this paper is structured as follows: Section II reviews related work. Section III describes the dataset and preprocessing pipeline. Section IV details the proposed methodology. Section V presents experimental results. Section VI discusses implications and limitations. Section VII concludes and outlines future directions.</w:t>
      </w:r>
    </w:p>
    <w:p>
      <w:pPr>
        <w:spacing w:before="160" w:after="80"/>
        <w:jc w:val="center"/>
      </w:pPr>
      <w:r>
        <w:rPr>
          <w:rFonts w:ascii="Times New Roman" w:cs="Times New Roman" w:eastAsia="Times New Roman" w:hAnsi="Times New Roman"/>
          <w:b/>
          <w:bCs/>
          <w:sz w:val="22"/>
          <w:szCs w:val="22"/>
        </w:rPr>
        <w:t xml:space="preserve">II. RELATED WORK</w:t>
      </w:r>
    </w:p>
    <w:p>
      <w:pPr>
        <w:spacing w:before="160" w:after="80"/>
      </w:pPr>
      <w:r>
        <w:rPr>
          <w:rFonts w:ascii="Times New Roman" w:cs="Times New Roman" w:eastAsia="Times New Roman" w:hAnsi="Times New Roman"/>
          <w:b/>
          <w:bCs/>
          <w:caps w:val="false"/>
          <w:sz w:val="20"/>
          <w:szCs w:val="20"/>
        </w:rPr>
        <w:t xml:space="preserve">A. Deep Learning in Livestock Identification</w:t>
      </w:r>
    </w:p>
    <w:p>
      <w:pPr>
        <w:spacing w:before="0" w:after="80" w:line="240"/>
        <w:ind w:firstLine="720"/>
        <w:jc w:val="both"/>
      </w:pPr>
      <w:r>
        <w:rPr>
          <w:rFonts w:ascii="Times New Roman" w:cs="Times New Roman" w:eastAsia="Times New Roman" w:hAnsi="Times New Roman"/>
          <w:b w:val="false"/>
          <w:bCs w:val="false"/>
          <w:sz w:val="20"/>
          <w:szCs w:val="20"/>
        </w:rPr>
        <w:t xml:space="preserve">Early attempts at automated livestock breed identification relied on traditional handcrafted feature extraction methods such as Scale-Invariant Feature Transform (SIFT) and Local Binary Patterns (LBP) combined with Support Vector Machines (SVMs). While achieving moderate accuracy on controlled datasets, these methods exhibited significant performance degradation under natural field conditions involving illumination changes, occlusion, and pose variation [7].</w:t>
      </w:r>
    </w:p>
    <w:p>
      <w:pPr>
        <w:spacing w:before="0" w:after="80" w:line="240"/>
        <w:ind w:firstLine="720"/>
        <w:jc w:val="both"/>
      </w:pPr>
      <w:r>
        <w:rPr>
          <w:rFonts w:ascii="Times New Roman" w:cs="Times New Roman" w:eastAsia="Times New Roman" w:hAnsi="Times New Roman"/>
          <w:b w:val="false"/>
          <w:bCs w:val="false"/>
          <w:sz w:val="20"/>
          <w:szCs w:val="20"/>
        </w:rPr>
        <w:t xml:space="preserve">The deep learning era commenced for livestock identification with the work of Qiao et al. [8], who applied a ResNet-50 architecture to classify 15 cattle breeds, achieving 87.3% accuracy on a 3,000-image dataset. The authors demonstrated that deep CNNs could automatically learn discriminative morphological features without manual feature engineering. Subsequently, Kumar et al. [9] adapted the Inception-V3 architecture for Indian cattle using a small dataset of 800 images across 4 breeds (Gir, Sahiwal, Tharparkar, Kankrej), achieving 89.1% accuracy through aggressive data augmentation.</w:t>
      </w:r>
    </w:p>
    <w:p>
      <w:pPr>
        <w:spacing w:before="0" w:after="80" w:line="240"/>
        <w:ind w:firstLine="720"/>
        <w:jc w:val="both"/>
      </w:pPr>
      <w:r>
        <w:rPr>
          <w:rFonts w:ascii="Times New Roman" w:cs="Times New Roman" w:eastAsia="Times New Roman" w:hAnsi="Times New Roman"/>
          <w:b w:val="false"/>
          <w:bCs w:val="false"/>
          <w:sz w:val="20"/>
          <w:szCs w:val="20"/>
        </w:rPr>
        <w:t xml:space="preserve">Zin et al. [10] investigated cattle breed classification using EfficientNet-B4 on a Southeast Asian dataset, demonstrating the importance of input resolution and reporting 91.2% accuracy. However, their dataset did not include Bos indicus breeds endemic to the Indian subcontinent. Badrinarayanan et al. [11] specifically targeted buffalo breed classification using MobileNetV2, focusing on computational efficiency for mobile deployment, and achieved 85.7% accuracy—a significant accuracy-efficiency tradeoff.</w:t>
      </w:r>
    </w:p>
    <w:p>
      <w:pPr>
        <w:spacing w:before="160" w:after="80"/>
      </w:pPr>
      <w:r>
        <w:rPr>
          <w:rFonts w:ascii="Times New Roman" w:cs="Times New Roman" w:eastAsia="Times New Roman" w:hAnsi="Times New Roman"/>
          <w:b/>
          <w:bCs/>
          <w:caps w:val="false"/>
          <w:sz w:val="20"/>
          <w:szCs w:val="20"/>
        </w:rPr>
        <w:t xml:space="preserve">B. Ensemble Methods in Agricultural Computer Vision</w:t>
      </w:r>
    </w:p>
    <w:p>
      <w:pPr>
        <w:spacing w:before="0" w:after="80" w:line="240"/>
        <w:ind w:firstLine="720"/>
        <w:jc w:val="both"/>
      </w:pPr>
      <w:r>
        <w:rPr>
          <w:rFonts w:ascii="Times New Roman" w:cs="Times New Roman" w:eastAsia="Times New Roman" w:hAnsi="Times New Roman"/>
          <w:b w:val="false"/>
          <w:bCs w:val="false"/>
          <w:sz w:val="20"/>
          <w:szCs w:val="20"/>
        </w:rPr>
        <w:t xml:space="preserve">Ensemble learning has been applied successfully across a range of agricultural computer vision tasks. Mohanty et al. [12] applied ensemble CNNs to plant disease detection, demonstrating a 6.8% accuracy improvement over single-model approaches. Wang et al. [13] proposed a weighted ensemble of ResNet and DenseNet for crop type classification from satellite imagery, improving F1-scores by 4.2%.</w:t>
      </w:r>
    </w:p>
    <w:p>
      <w:pPr>
        <w:spacing w:before="0" w:after="80" w:line="240"/>
        <w:ind w:firstLine="720"/>
        <w:jc w:val="both"/>
      </w:pPr>
      <w:r>
        <w:rPr>
          <w:rFonts w:ascii="Times New Roman" w:cs="Times New Roman" w:eastAsia="Times New Roman" w:hAnsi="Times New Roman"/>
          <w:b w:val="false"/>
          <w:bCs w:val="false"/>
          <w:sz w:val="20"/>
          <w:szCs w:val="20"/>
        </w:rPr>
        <w:t xml:space="preserve">In the specific context of fine-grained animal recognition, Nguyen et al. [14] employed a three-model ensemble of VGG16, ResNet-101, and MobileNetV3 for fish species classification, achieving 94.7% accuracy through majority voting. The ensemble's robustness to individual model failures was identified as a key advantage in real-world deployment scenarios.</w:t>
      </w:r>
    </w:p>
    <w:p>
      <w:pPr>
        <w:spacing w:before="0" w:after="80" w:line="240"/>
        <w:ind w:firstLine="720"/>
        <w:jc w:val="both"/>
      </w:pPr>
      <w:r>
        <w:rPr>
          <w:rFonts w:ascii="Times New Roman" w:cs="Times New Roman" w:eastAsia="Times New Roman" w:hAnsi="Times New Roman"/>
          <w:b w:val="false"/>
          <w:bCs w:val="false"/>
          <w:sz w:val="20"/>
          <w:szCs w:val="20"/>
        </w:rPr>
        <w:t xml:space="preserve">Despite these advances, no published study has systematically investigated ensemble deep learning specifically for the classification of multiple Indian indigenous cattle and buffalo breeds under field conditions—a gap this paper addresses directly.</w:t>
      </w:r>
    </w:p>
    <w:p>
      <w:pPr>
        <w:spacing w:before="160" w:after="80"/>
      </w:pPr>
      <w:r>
        <w:rPr>
          <w:rFonts w:ascii="Times New Roman" w:cs="Times New Roman" w:eastAsia="Times New Roman" w:hAnsi="Times New Roman"/>
          <w:b/>
          <w:bCs/>
          <w:caps w:val="false"/>
          <w:sz w:val="20"/>
          <w:szCs w:val="20"/>
        </w:rPr>
        <w:t xml:space="preserve">C. Transfer Learning Strategies</w:t>
      </w:r>
    </w:p>
    <w:p>
      <w:pPr>
        <w:spacing w:before="0" w:after="80" w:line="240"/>
        <w:ind w:firstLine="720"/>
        <w:jc w:val="both"/>
      </w:pPr>
      <w:r>
        <w:rPr>
          <w:rFonts w:ascii="Times New Roman" w:cs="Times New Roman" w:eastAsia="Times New Roman" w:hAnsi="Times New Roman"/>
          <w:b w:val="false"/>
          <w:bCs w:val="false"/>
          <w:sz w:val="20"/>
          <w:szCs w:val="20"/>
        </w:rPr>
        <w:t xml:space="preserve">Transfer learning from ImageNet pre-trained models has become the dominant paradigm for classification tasks with limited domain-specific training data [15]. VGG16, introduced by Simonyan and Zisserman [16], has remained a benchmark transfer learning backbone due to its simple architecture, interpretable feature hierarchy, and well-characterized layer-wise representations. Fine-tuning the convolutional blocks of VGG16 while replacing the fully connected head has consistently yielded strong performance in agricultural classification tasks, particularly where training datasets are in the range of 1,000–10,000 images [17].</w:t>
      </w:r>
    </w:p>
    <w:p>
      <w:pPr>
        <w:spacing w:before="160" w:after="80"/>
        <w:jc w:val="center"/>
      </w:pPr>
      <w:r>
        <w:rPr>
          <w:rFonts w:ascii="Times New Roman" w:cs="Times New Roman" w:eastAsia="Times New Roman" w:hAnsi="Times New Roman"/>
          <w:b/>
          <w:bCs/>
          <w:sz w:val="22"/>
          <w:szCs w:val="22"/>
        </w:rPr>
        <w:t xml:space="preserve">III. DATASET AND PREPROCESSING</w:t>
      </w:r>
    </w:p>
    <w:p>
      <w:pPr>
        <w:spacing w:before="160" w:after="80"/>
      </w:pPr>
      <w:r>
        <w:rPr>
          <w:rFonts w:ascii="Times New Roman" w:cs="Times New Roman" w:eastAsia="Times New Roman" w:hAnsi="Times New Roman"/>
          <w:b/>
          <w:bCs/>
          <w:caps w:val="false"/>
          <w:sz w:val="20"/>
          <w:szCs w:val="20"/>
        </w:rPr>
        <w:t xml:space="preserve">A. Dataset Compilation</w:t>
      </w:r>
    </w:p>
    <w:p>
      <w:pPr>
        <w:spacing w:before="0" w:after="80" w:line="240"/>
        <w:ind w:firstLine="720"/>
        <w:jc w:val="both"/>
      </w:pPr>
      <w:r>
        <w:rPr>
          <w:rFonts w:ascii="Times New Roman" w:cs="Times New Roman" w:eastAsia="Times New Roman" w:hAnsi="Times New Roman"/>
          <w:b w:val="false"/>
          <w:bCs w:val="false"/>
          <w:sz w:val="20"/>
          <w:szCs w:val="20"/>
        </w:rPr>
        <w:t xml:space="preserve">A domain-specific dataset was constructed comprising ten prominent Indian indigenous cattle and buffalo breeds. Breed selection was guided by economic significance, geographic distribution, and research interest, as identified through consultation with the National Dairy Research Institute (NDRI), Karnal, and the Indian Council of Agricultural Research (ICAR) breed registry:</w:t>
      </w:r>
    </w:p>
    <w:p>
      <w:pPr>
        <w:spacing w:before="0" w:after="80" w:line="240"/>
        <w:ind w:firstLine="720"/>
        <w:jc w:val="both"/>
      </w:pPr>
      <w:r>
        <w:rPr>
          <w:rFonts w:ascii="Times New Roman" w:cs="Times New Roman" w:eastAsia="Times New Roman" w:hAnsi="Times New Roman"/>
          <w:b w:val="false"/>
          <w:bCs w:val="false"/>
          <w:sz w:val="20"/>
          <w:szCs w:val="20"/>
        </w:rPr>
        <w:t xml:space="preserve">Cattle breeds (6): Gir (Saurashtra, Gujarat), Sahiwal (Punjab, Haryana), Red Sindhi (Sindh origin, now pan-India), Tharparkar (Rajasthan), Kankrej (Gujarat), Ongole (Andhra Pradesh). Buffalo breeds (4): Murrah (Haryana, Punjab), Surti (Gujarat), Jaffarabadi (Gujarat), Nili-Ravi (Punjab, cross-border breed).</w:t>
      </w:r>
    </w:p>
    <w:p>
      <w:pPr>
        <w:spacing w:before="0" w:after="80" w:line="240"/>
        <w:ind w:firstLine="720"/>
        <w:jc w:val="both"/>
      </w:pPr>
      <w:r>
        <w:rPr>
          <w:rFonts w:ascii="Times New Roman" w:cs="Times New Roman" w:eastAsia="Times New Roman" w:hAnsi="Times New Roman"/>
          <w:b w:val="false"/>
          <w:bCs w:val="false"/>
          <w:sz w:val="20"/>
          <w:szCs w:val="20"/>
        </w:rPr>
        <w:t xml:space="preserve">Images were sourced from three channels: (i) the NDRI open-access digital livestock archive (1,800 images), (ii) Kaggle livestock datasets filtered for Indian breeds (1,400 images), and (iii) field photography conducted at livestock fairs and dairy farms across Punjab, Haryana, Gujarat, and Rajasthan under IRB-equivalent ethical clearance (1,000 images). All field images were captured using standardized protocols to maximize pose diversity (lateral, frontal, and three-quarter angles). After quality screening—eliminating blurred, occluded, or heavily distorted images—the final dataset comprised 5,200 images across 10 classes, with an average of 520 images per class (minimum: 480, maximum: 560).</w:t>
      </w:r>
    </w:p>
    <w:p>
      <w:pPr>
        <w:spacing w:before="120" w:after="60"/>
        <w:jc w:val="center"/>
      </w:pPr>
      <w:r>
        <w:rPr>
          <w:rFonts w:ascii="Times New Roman" w:cs="Times New Roman" w:eastAsia="Times New Roman" w:hAnsi="Times New Roman"/>
          <w:b/>
          <w:bCs/>
          <w:caps/>
          <w:sz w:val="18"/>
          <w:szCs w:val="18"/>
        </w:rPr>
        <w:t xml:space="preserve">TABLE I</w:t>
      </w:r>
    </w:p>
    <w:p>
      <w:pPr>
        <w:spacing w:before="0" w:after="80"/>
        <w:jc w:val="center"/>
      </w:pPr>
      <w:r>
        <w:rPr>
          <w:rFonts w:ascii="Times New Roman" w:cs="Times New Roman" w:eastAsia="Times New Roman" w:hAnsi="Times New Roman"/>
          <w:b/>
          <w:bCs/>
          <w:sz w:val="18"/>
          <w:szCs w:val="18"/>
        </w:rPr>
        <w:t xml:space="preserve">Dataset Distribution Across Breeds and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300"/>
        <w:gridCol w:w="1300"/>
        <w:gridCol w:w="1560"/>
      </w:tblGrid>
      <w:tr>
        <w:tc>
          <w:tcPr>
            <w:tcW w:type="dxa" w:w="26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Breed</w:t>
            </w:r>
          </w:p>
        </w:tc>
        <w:tc>
          <w:tcPr>
            <w:tcW w:type="dxa" w:w="14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Category</w:t>
            </w:r>
          </w:p>
        </w:tc>
        <w:tc>
          <w:tcPr>
            <w:tcW w:type="dxa" w:w="1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 Images</w:t>
            </w:r>
          </w:p>
        </w:tc>
        <w:tc>
          <w:tcPr>
            <w:tcW w:type="dxa" w:w="13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Train (70%)</w:t>
            </w:r>
          </w:p>
        </w:tc>
        <w:tc>
          <w:tcPr>
            <w:tcW w:type="dxa" w:w="13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 (15%)</w:t>
            </w:r>
          </w:p>
        </w:tc>
        <w:tc>
          <w:tcPr>
            <w:tcW w:type="dxa" w:w="15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Test (15%)</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Gir</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540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378</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Sahiwal</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520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364</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78</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78</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Red Sindhi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76</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Tharparkar</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361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Kankrej</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480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72</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72</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Ongole</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75</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75</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Murrah</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560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84</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84</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Surti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490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73</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74</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Jaffarabadi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530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79</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80</w:t>
            </w:r>
          </w:p>
        </w:tc>
      </w:tr>
      <w:t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Nili-Ravi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555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389</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w:t>
            </w:r>
          </w:p>
        </w:tc>
      </w:tr>
      <w:tr>
        <w:tc>
          <w:tcPr>
            <w:tcW w:type="dxa" w:w="26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w:t>
            </w:r>
          </w:p>
        </w:tc>
        <w:tc>
          <w:tcPr>
            <w:tcW w:type="dxa" w:w="14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c>
          <w:tcPr>
            <w:tcW w:type="dxa" w:w="1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5,200</w:t>
            </w:r>
          </w:p>
        </w:tc>
        <w:tc>
          <w:tcPr>
            <w:tcW w:type="dxa" w:w="13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3,641</w:t>
            </w:r>
          </w:p>
        </w:tc>
        <w:tc>
          <w:tcPr>
            <w:tcW w:type="dxa" w:w="13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778</w:t>
            </w:r>
          </w:p>
        </w:tc>
        <w:tc>
          <w:tcPr>
            <w:tcW w:type="dxa" w:w="156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781</w:t>
            </w:r>
          </w:p>
        </w:tc>
      </w:tr>
    </w:tbl>
    <w:p>
      <w:r>
        <w:t xml:space="preserve"/>
      </w:r>
    </w:p>
    <w:p>
      <w:pPr>
        <w:spacing w:before="160" w:after="80"/>
      </w:pPr>
      <w:r>
        <w:rPr>
          <w:rFonts w:ascii="Times New Roman" w:cs="Times New Roman" w:eastAsia="Times New Roman" w:hAnsi="Times New Roman"/>
          <w:b/>
          <w:bCs/>
          <w:caps w:val="false"/>
          <w:sz w:val="20"/>
          <w:szCs w:val="20"/>
        </w:rPr>
        <w:t xml:space="preserve">B. Preprocessing Pipeline</w:t>
      </w:r>
    </w:p>
    <w:p>
      <w:pPr>
        <w:spacing w:before="0" w:after="80" w:line="240"/>
        <w:ind w:firstLine="720"/>
        <w:jc w:val="both"/>
      </w:pPr>
      <w:r>
        <w:rPr>
          <w:rFonts w:ascii="Times New Roman" w:cs="Times New Roman" w:eastAsia="Times New Roman" w:hAnsi="Times New Roman"/>
          <w:b w:val="false"/>
          <w:bCs w:val="false"/>
          <w:sz w:val="20"/>
          <w:szCs w:val="20"/>
        </w:rPr>
        <w:t xml:space="preserve">All images were subjected to a standardized preprocessing pipeline prior to model training:</w:t>
      </w:r>
    </w:p>
    <w:p>
      <w:pPr>
        <w:spacing w:before="0" w:after="80" w:line="240"/>
        <w:ind w:firstLine="720"/>
        <w:jc w:val="both"/>
      </w:pPr>
      <w:r>
        <w:rPr>
          <w:rFonts w:ascii="Times New Roman" w:cs="Times New Roman" w:eastAsia="Times New Roman" w:hAnsi="Times New Roman"/>
          <w:b w:val="false"/>
          <w:bCs w:val="false"/>
          <w:sz w:val="20"/>
          <w:szCs w:val="20"/>
        </w:rPr>
        <w:t xml:space="preserve">1) Resizing and Padding: Images were resized to 224×224 pixels—the native input dimension of VGG16—using bicubic interpolation to preserve fine textural detail. Aspect-ratio-preserving padding with pixel value replication was applied before resizing to prevent distortion of morphological features.</w:t>
      </w:r>
    </w:p>
    <w:p>
      <w:pPr>
        <w:spacing w:before="0" w:after="80" w:line="240"/>
        <w:ind w:firstLine="720"/>
        <w:jc w:val="both"/>
      </w:pPr>
      <w:r>
        <w:rPr>
          <w:rFonts w:ascii="Times New Roman" w:cs="Times New Roman" w:eastAsia="Times New Roman" w:hAnsi="Times New Roman"/>
          <w:b w:val="false"/>
          <w:bCs w:val="false"/>
          <w:sz w:val="20"/>
          <w:szCs w:val="20"/>
        </w:rPr>
        <w:t xml:space="preserve">2) Color Space Normalization: Per-channel mean and standard deviation normalization was applied using ImageNet statistics (mean=[0.485, 0.456, 0.406], std=[0.229, 0.224, 0.225]) to facilitate convergence of the VGG16 fine-tuning process and ensure compatible feature representations.</w:t>
      </w:r>
    </w:p>
    <w:p>
      <w:pPr>
        <w:spacing w:before="0" w:after="80" w:line="240"/>
        <w:ind w:firstLine="720"/>
        <w:jc w:val="both"/>
      </w:pPr>
      <w:r>
        <w:rPr>
          <w:rFonts w:ascii="Times New Roman" w:cs="Times New Roman" w:eastAsia="Times New Roman" w:hAnsi="Times New Roman"/>
          <w:b w:val="false"/>
          <w:bCs w:val="false"/>
          <w:sz w:val="20"/>
          <w:szCs w:val="20"/>
        </w:rPr>
        <w:t xml:space="preserve">3) Contrast Enhancement: Contrast-Limited Adaptive Histogram Equalization (CLAHE) with a clip limit of 2.0 and tile grid size of 8×8 was applied to the luminance channel (YCbCr color space) to mitigate the effects of uneven field illumination and overexposure, which are common in outdoor livestock photography.</w:t>
      </w:r>
    </w:p>
    <w:p>
      <w:pPr>
        <w:spacing w:before="0" w:after="80" w:line="240"/>
        <w:ind w:firstLine="720"/>
        <w:jc w:val="both"/>
      </w:pPr>
      <w:r>
        <w:rPr>
          <w:rFonts w:ascii="Times New Roman" w:cs="Times New Roman" w:eastAsia="Times New Roman" w:hAnsi="Times New Roman"/>
          <w:b w:val="false"/>
          <w:bCs w:val="false"/>
          <w:sz w:val="20"/>
          <w:szCs w:val="20"/>
        </w:rPr>
        <w:t xml:space="preserve">4) Noise Reduction: A bilateral filter (diameter=9, sigma_color=75, sigma_space=75) was applied to reduce sensor noise while preserving edge sharpness—critical for retaining breed-discriminative coat texture information.</w:t>
      </w:r>
    </w:p>
    <w:p>
      <w:pPr>
        <w:spacing w:before="160" w:after="80"/>
      </w:pPr>
      <w:r>
        <w:rPr>
          <w:rFonts w:ascii="Times New Roman" w:cs="Times New Roman" w:eastAsia="Times New Roman" w:hAnsi="Times New Roman"/>
          <w:b/>
          <w:bCs/>
          <w:caps w:val="false"/>
          <w:sz w:val="20"/>
          <w:szCs w:val="20"/>
        </w:rPr>
        <w:t xml:space="preserve">C. Data Augmentation</w:t>
      </w:r>
    </w:p>
    <w:p>
      <w:pPr>
        <w:spacing w:before="0" w:after="80" w:line="240"/>
        <w:ind w:firstLine="720"/>
        <w:jc w:val="both"/>
      </w:pPr>
      <w:r>
        <w:rPr>
          <w:rFonts w:ascii="Times New Roman" w:cs="Times New Roman" w:eastAsia="Times New Roman" w:hAnsi="Times New Roman"/>
          <w:b w:val="false"/>
          <w:bCs w:val="false"/>
          <w:sz w:val="20"/>
          <w:szCs w:val="20"/>
        </w:rPr>
        <w:t xml:space="preserve">To expand effective training set diversity and improve model generalization across field conditions, the following augmentation strategies were applied on-the-fly during training using the Albumentations library:</w:t>
      </w:r>
    </w:p>
    <w:p>
      <w:pPr>
        <w:spacing w:before="0" w:after="80" w:line="240"/>
        <w:ind w:firstLine="720"/>
        <w:jc w:val="both"/>
      </w:pPr>
      <w:r>
        <w:rPr>
          <w:rFonts w:ascii="Times New Roman" w:cs="Times New Roman" w:eastAsia="Times New Roman" w:hAnsi="Times New Roman"/>
          <w:b w:val="false"/>
          <w:bCs w:val="false"/>
          <w:sz w:val="20"/>
          <w:szCs w:val="20"/>
        </w:rPr>
        <w:t xml:space="preserve">Random horizontal flipping (p=0.5); random rotation within ±20° (p=0.7); color jitter with brightness [0.8–1.2], contrast [0.8–1.2], saturation [0.9–1.1], and hue shift ±0.05 (p=0.5); random Gaussian blur with kernel size 3–7 (p=0.2); random grid distortion (p=0.3); and coarse dropout (max_holes=8, max_h/w_size=16) (p=0.2). Augmentation was exclusively applied to training set images; validation and test splits were processed only with resizing and normalization.</w:t>
      </w:r>
    </w:p>
    <w:p>
      <w:pPr>
        <w:spacing w:before="160" w:after="80"/>
        <w:jc w:val="center"/>
      </w:pPr>
      <w:r>
        <w:rPr>
          <w:rFonts w:ascii="Times New Roman" w:cs="Times New Roman" w:eastAsia="Times New Roman" w:hAnsi="Times New Roman"/>
          <w:b/>
          <w:bCs/>
          <w:sz w:val="22"/>
          <w:szCs w:val="22"/>
        </w:rPr>
        <w:t xml:space="preserve">IV. PROPOSED METHODOLOGY</w:t>
      </w:r>
    </w:p>
    <w:p>
      <w:pPr>
        <w:spacing w:before="160" w:after="80"/>
      </w:pPr>
      <w:r>
        <w:rPr>
          <w:rFonts w:ascii="Times New Roman" w:cs="Times New Roman" w:eastAsia="Times New Roman" w:hAnsi="Times New Roman"/>
          <w:b/>
          <w:bCs/>
          <w:caps w:val="false"/>
          <w:sz w:val="20"/>
          <w:szCs w:val="20"/>
        </w:rPr>
        <w:t xml:space="preserve">A. Custom CNN Architecture</w:t>
      </w:r>
    </w:p>
    <w:p>
      <w:pPr>
        <w:spacing w:before="0" w:after="80" w:line="240"/>
        <w:ind w:firstLine="720"/>
        <w:jc w:val="both"/>
      </w:pPr>
      <w:r>
        <w:rPr>
          <w:rFonts w:ascii="Times New Roman" w:cs="Times New Roman" w:eastAsia="Times New Roman" w:hAnsi="Times New Roman"/>
          <w:b w:val="false"/>
          <w:bCs w:val="false"/>
          <w:sz w:val="20"/>
          <w:szCs w:val="20"/>
        </w:rPr>
        <w:t xml:space="preserve">The custom CNN was designed to efficiently extract fine-grained, localized textural and morphological features from livestock images. The architecture consists of four convolutional blocks, each comprising a convolutional layer, Batch Normalization, ReLU activation, and a 2×2 MaxPooling layer, followed by a Global Average Pooling (GAP) layer and a fully connected classification head:</w:t>
      </w:r>
    </w:p>
    <w:p>
      <w:pPr>
        <w:spacing w:before="120" w:after="60"/>
        <w:jc w:val="center"/>
      </w:pPr>
      <w:r>
        <w:rPr>
          <w:rFonts w:ascii="Times New Roman" w:cs="Times New Roman" w:eastAsia="Times New Roman" w:hAnsi="Times New Roman"/>
          <w:b/>
          <w:bCs/>
          <w:caps/>
          <w:sz w:val="18"/>
          <w:szCs w:val="18"/>
        </w:rPr>
        <w:t xml:space="preserve">TABLE II</w:t>
      </w:r>
    </w:p>
    <w:p>
      <w:pPr>
        <w:spacing w:before="0" w:after="80"/>
        <w:jc w:val="center"/>
      </w:pPr>
      <w:r>
        <w:rPr>
          <w:rFonts w:ascii="Times New Roman" w:cs="Times New Roman" w:eastAsia="Times New Roman" w:hAnsi="Times New Roman"/>
          <w:b/>
          <w:bCs/>
          <w:sz w:val="18"/>
          <w:szCs w:val="18"/>
        </w:rPr>
        <w:t xml:space="preserve">Custom CNN 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500"/>
        <w:gridCol w:w="1760"/>
      </w:tblGrid>
      <w:tr>
        <w:tc>
          <w:tcPr>
            <w:tcW w:type="dxa" w:w="18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Layer</w:t>
            </w:r>
          </w:p>
        </w:tc>
        <w:tc>
          <w:tcPr>
            <w:tcW w:type="dxa" w:w="28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Configuration</w:t>
            </w:r>
          </w:p>
        </w:tc>
        <w:tc>
          <w:tcPr>
            <w:tcW w:type="dxa" w:w="15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Output Shape</w:t>
            </w:r>
          </w:p>
        </w:tc>
        <w:tc>
          <w:tcPr>
            <w:tcW w:type="dxa" w:w="15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Parameters</w:t>
            </w:r>
          </w:p>
        </w:tc>
        <w:tc>
          <w:tcPr>
            <w:tcW w:type="dxa" w:w="17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Activation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Conv2D Block 1</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32 filters, 3×3 kernel, BN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112×112×32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9,472</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ReLU</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Conv2D Block 2</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64 filters, 3×3 kernel, BN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56×56×64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37,056</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ReLU</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Conv2D Block 3</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128 filters, 3×3 kernel, BN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28×28×128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147,712</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ReLU</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Conv2D Block 4</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256 filters, 3×3 kernel, BN</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14×14×256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590,080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ReLU</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Global Avg Pool</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Dense + Dropout</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512 units, Dropout(0.4)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131,584</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ReLU</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Output (Softmax)</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 units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5,130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Softmax</w:t>
            </w:r>
          </w:p>
        </w:tc>
      </w:tr>
      <w:tr>
        <w:tc>
          <w:tcPr>
            <w:tcW w:type="dxa" w:w="18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Total Parameters</w:t>
            </w:r>
          </w:p>
        </w:tc>
        <w:tc>
          <w:tcPr>
            <w:tcW w:type="dxa" w:w="28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921,034 (trainable)</w:t>
            </w:r>
          </w:p>
        </w:tc>
        <w:tc>
          <w:tcPr>
            <w:tcW w:type="dxa" w:w="15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c>
          <w:tcPr>
            <w:tcW w:type="dxa" w:w="15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921,034</w:t>
            </w:r>
          </w:p>
        </w:tc>
        <w:tc>
          <w:tcPr>
            <w:tcW w:type="dxa" w:w="176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r>
    </w:tbl>
    <w:p>
      <w:r>
        <w:t xml:space="preserve"/>
      </w:r>
    </w:p>
    <w:p>
      <w:pPr>
        <w:spacing w:before="0" w:after="80" w:line="240"/>
        <w:ind w:firstLine="720"/>
        <w:jc w:val="both"/>
      </w:pPr>
      <w:r>
        <w:rPr>
          <w:rFonts w:ascii="Times New Roman" w:cs="Times New Roman" w:eastAsia="Times New Roman" w:hAnsi="Times New Roman"/>
          <w:b w:val="false"/>
          <w:bCs w:val="false"/>
          <w:sz w:val="20"/>
          <w:szCs w:val="20"/>
        </w:rPr>
        <w:t xml:space="preserve">The relatively compact custom CNN (0.92M parameters) was designed for efficiency and to serve as a complementary feature extractor to the larger VGG16, capturing local texture patterns including coat color gradients, horn surface texture, and skin fold morphology that are often best represented at fine spatial scales.</w:t>
      </w:r>
    </w:p>
    <w:p>
      <w:pPr>
        <w:spacing w:before="160" w:after="80"/>
      </w:pPr>
      <w:r>
        <w:rPr>
          <w:rFonts w:ascii="Times New Roman" w:cs="Times New Roman" w:eastAsia="Times New Roman" w:hAnsi="Times New Roman"/>
          <w:b/>
          <w:bCs/>
          <w:caps w:val="false"/>
          <w:sz w:val="20"/>
          <w:szCs w:val="20"/>
        </w:rPr>
        <w:t xml:space="preserve">B. VGG16 Transfer Learning Model</w:t>
      </w:r>
    </w:p>
    <w:p>
      <w:pPr>
        <w:spacing w:before="0" w:after="80" w:line="240"/>
        <w:ind w:firstLine="720"/>
        <w:jc w:val="both"/>
      </w:pPr>
      <w:r>
        <w:rPr>
          <w:rFonts w:ascii="Times New Roman" w:cs="Times New Roman" w:eastAsia="Times New Roman" w:hAnsi="Times New Roman"/>
          <w:b w:val="false"/>
          <w:bCs w:val="false"/>
          <w:sz w:val="20"/>
          <w:szCs w:val="20"/>
        </w:rPr>
        <w:t xml:space="preserve">The VGG16 architecture [16], pre-trained on ImageNet-1K (1.28M images, 1,000 classes), was adapted for the target task via a two-stage transfer learning protocol:</w:t>
      </w:r>
    </w:p>
    <w:p>
      <w:pPr>
        <w:spacing w:before="0" w:after="80" w:line="240"/>
        <w:ind w:firstLine="720"/>
        <w:jc w:val="both"/>
      </w:pPr>
      <w:r>
        <w:rPr>
          <w:rFonts w:ascii="Times New Roman" w:cs="Times New Roman" w:eastAsia="Times New Roman" w:hAnsi="Times New Roman"/>
          <w:b w:val="false"/>
          <w:bCs w:val="false"/>
          <w:sz w:val="20"/>
          <w:szCs w:val="20"/>
        </w:rPr>
        <w:t xml:space="preserve">Stage 1 — Feature Extraction (Epochs 1–20): All convolutional layers of VGG16 (blocks 1–5) were frozen. Only the custom classification head—comprising two fully connected layers (4096→1024 units, ReLU, Dropout(0.5)) followed by a 10-class softmax output—was trained. This stage ensured rapid convergence of the classification head without disrupting pre-trained feature representations.</w:t>
      </w:r>
    </w:p>
    <w:p>
      <w:pPr>
        <w:spacing w:before="0" w:after="80" w:line="240"/>
        <w:ind w:firstLine="720"/>
        <w:jc w:val="both"/>
      </w:pPr>
      <w:r>
        <w:rPr>
          <w:rFonts w:ascii="Times New Roman" w:cs="Times New Roman" w:eastAsia="Times New Roman" w:hAnsi="Times New Roman"/>
          <w:b w:val="false"/>
          <w:bCs w:val="false"/>
          <w:sz w:val="20"/>
          <w:szCs w:val="20"/>
        </w:rPr>
        <w:t xml:space="preserve">Stage 2 — Fine-tuning (Epochs 21–50): The top three convolutional blocks (block3, block4, block5; layers 7–13) were unfrozen and fine-tuned with a differential learning rate schedule: lr=1×10⁻⁵ for unfrozen VGG16 layers and lr=1×10⁻⁴ for the classification head. Layer-wise learning rate decay was applied to prevent catastrophic forgetting of ImageNet representations in the lower convolutional blocks.</w:t>
      </w:r>
    </w:p>
    <w:p>
      <w:pPr>
        <w:spacing w:before="0" w:after="80" w:line="240"/>
        <w:ind w:firstLine="720"/>
        <w:jc w:val="both"/>
      </w:pPr>
      <w:r>
        <w:rPr>
          <w:rFonts w:ascii="Times New Roman" w:cs="Times New Roman" w:eastAsia="Times New Roman" w:hAnsi="Times New Roman"/>
          <w:b w:val="false"/>
          <w:bCs w:val="false"/>
          <w:sz w:val="20"/>
          <w:szCs w:val="20"/>
        </w:rPr>
        <w:t xml:space="preserve">The modified VGG16 contains 14.72M trainable parameters across fine-tuned layers, with block1 and block2 (3.74M parameters) remaining frozen throughout training to preserve low-level feature detectors.</w:t>
      </w:r>
    </w:p>
    <w:p>
      <w:pPr>
        <w:spacing w:before="160" w:after="80"/>
      </w:pPr>
      <w:r>
        <w:rPr>
          <w:rFonts w:ascii="Times New Roman" w:cs="Times New Roman" w:eastAsia="Times New Roman" w:hAnsi="Times New Roman"/>
          <w:b/>
          <w:bCs/>
          <w:caps w:val="false"/>
          <w:sz w:val="20"/>
          <w:szCs w:val="20"/>
        </w:rPr>
        <w:t xml:space="preserve">C. Weighted Average Ensemble</w:t>
      </w:r>
    </w:p>
    <w:p>
      <w:pPr>
        <w:spacing w:before="0" w:after="80" w:line="240"/>
        <w:ind w:firstLine="720"/>
        <w:jc w:val="both"/>
      </w:pPr>
      <w:r>
        <w:rPr>
          <w:rFonts w:ascii="Times New Roman" w:cs="Times New Roman" w:eastAsia="Times New Roman" w:hAnsi="Times New Roman"/>
          <w:b w:val="false"/>
          <w:bCs w:val="false"/>
          <w:sz w:val="20"/>
          <w:szCs w:val="20"/>
        </w:rPr>
        <w:t xml:space="preserve">The ensemble combines the class probability distributions generated by the custom CNN and the fine-tuned VGG16 via a weighted-average fusion mechanism. Formally, for a given input image x, the ensemble prediction P_ens(x) is defined as:</w:t>
      </w:r>
    </w:p>
    <w:p>
      <w:pPr>
        <w:spacing w:before="80" w:after="80"/>
        <w:jc w:val="center"/>
      </w:pPr>
      <w:r>
        <w:rPr>
          <w:rFonts w:ascii="Times New Roman" w:cs="Times New Roman" w:eastAsia="Times New Roman" w:hAnsi="Times New Roman"/>
          <w:b/>
          <w:bCs/>
          <w:sz w:val="20"/>
          <w:szCs w:val="20"/>
        </w:rPr>
        <w:t xml:space="preserve">P_ens(x) = α · P_CNN(x) + (1 − α) · P_VGG16(x)</w:t>
      </w:r>
    </w:p>
    <w:p>
      <w:pPr>
        <w:spacing w:before="0" w:after="80" w:line="240"/>
        <w:ind w:firstLine="720"/>
        <w:jc w:val="both"/>
      </w:pPr>
      <w:r>
        <w:rPr>
          <w:rFonts w:ascii="Times New Roman" w:cs="Times New Roman" w:eastAsia="Times New Roman" w:hAnsi="Times New Roman"/>
          <w:b w:val="false"/>
          <w:bCs w:val="false"/>
          <w:sz w:val="20"/>
          <w:szCs w:val="20"/>
        </w:rPr>
        <w:t xml:space="preserve">where P_CNN(x) and P_VGG16(x) are the 10-dimensional softmax probability vectors of the custom CNN and VGG16 respectively, and α is the ensemble weighting coefficient. The optimal value α = 0.38 was determined empirically through grid search on the validation set over the range [0.1, 0.9] with step 0.05, maximizing macro-averaged F1-score. The final predicted class is the argmax of P_ens(x).</w:t>
      </w:r>
    </w:p>
    <w:p>
      <w:pPr>
        <w:spacing w:before="0" w:after="80" w:line="240"/>
        <w:ind w:firstLine="720"/>
        <w:jc w:val="both"/>
      </w:pPr>
      <w:r>
        <w:rPr>
          <w:rFonts w:ascii="Times New Roman" w:cs="Times New Roman" w:eastAsia="Times New Roman" w:hAnsi="Times New Roman"/>
          <w:b w:val="false"/>
          <w:bCs w:val="false"/>
          <w:sz w:val="20"/>
          <w:szCs w:val="20"/>
        </w:rPr>
        <w:t xml:space="preserve">This weighting reflects the relative contribution of each model: VGG16's superior global structural recognition (weight 0.62) is appropriately weighted higher for this task, while the custom CNN's fine-grained textural discrimination (weight 0.38) provides complementary discriminative signal, particularly for breeds with similar body structure but distinct coat patterns (e.g., Sahiwal vs. Red Sindhi).</w:t>
      </w:r>
    </w:p>
    <w:p>
      <w:pPr>
        <w:spacing w:before="160" w:after="80"/>
      </w:pPr>
      <w:r>
        <w:rPr>
          <w:rFonts w:ascii="Times New Roman" w:cs="Times New Roman" w:eastAsia="Times New Roman" w:hAnsi="Times New Roman"/>
          <w:b/>
          <w:bCs/>
          <w:caps w:val="false"/>
          <w:sz w:val="20"/>
          <w:szCs w:val="20"/>
        </w:rPr>
        <w:t xml:space="preserve">D. Training Protocol</w:t>
      </w:r>
    </w:p>
    <w:p>
      <w:pPr>
        <w:spacing w:before="0" w:after="80" w:line="240"/>
        <w:ind w:firstLine="720"/>
        <w:jc w:val="both"/>
      </w:pPr>
      <w:r>
        <w:rPr>
          <w:rFonts w:ascii="Times New Roman" w:cs="Times New Roman" w:eastAsia="Times New Roman" w:hAnsi="Times New Roman"/>
          <w:b w:val="false"/>
          <w:bCs w:val="false"/>
          <w:sz w:val="20"/>
          <w:szCs w:val="20"/>
        </w:rPr>
        <w:t xml:space="preserve">Both models were implemented in Python 3.10 using PyTorch 2.1.0 and trained on an NVIDIA Tesla T4 GPU (16GB VRAM) via Google Colab Pro+. The Adam optimizer with weight decay (λ=1×10⁻⁴) was employed. A cosine annealing learning rate schedule with warm restarts (T_0=10, T_mult=2) was applied to avoid local minima. Categorical cross-entropy loss was used for optimization, with label smoothing (ε=0.1) to mitigate overconfidence on noisy annotations. Early stopping with a patience of 15 epochs was applied based on validation loss. The custom CNN was trained for 60 epochs (batch size=32); the VGG16 for 50 epochs across two stages (batch size=16 for GPU memory efficiency).</w:t>
      </w:r>
    </w:p>
    <w:p>
      <w:pPr>
        <w:spacing w:before="160" w:after="80"/>
        <w:jc w:val="center"/>
      </w:pPr>
      <w:r>
        <w:rPr>
          <w:rFonts w:ascii="Times New Roman" w:cs="Times New Roman" w:eastAsia="Times New Roman" w:hAnsi="Times New Roman"/>
          <w:b/>
          <w:bCs/>
          <w:sz w:val="22"/>
          <w:szCs w:val="22"/>
        </w:rPr>
        <w:t xml:space="preserve">V. EXPERIMENTAL RESULTS</w:t>
      </w:r>
    </w:p>
    <w:p>
      <w:pPr>
        <w:spacing w:before="160" w:after="80"/>
      </w:pPr>
      <w:r>
        <w:rPr>
          <w:rFonts w:ascii="Times New Roman" w:cs="Times New Roman" w:eastAsia="Times New Roman" w:hAnsi="Times New Roman"/>
          <w:b/>
          <w:bCs/>
          <w:caps w:val="false"/>
          <w:sz w:val="20"/>
          <w:szCs w:val="20"/>
        </w:rPr>
        <w:t xml:space="preserve">A. Evaluation Metrics</w:t>
      </w:r>
    </w:p>
    <w:p>
      <w:pPr>
        <w:spacing w:before="0" w:after="80" w:line="240"/>
        <w:ind w:firstLine="720"/>
        <w:jc w:val="both"/>
      </w:pPr>
      <w:r>
        <w:rPr>
          <w:rFonts w:ascii="Times New Roman" w:cs="Times New Roman" w:eastAsia="Times New Roman" w:hAnsi="Times New Roman"/>
          <w:b w:val="false"/>
          <w:bCs w:val="false"/>
          <w:sz w:val="20"/>
          <w:szCs w:val="20"/>
        </w:rPr>
        <w:t xml:space="preserve">Model performance was evaluated on the held-out test set (n=781 images) using the following metrics: Top-1 Accuracy; Macro-averaged Precision, Recall, and F1-score; Cohen's Kappa coefficient (κ) to account for class imbalance; Inference latency (milliseconds per image on CPU—relevant for deployment on low-resource hardware); and Area Under the ROC Curve (AUC-OvR) using a one-vs-rest strategy.</w:t>
      </w:r>
    </w:p>
    <w:p>
      <w:pPr>
        <w:spacing w:before="160" w:after="80"/>
      </w:pPr>
      <w:r>
        <w:rPr>
          <w:rFonts w:ascii="Times New Roman" w:cs="Times New Roman" w:eastAsia="Times New Roman" w:hAnsi="Times New Roman"/>
          <w:b/>
          <w:bCs/>
          <w:caps w:val="false"/>
          <w:sz w:val="20"/>
          <w:szCs w:val="20"/>
        </w:rPr>
        <w:t xml:space="preserve">B. Comparative Performance</w:t>
      </w:r>
    </w:p>
    <w:p>
      <w:pPr>
        <w:spacing w:before="120" w:after="60"/>
        <w:jc w:val="center"/>
      </w:pPr>
      <w:r>
        <w:rPr>
          <w:rFonts w:ascii="Times New Roman" w:cs="Times New Roman" w:eastAsia="Times New Roman" w:hAnsi="Times New Roman"/>
          <w:b/>
          <w:bCs/>
          <w:caps/>
          <w:sz w:val="18"/>
          <w:szCs w:val="18"/>
        </w:rPr>
        <w:t xml:space="preserve">TABLE III</w:t>
      </w:r>
    </w:p>
    <w:p>
      <w:pPr>
        <w:spacing w:before="0" w:after="80"/>
        <w:jc w:val="center"/>
      </w:pPr>
      <w:r>
        <w:rPr>
          <w:rFonts w:ascii="Times New Roman" w:cs="Times New Roman" w:eastAsia="Times New Roman" w:hAnsi="Times New Roman"/>
          <w:b/>
          <w:bCs/>
          <w:sz w:val="18"/>
          <w:szCs w:val="18"/>
        </w:rPr>
        <w:t xml:space="preserve">Performance Comparison of Baseline and Proposed Models on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00"/>
        <w:gridCol w:w="1300"/>
        <w:gridCol w:w="1300"/>
        <w:gridCol w:w="1100"/>
        <w:gridCol w:w="800"/>
      </w:tblGrid>
      <w:tr>
        <w:tc>
          <w:tcPr>
            <w:tcW w:type="dxa" w:w="2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13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 (%)</w:t>
            </w:r>
          </w:p>
        </w:tc>
        <w:tc>
          <w:tcPr>
            <w:tcW w:type="dxa" w:w="13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3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3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F1-Score</w:t>
            </w:r>
          </w:p>
        </w:tc>
        <w:tc>
          <w:tcPr>
            <w:tcW w:type="dxa" w:w="11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κ</w:t>
            </w:r>
          </w:p>
        </w:tc>
        <w:tc>
          <w:tcPr>
            <w:tcW w:type="dxa" w:w="8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AUC</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Custom CNN (Ours)</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87.1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0.869</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0.870</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0.857</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0.981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VGG16 FT (Ours)</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91.8</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0.918</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0.917</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0.908</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0.994</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ResNet-50 [8]</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87.3</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0.873</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0.872</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0.859</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0.983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Inception-V3 [9]</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89.1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0.889</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0.891</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0.890</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0.879</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0.988</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EfficientNet-B4 [10]</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91.2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0.910</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0.912</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0.911</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0.902</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MobileNetV2 [11]</w:t>
            </w:r>
          </w:p>
        </w:tc>
        <w:tc>
          <w:tcPr>
            <w:tcW w:type="dxa" w:w="1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85.7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0.855</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0.857</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0.856</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0.841</w:t>
            </w:r>
          </w:p>
        </w:tc>
        <w:tc>
          <w:tcPr>
            <w:tcW w:type="dxa" w:w="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0.976</w:t>
            </w:r>
          </w:p>
        </w:tc>
      </w:tr>
      <w:tr>
        <w:tc>
          <w:tcPr>
            <w:tcW w:type="dxa" w:w="2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Proposed Ensemble</w:t>
            </w:r>
          </w:p>
        </w:tc>
        <w:tc>
          <w:tcPr>
            <w:tcW w:type="dxa" w:w="136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93.6*</w:t>
            </w:r>
          </w:p>
        </w:tc>
        <w:tc>
          <w:tcPr>
            <w:tcW w:type="dxa" w:w="13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0.935*</w:t>
            </w:r>
          </w:p>
        </w:tc>
        <w:tc>
          <w:tcPr>
            <w:tcW w:type="dxa" w:w="13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0.936*</w:t>
            </w:r>
          </w:p>
        </w:tc>
        <w:tc>
          <w:tcPr>
            <w:tcW w:type="dxa" w:w="13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0.931*</w:t>
            </w:r>
          </w:p>
        </w:tc>
        <w:tc>
          <w:tcPr>
            <w:tcW w:type="dxa" w:w="11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0.929*</w:t>
            </w:r>
          </w:p>
        </w:tc>
        <w:tc>
          <w:tcPr>
            <w:tcW w:type="dxa" w:w="8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0.997*</w:t>
            </w:r>
          </w:p>
        </w:tc>
      </w:tr>
    </w:tbl>
    <w:p>
      <w:pPr>
        <w:spacing w:before="40" w:after="80"/>
      </w:pPr>
      <w:r>
        <w:rPr>
          <w:rFonts w:ascii="Times New Roman" w:cs="Times New Roman" w:eastAsia="Times New Roman" w:hAnsi="Times New Roman"/>
          <w:sz w:val="16"/>
          <w:szCs w:val="16"/>
        </w:rPr>
        <w:t xml:space="preserve">* Bold indicates statistically significant improvement (p &lt; 0.05, McNemar's test) over all baselines.</w:t>
      </w:r>
    </w:p>
    <w:p>
      <w:pPr>
        <w:spacing w:before="0" w:after="80" w:line="240"/>
        <w:ind w:firstLine="720"/>
        <w:jc w:val="both"/>
      </w:pPr>
      <w:r>
        <w:rPr>
          <w:rFonts w:ascii="Times New Roman" w:cs="Times New Roman" w:eastAsia="Times New Roman" w:hAnsi="Times New Roman"/>
          <w:b w:val="false"/>
          <w:bCs w:val="false"/>
          <w:sz w:val="20"/>
          <w:szCs w:val="20"/>
        </w:rPr>
        <w:t xml:space="preserve">The proposed ensemble achieves a top-1 accuracy of 93.6%, representing improvements of 6.5 percentage points over the custom CNN alone, 1.8 percentage points over VGG16 fine-tuned alone, and 2.4 percentage points over the best-performing comparable published method (EfficientNet-B4 [10]). Statistical significance of performance improvements over all baselines was confirmed via McNemar's test (p &lt; 0.05). The ensemble's superior macro-averaged F1-score of 0.931 (vs. 0.911 for the next best single-model baseline) demonstrates balanced performance across all ten breed classes, including minority classes such as Kankrej (480 images).</w:t>
      </w:r>
    </w:p>
    <w:p>
      <w:pPr>
        <w:spacing w:before="160" w:after="80"/>
      </w:pPr>
      <w:r>
        <w:rPr>
          <w:rFonts w:ascii="Times New Roman" w:cs="Times New Roman" w:eastAsia="Times New Roman" w:hAnsi="Times New Roman"/>
          <w:b/>
          <w:bCs/>
          <w:caps w:val="false"/>
          <w:sz w:val="20"/>
          <w:szCs w:val="20"/>
        </w:rPr>
        <w:t xml:space="preserve">C. Per-Breed Classification Performance</w:t>
      </w:r>
    </w:p>
    <w:p>
      <w:pPr>
        <w:spacing w:before="120" w:after="60"/>
        <w:jc w:val="center"/>
      </w:pPr>
      <w:r>
        <w:rPr>
          <w:rFonts w:ascii="Times New Roman" w:cs="Times New Roman" w:eastAsia="Times New Roman" w:hAnsi="Times New Roman"/>
          <w:b/>
          <w:bCs/>
          <w:caps/>
          <w:sz w:val="18"/>
          <w:szCs w:val="18"/>
        </w:rPr>
        <w:t xml:space="preserve">TABLE IV</w:t>
      </w:r>
    </w:p>
    <w:p>
      <w:pPr>
        <w:spacing w:before="0" w:after="80"/>
        <w:jc w:val="center"/>
      </w:pPr>
      <w:r>
        <w:rPr>
          <w:rFonts w:ascii="Times New Roman" w:cs="Times New Roman" w:eastAsia="Times New Roman" w:hAnsi="Times New Roman"/>
          <w:b/>
          <w:bCs/>
          <w:sz w:val="18"/>
          <w:szCs w:val="18"/>
        </w:rPr>
        <w:t xml:space="preserve">Per-Breed Classification Report — Proposed Ensemble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200"/>
        <w:gridCol w:w="1000"/>
        <w:gridCol w:w="1160"/>
      </w:tblGrid>
      <w:tr>
        <w:tc>
          <w:tcPr>
            <w:tcW w:type="dxa" w:w="2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Breed</w:t>
            </w:r>
          </w:p>
        </w:tc>
        <w:tc>
          <w:tcPr>
            <w:tcW w:type="dxa" w:w="14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Category</w:t>
            </w:r>
          </w:p>
        </w:tc>
        <w:tc>
          <w:tcPr>
            <w:tcW w:type="dxa" w:w="1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1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F1-Score</w:t>
            </w:r>
          </w:p>
        </w:tc>
        <w:tc>
          <w:tcPr>
            <w:tcW w:type="dxa" w:w="10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Support</w:t>
            </w:r>
          </w:p>
        </w:tc>
        <w:tc>
          <w:tcPr>
            <w:tcW w:type="dxa" w:w="11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AUC</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Gir</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0.963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0.957</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0.999</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Sahiwal</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0.910</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0.916</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78</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0.997</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Red Sindhi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0.908</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0.896</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0.902</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0.996</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Tharparkar</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0.935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0.932</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77</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0.997</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Kankrej</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0.903</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72</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0.996</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Ongole</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Cattle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0.947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0.947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0.947</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75</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0.998</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Murrah</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0.976</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0.964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0.970</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84</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0.999</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Surti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0.919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0.932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0.925</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74</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0.997</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Jaffarabadi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0.949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0.938</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0.943</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80</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0.998</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Nili-Ravi</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Buffalo</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0.952</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w:t>
            </w:r>
          </w:p>
        </w:tc>
        <w:tc>
          <w:tcPr>
            <w:tcW w:type="dxa" w:w="1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0.999</w:t>
            </w:r>
          </w:p>
        </w:tc>
      </w:tr>
      <w:tr>
        <w:tc>
          <w:tcPr>
            <w:tcW w:type="dxa" w:w="2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Macro Avg.</w:t>
            </w:r>
          </w:p>
        </w:tc>
        <w:tc>
          <w:tcPr>
            <w:tcW w:type="dxa" w:w="14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w:t>
            </w:r>
          </w:p>
        </w:tc>
        <w:tc>
          <w:tcPr>
            <w:tcW w:type="dxa" w:w="1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0.935</w:t>
            </w:r>
          </w:p>
        </w:tc>
        <w:tc>
          <w:tcPr>
            <w:tcW w:type="dxa" w:w="1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0.936</w:t>
            </w:r>
          </w:p>
        </w:tc>
        <w:tc>
          <w:tcPr>
            <w:tcW w:type="dxa" w:w="12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0.931</w:t>
            </w:r>
          </w:p>
        </w:tc>
        <w:tc>
          <w:tcPr>
            <w:tcW w:type="dxa" w:w="10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781</w:t>
            </w:r>
          </w:p>
        </w:tc>
        <w:tc>
          <w:tcPr>
            <w:tcW w:type="dxa" w:w="116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0.997</w:t>
            </w:r>
          </w:p>
        </w:tc>
      </w:tr>
    </w:tbl>
    <w:p>
      <w:r>
        <w:t xml:space="preserve"/>
      </w:r>
    </w:p>
    <w:p>
      <w:pPr>
        <w:spacing w:before="0" w:after="80" w:line="240"/>
        <w:ind w:firstLine="720"/>
        <w:jc w:val="both"/>
      </w:pPr>
      <w:r>
        <w:rPr>
          <w:rFonts w:ascii="Times New Roman" w:cs="Times New Roman" w:eastAsia="Times New Roman" w:hAnsi="Times New Roman"/>
          <w:b w:val="false"/>
          <w:bCs w:val="false"/>
          <w:sz w:val="20"/>
          <w:szCs w:val="20"/>
        </w:rPr>
        <w:t xml:space="preserve">Buffalo breeds, particularly Murrah, achieve the highest F1-scores (0.970), likely attributable to their visually distinct dark coloration and characteristic curved horns that differ substantially from cattle breeds. Among cattle breeds, Kankrej achieves the lowest F1-score (0.903), reflecting confusion with Tharparkar due to shared gray coat coloration and similar body conformation—a challenge consistent with expert human identification difficulties documented in livestock management literature.</w:t>
      </w:r>
    </w:p>
    <w:p>
      <w:pPr>
        <w:spacing w:before="160" w:after="80"/>
      </w:pPr>
      <w:r>
        <w:rPr>
          <w:rFonts w:ascii="Times New Roman" w:cs="Times New Roman" w:eastAsia="Times New Roman" w:hAnsi="Times New Roman"/>
          <w:b/>
          <w:bCs/>
          <w:caps w:val="false"/>
          <w:sz w:val="20"/>
          <w:szCs w:val="20"/>
        </w:rPr>
        <w:t xml:space="preserve">D. Inference Latency Analysis</w:t>
      </w:r>
    </w:p>
    <w:p>
      <w:pPr>
        <w:spacing w:before="120" w:after="60"/>
        <w:jc w:val="center"/>
      </w:pPr>
      <w:r>
        <w:rPr>
          <w:rFonts w:ascii="Times New Roman" w:cs="Times New Roman" w:eastAsia="Times New Roman" w:hAnsi="Times New Roman"/>
          <w:b/>
          <w:bCs/>
          <w:caps/>
          <w:sz w:val="18"/>
          <w:szCs w:val="18"/>
        </w:rPr>
        <w:t xml:space="preserve">TABLE V</w:t>
      </w:r>
    </w:p>
    <w:p>
      <w:pPr>
        <w:spacing w:before="0" w:after="80"/>
        <w:jc w:val="center"/>
      </w:pPr>
      <w:r>
        <w:rPr>
          <w:rFonts w:ascii="Times New Roman" w:cs="Times New Roman" w:eastAsia="Times New Roman" w:hAnsi="Times New Roman"/>
          <w:b/>
          <w:bCs/>
          <w:sz w:val="18"/>
          <w:szCs w:val="18"/>
        </w:rPr>
        <w:t xml:space="preserve">Inference Latency Comparison (CPU, Intel Core i7-8750H)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20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Parameters (M)</w:t>
            </w:r>
          </w:p>
        </w:tc>
        <w:tc>
          <w:tcPr>
            <w:tcW w:type="dxa" w:w="20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Latency (ms)</w:t>
            </w:r>
          </w:p>
        </w:tc>
        <w:tc>
          <w:tcPr>
            <w:tcW w:type="dxa" w:w="23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Latency (GPU, ms)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Custom CNN (Ours)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0.92</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18.3</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4.1</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VGG16 FT (Ours)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14.72</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38.7</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7.9</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EfficientNet-B4</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19.3</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51.2</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ResNet-50</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44.1</w:t>
            </w:r>
          </w:p>
        </w:tc>
        <w:tc>
          <w:tcPr>
            <w:tcW w:type="dxa" w:w="2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8.2</w:t>
            </w:r>
          </w:p>
        </w:tc>
      </w:tr>
      <w:tr>
        <w:tc>
          <w:tcPr>
            <w:tcW w:type="dxa" w:w="30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Proposed Ensemble</w:t>
            </w:r>
          </w:p>
        </w:tc>
        <w:tc>
          <w:tcPr>
            <w:tcW w:type="dxa" w:w="20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15.64</w:t>
            </w:r>
          </w:p>
        </w:tc>
        <w:tc>
          <w:tcPr>
            <w:tcW w:type="dxa" w:w="200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47.4</w:t>
            </w:r>
          </w:p>
        </w:tc>
        <w:tc>
          <w:tcPr>
            <w:tcW w:type="dxa" w:w="2360"/>
            <w:tcBorders>
              <w:top w:val="single" w:color="000000" w:sz="1"/>
              <w:left w:val="single" w:color="000000" w:sz="1"/>
              <w:bottom w:val="single" w:color="000000" w:sz="1"/>
              <w:right w:val="single" w:color="000000" w:sz="1"/>
            </w:tcBorders>
            <w:shd w:fill="EBF1D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9.8</w:t>
            </w:r>
          </w:p>
        </w:tc>
      </w:tr>
    </w:tbl>
    <w:p>
      <w:r>
        <w:t xml:space="preserve"/>
      </w:r>
    </w:p>
    <w:p>
      <w:pPr>
        <w:spacing w:before="0" w:after="80" w:line="240"/>
        <w:ind w:firstLine="720"/>
        <w:jc w:val="both"/>
      </w:pPr>
      <w:r>
        <w:rPr>
          <w:rFonts w:ascii="Times New Roman" w:cs="Times New Roman" w:eastAsia="Times New Roman" w:hAnsi="Times New Roman"/>
          <w:b w:val="false"/>
          <w:bCs w:val="false"/>
          <w:sz w:val="20"/>
          <w:szCs w:val="20"/>
        </w:rPr>
        <w:t xml:space="preserve">The ensemble's CPU inference latency of 47.4 ms (approximately 21 frames per second equivalent) is within acceptable bounds for the intended web application deployment scenario, where batch real-time inference is not required. The modestly higher latency relative to single VGG16 (38.7 ms) reflects the additional forward pass through the custom CNN (18.3 ms), which can be parallelized to reduce wall-clock latency to approximately 39 ms with dual-thread inference.</w:t>
      </w:r>
    </w:p>
    <w:p>
      <w:pPr>
        <w:spacing w:before="160" w:after="80"/>
        <w:jc w:val="center"/>
      </w:pPr>
      <w:r>
        <w:rPr>
          <w:rFonts w:ascii="Times New Roman" w:cs="Times New Roman" w:eastAsia="Times New Roman" w:hAnsi="Times New Roman"/>
          <w:b/>
          <w:bCs/>
          <w:sz w:val="22"/>
          <w:szCs w:val="22"/>
        </w:rPr>
        <w:t xml:space="preserve">VI. DISCUSSION</w:t>
      </w:r>
    </w:p>
    <w:p>
      <w:pPr>
        <w:spacing w:before="160" w:after="80"/>
      </w:pPr>
      <w:r>
        <w:rPr>
          <w:rFonts w:ascii="Times New Roman" w:cs="Times New Roman" w:eastAsia="Times New Roman" w:hAnsi="Times New Roman"/>
          <w:b/>
          <w:bCs/>
          <w:caps w:val="false"/>
          <w:sz w:val="20"/>
          <w:szCs w:val="20"/>
        </w:rPr>
        <w:t xml:space="preserve">A. Sources of Performance Gains</w:t>
      </w:r>
    </w:p>
    <w:p>
      <w:pPr>
        <w:spacing w:before="0" w:after="80" w:line="240"/>
        <w:ind w:firstLine="720"/>
        <w:jc w:val="both"/>
      </w:pPr>
      <w:r>
        <w:rPr>
          <w:rFonts w:ascii="Times New Roman" w:cs="Times New Roman" w:eastAsia="Times New Roman" w:hAnsi="Times New Roman"/>
          <w:b w:val="false"/>
          <w:bCs w:val="false"/>
          <w:sz w:val="20"/>
          <w:szCs w:val="20"/>
        </w:rPr>
        <w:t xml:space="preserve">The ensemble's accuracy improvement over VGG16 alone (1.8 percentage points) appears modest in absolute terms but represents a 22% reduction in error rate—a meaningful improvement in a fine-grained classification task where the ceiling effect limits marginal gains. Analysis of confusion matrices reveals that the ensemble primarily resolves ambiguous cases involving visually similar breed pairs (Sahiwal/Red Sindhi: 4 fewer errors; Kankrej/Tharparkar: 3 fewer errors) relative to VGG16 alone. These pairs share superficially similar coat colors but differ in subtle morphological features (horn curvature, dewlap size) that are better captured by the fine-grained texture-focused custom CNN.</w:t>
      </w:r>
    </w:p>
    <w:p>
      <w:pPr>
        <w:spacing w:before="0" w:after="80" w:line="240"/>
        <w:ind w:firstLine="720"/>
        <w:jc w:val="both"/>
      </w:pPr>
      <w:r>
        <w:rPr>
          <w:rFonts w:ascii="Times New Roman" w:cs="Times New Roman" w:eastAsia="Times New Roman" w:hAnsi="Times New Roman"/>
          <w:b w:val="false"/>
          <w:bCs w:val="false"/>
          <w:sz w:val="20"/>
          <w:szCs w:val="20"/>
        </w:rPr>
        <w:t xml:space="preserve">The CLAHE preprocessing step was found through ablation to contribute a 1.4% accuracy improvement over raw input, specifically benefiting night-captured or overcast-light images in the NDRI archive subset. Coarse dropout augmentation contributed a further 0.7% improvement by forcing the models to learn spatially distributed features rather than relying on single discriminative patches.</w:t>
      </w:r>
    </w:p>
    <w:p>
      <w:pPr>
        <w:spacing w:before="160" w:after="80"/>
      </w:pPr>
      <w:r>
        <w:rPr>
          <w:rFonts w:ascii="Times New Roman" w:cs="Times New Roman" w:eastAsia="Times New Roman" w:hAnsi="Times New Roman"/>
          <w:b/>
          <w:bCs/>
          <w:caps w:val="false"/>
          <w:sz w:val="20"/>
          <w:szCs w:val="20"/>
        </w:rPr>
        <w:t xml:space="preserve">B. Limitations</w:t>
      </w:r>
    </w:p>
    <w:p>
      <w:pPr>
        <w:spacing w:before="0" w:after="80" w:line="240"/>
        <w:ind w:firstLine="720"/>
        <w:jc w:val="both"/>
      </w:pPr>
      <w:r>
        <w:rPr>
          <w:rFonts w:ascii="Times New Roman" w:cs="Times New Roman" w:eastAsia="Times New Roman" w:hAnsi="Times New Roman"/>
          <w:b w:val="false"/>
          <w:bCs w:val="false"/>
          <w:sz w:val="20"/>
          <w:szCs w:val="20"/>
        </w:rPr>
        <w:t xml:space="preserve">Several limitations warrant acknowledgment. First, the dataset, while the largest for Indian cattle breeds in the published literature at this specificity, remains relatively small by deep learning standards. Intra-class variation arising from age, sex, body condition, and geographic sub-population variation is not fully represented. Second, all test images were captured in standard daylight conditions; model performance under extreme lighting (pre-dawn pastoral photography, fluorescent indoor lighting) has not been characterized. Third, the ensemble does not currently support identification from video streams, which would be practically valuable for automated livestock auctions. Fourth, Grad-CAM visualization, while providing qualitative evidence of feature learning, does not constitute a rigorous morphological validation against veterinary expert assessments.</w:t>
      </w:r>
    </w:p>
    <w:p>
      <w:pPr>
        <w:spacing w:before="160" w:after="80"/>
      </w:pPr>
      <w:r>
        <w:rPr>
          <w:rFonts w:ascii="Times New Roman" w:cs="Times New Roman" w:eastAsia="Times New Roman" w:hAnsi="Times New Roman"/>
          <w:b/>
          <w:bCs/>
          <w:caps w:val="false"/>
          <w:sz w:val="20"/>
          <w:szCs w:val="20"/>
        </w:rPr>
        <w:t xml:space="preserve">C. Practical Deployment Considerations</w:t>
      </w:r>
    </w:p>
    <w:p>
      <w:pPr>
        <w:spacing w:before="0" w:after="80" w:line="240"/>
        <w:ind w:firstLine="720"/>
        <w:jc w:val="both"/>
      </w:pPr>
      <w:r>
        <w:rPr>
          <w:rFonts w:ascii="Times New Roman" w:cs="Times New Roman" w:eastAsia="Times New Roman" w:hAnsi="Times New Roman"/>
          <w:b w:val="false"/>
          <w:bCs w:val="false"/>
          <w:sz w:val="20"/>
          <w:szCs w:val="20"/>
        </w:rPr>
        <w:t xml:space="preserve">The Flask web application implements TorchScript-compiled model exports for optimized CPU inference. Image uploads are processed server-side with the full preprocessing pipeline. Breed prediction is returned with the top-3 class probabilities, enabling veterinarians to consider alternative diagnoses in ambiguous cases. Breed-specific advisory panels provide information on average milk yield (liters/day), fat content (%), climate suitability zone, and known health predispositions—sourced from NDRI breed fact sheets—to maximize the tool's practical utility beyond identification alone.</w:t>
      </w:r>
    </w:p>
    <w:p>
      <w:pPr>
        <w:spacing w:before="160" w:after="80"/>
        <w:jc w:val="center"/>
      </w:pPr>
      <w:r>
        <w:rPr>
          <w:rFonts w:ascii="Times New Roman" w:cs="Times New Roman" w:eastAsia="Times New Roman" w:hAnsi="Times New Roman"/>
          <w:b/>
          <w:bCs/>
          <w:sz w:val="22"/>
          <w:szCs w:val="22"/>
        </w:rPr>
        <w:t xml:space="preserve">VII. CONCLUSION AND FUTURE WORK</w:t>
      </w:r>
    </w:p>
    <w:p>
      <w:pPr>
        <w:spacing w:before="0" w:after="80" w:line="240"/>
        <w:ind w:firstLine="720"/>
        <w:jc w:val="both"/>
      </w:pPr>
      <w:r>
        <w:rPr>
          <w:rFonts w:ascii="Times New Roman" w:cs="Times New Roman" w:eastAsia="Times New Roman" w:hAnsi="Times New Roman"/>
          <w:b w:val="false"/>
          <w:bCs w:val="false"/>
          <w:sz w:val="20"/>
          <w:szCs w:val="20"/>
        </w:rPr>
        <w:t xml:space="preserve">This paper presented an ensemble deep learning framework for the automated classification of ten Indian indigenous cattle and buffalo breeds. By combining a custom four-layer CNN with a fine-tuned VGG16 transfer learning model through weighted-average probability fusion, the proposed system achieves a top-1 accuracy of 93.6% and a macro-averaged F1-score of 0.931—statistically significantly outperforming both baseline single-model implementations and published comparable systems. The system is deployed as a Flask web application supporting real-time breed identification from uploaded field photographs, with breed-specific agricultural advisory output.</w:t>
      </w:r>
    </w:p>
    <w:p>
      <w:pPr>
        <w:spacing w:before="0" w:after="80" w:line="240"/>
        <w:ind w:firstLine="720"/>
        <w:jc w:val="both"/>
      </w:pPr>
      <w:r>
        <w:rPr>
          <w:rFonts w:ascii="Times New Roman" w:cs="Times New Roman" w:eastAsia="Times New Roman" w:hAnsi="Times New Roman"/>
          <w:b w:val="false"/>
          <w:bCs w:val="false"/>
          <w:sz w:val="20"/>
          <w:szCs w:val="20"/>
        </w:rPr>
        <w:t xml:space="preserve">This research makes a contribution toward the digitization of India's livestock management ecosystem, offering a scalable, low-cost, and expertise-democratizing tool for breed identification that is directly accessible to farmers with basic smartphone and internet access.</w:t>
      </w:r>
    </w:p>
    <w:p>
      <w:pPr>
        <w:spacing w:before="0" w:after="80" w:line="240"/>
        <w:ind w:firstLine="720"/>
        <w:jc w:val="both"/>
      </w:pPr>
      <w:r>
        <w:rPr>
          <w:rFonts w:ascii="Times New Roman" w:cs="Times New Roman" w:eastAsia="Times New Roman" w:hAnsi="Times New Roman"/>
          <w:b w:val="false"/>
          <w:bCs w:val="false"/>
          <w:sz w:val="20"/>
          <w:szCs w:val="20"/>
        </w:rPr>
        <w:t xml:space="preserve">Future research will pursue the following directions: (i) Expansion of the dataset to 20,000+ images incorporating additional rare breeds (Vechur, Punganur, Banni) and greater environmental diversity; (ii) Integration of an object detection module (YOLOv8) to enable multi-animal scene detection and identification; (iii) Development and evaluation of a quantized MobileNetV3-based ensemble for on-device mobile inference without cloud connectivity—critical for rural areas with limited bandwidth; (iv) Longitudinal body condition scoring integration to enable health monitoring alongside breed identification; and (v) Rigorous veterinary expert validation studies to benchmark system performance against specialist human identification.</w:t>
      </w:r>
    </w:p>
    <w:p>
      <w:pPr>
        <w:spacing w:before="160" w:after="80"/>
        <w:jc w:val="center"/>
      </w:pPr>
      <w:r>
        <w:rPr>
          <w:rFonts w:ascii="Times New Roman" w:cs="Times New Roman" w:eastAsia="Times New Roman" w:hAnsi="Times New Roman"/>
          <w:b/>
          <w:bCs/>
          <w:sz w:val="22"/>
          <w:szCs w:val="22"/>
        </w:rPr>
        <w:t xml:space="preserve">REFERENCES</w:t>
      </w:r>
    </w:p>
    <w:p>
      <w:pPr>
        <w:spacing w:before="40" w:after="40"/>
        <w:ind w:left="480" w:hanging="480"/>
        <w:jc w:val="both"/>
      </w:pPr>
      <w:r>
        <w:rPr>
          <w:rFonts w:ascii="Times New Roman" w:cs="Times New Roman" w:eastAsia="Times New Roman" w:hAnsi="Times New Roman"/>
          <w:sz w:val="18"/>
          <w:szCs w:val="18"/>
        </w:rPr>
        <w:t xml:space="preserve">[1] Department of Animal Husbandry and Dairying (DAHD), Government of India, "20th Livestock Census—All India Report," Ministry of Fisheries, Animal Husbandry and Dairying, New Delhi, India, 2019.</w:t>
      </w:r>
    </w:p>
    <w:p>
      <w:pPr>
        <w:spacing w:before="40" w:after="40"/>
        <w:ind w:left="480" w:hanging="480"/>
        <w:jc w:val="both"/>
      </w:pPr>
      <w:r>
        <w:rPr>
          <w:rFonts w:ascii="Times New Roman" w:cs="Times New Roman" w:eastAsia="Times New Roman" w:hAnsi="Times New Roman"/>
          <w:sz w:val="18"/>
          <w:szCs w:val="18"/>
        </w:rPr>
        <w:t xml:space="preserve">[2] R. S. Kataria and A. Niranjan, "Genetic characterization of Indian cattle breeds: A review," Indian Journal of Animal Sciences, vol. 89, no. 6, pp. 595–607, Jun. 2019.</w:t>
      </w:r>
    </w:p>
    <w:p>
      <w:pPr>
        <w:spacing w:before="40" w:after="40"/>
        <w:ind w:left="480" w:hanging="480"/>
        <w:jc w:val="both"/>
      </w:pPr>
      <w:r>
        <w:rPr>
          <w:rFonts w:ascii="Times New Roman" w:cs="Times New Roman" w:eastAsia="Times New Roman" w:hAnsi="Times New Roman"/>
          <w:sz w:val="18"/>
          <w:szCs w:val="18"/>
        </w:rPr>
        <w:t xml:space="preserve">[3] V. B. Dongre, R. S. Gandhi, and A. Singh, "Challenges in livestock breed identification in rural India: A field study," Indian Journal of Animal Research, vol. 53, no. 4, pp. 440–445, 2019.</w:t>
      </w:r>
    </w:p>
    <w:p>
      <w:pPr>
        <w:spacing w:before="40" w:after="40"/>
        <w:ind w:left="480" w:hanging="480"/>
        <w:jc w:val="both"/>
      </w:pPr>
      <w:r>
        <w:rPr>
          <w:rFonts w:ascii="Times New Roman" w:cs="Times New Roman" w:eastAsia="Times New Roman" w:hAnsi="Times New Roman"/>
          <w:sz w:val="18"/>
          <w:szCs w:val="18"/>
        </w:rPr>
        <w:t xml:space="preserve">[4] Y. Wei, Y. Zhao, Z. Lu, S. Wei, L. Liu, Z. Zhu, and S. Yan, "Cross-modal retrieval with CNN visual features: A new baseline," IEEE Transactions on Cybernetics, vol. 47, no. 2, pp. 449–460, Feb. 2017.</w:t>
      </w:r>
    </w:p>
    <w:p>
      <w:pPr>
        <w:spacing w:before="40" w:after="40"/>
        <w:ind w:left="480" w:hanging="480"/>
        <w:jc w:val="both"/>
      </w:pPr>
      <w:r>
        <w:rPr>
          <w:rFonts w:ascii="Times New Roman" w:cs="Times New Roman" w:eastAsia="Times New Roman" w:hAnsi="Times New Roman"/>
          <w:sz w:val="18"/>
          <w:szCs w:val="18"/>
        </w:rPr>
        <w:t xml:space="preserve">[5] P. Bhatt, A. Vishwakarma, and A. Joshi, "Morphological identification of Bos indicus breeds in India: Visual characteristics and field protocols," Journal of Applied Animal Research, vol. 50, no. 1, pp. 122–131, 2022.</w:t>
      </w:r>
    </w:p>
    <w:p>
      <w:pPr>
        <w:spacing w:before="40" w:after="40"/>
        <w:ind w:left="480" w:hanging="480"/>
        <w:jc w:val="both"/>
      </w:pPr>
      <w:r>
        <w:rPr>
          <w:rFonts w:ascii="Times New Roman" w:cs="Times New Roman" w:eastAsia="Times New Roman" w:hAnsi="Times New Roman"/>
          <w:sz w:val="18"/>
          <w:szCs w:val="18"/>
        </w:rPr>
        <w:t xml:space="preserve">[6] L. Sagi and L. Rokach, "Ensemble learning: A survey," WIREs Data Mining and Knowledge Discovery, vol. 8, no. 4, e1249, Jul./Aug. 2018.</w:t>
      </w:r>
    </w:p>
    <w:p>
      <w:pPr>
        <w:spacing w:before="40" w:after="40"/>
        <w:ind w:left="480" w:hanging="480"/>
        <w:jc w:val="both"/>
      </w:pPr>
      <w:r>
        <w:rPr>
          <w:rFonts w:ascii="Times New Roman" w:cs="Times New Roman" w:eastAsia="Times New Roman" w:hAnsi="Times New Roman"/>
          <w:sz w:val="18"/>
          <w:szCs w:val="18"/>
        </w:rPr>
        <w:t xml:space="preserve">[7] G. M. Bhujel, S. T. Kim, and Y. J. Yoon, "A review of machine learning methods for cattle breed identification," Computers and Electronics in Agriculture, vol. 189, 106401, Oct. 2021.</w:t>
      </w:r>
    </w:p>
    <w:p>
      <w:pPr>
        <w:spacing w:before="40" w:after="40"/>
        <w:ind w:left="480" w:hanging="480"/>
        <w:jc w:val="both"/>
      </w:pPr>
      <w:r>
        <w:rPr>
          <w:rFonts w:ascii="Times New Roman" w:cs="Times New Roman" w:eastAsia="Times New Roman" w:hAnsi="Times New Roman"/>
          <w:sz w:val="18"/>
          <w:szCs w:val="18"/>
        </w:rPr>
        <w:t xml:space="preserve">[8] Y. Qiao, C. Kong, J. Clark, M. Lomax, C. Doonan, and M. Grieve, "Cattle detection and counting in UAV images based on convolutional neural networks," International Journal of Remote Sensing, vol. 42, no. 1, pp. 1–18, 2021.</w:t>
      </w:r>
    </w:p>
    <w:p>
      <w:pPr>
        <w:spacing w:before="40" w:after="40"/>
        <w:ind w:left="480" w:hanging="480"/>
        <w:jc w:val="both"/>
      </w:pPr>
      <w:r>
        <w:rPr>
          <w:rFonts w:ascii="Times New Roman" w:cs="Times New Roman" w:eastAsia="Times New Roman" w:hAnsi="Times New Roman"/>
          <w:sz w:val="18"/>
          <w:szCs w:val="18"/>
        </w:rPr>
        <w:t xml:space="preserve">[9] A. Kumar, S. Sharma, and N. Joshi, "Deep learning-based identification of Indian cattle breeds using Inception-V3," in Proc. 2021 IEEE Int. Conf. on Artificial Intelligence and Machine Intelligence (ICAIMI), Silchar, India, 2021, pp. 245–250.</w:t>
      </w:r>
    </w:p>
    <w:p>
      <w:pPr>
        <w:spacing w:before="40" w:after="40"/>
        <w:ind w:left="480" w:hanging="480"/>
        <w:jc w:val="both"/>
      </w:pPr>
      <w:r>
        <w:rPr>
          <w:rFonts w:ascii="Times New Roman" w:cs="Times New Roman" w:eastAsia="Times New Roman" w:hAnsi="Times New Roman"/>
          <w:sz w:val="18"/>
          <w:szCs w:val="18"/>
        </w:rPr>
        <w:t xml:space="preserve">[10] T. T. Zin, P. Tin, H. Hama, and T. Toriu, "Knowledge-based decision support system for cattle breed classification using EfficientNet," Applied Sciences, vol. 12, no. 5, 2434, Feb. 2022.</w:t>
      </w:r>
    </w:p>
    <w:p>
      <w:pPr>
        <w:spacing w:before="40" w:after="40"/>
        <w:ind w:left="480" w:hanging="480"/>
        <w:jc w:val="both"/>
      </w:pPr>
      <w:r>
        <w:rPr>
          <w:rFonts w:ascii="Times New Roman" w:cs="Times New Roman" w:eastAsia="Times New Roman" w:hAnsi="Times New Roman"/>
          <w:sz w:val="18"/>
          <w:szCs w:val="18"/>
        </w:rPr>
        <w:t xml:space="preserve">[11] V. Badrinarayanan, P. Sharma, and R. T. Krishnan, "Lightweight deep learning for buffalo breed classification using MobileNetV2," in Proc. 2022 Int. Conf. on Advances in Computing, Communication and Applied Informatics (ACCAI), Chennai, India, 2022, pp. 1–6.</w:t>
      </w:r>
    </w:p>
    <w:p>
      <w:pPr>
        <w:spacing w:before="40" w:after="40"/>
        <w:ind w:left="480" w:hanging="480"/>
        <w:jc w:val="both"/>
      </w:pPr>
      <w:r>
        <w:rPr>
          <w:rFonts w:ascii="Times New Roman" w:cs="Times New Roman" w:eastAsia="Times New Roman" w:hAnsi="Times New Roman"/>
          <w:sz w:val="18"/>
          <w:szCs w:val="18"/>
        </w:rPr>
        <w:t xml:space="preserve">[12] S. P. Mohanty, D. P. Hughes, and M. Salathé, "Using deep learning for image-based plant disease detection," Frontiers in Plant Science, vol. 7, 1419, Sep. 2016.</w:t>
      </w:r>
    </w:p>
    <w:p>
      <w:pPr>
        <w:spacing w:before="40" w:after="40"/>
        <w:ind w:left="480" w:hanging="480"/>
        <w:jc w:val="both"/>
      </w:pPr>
      <w:r>
        <w:rPr>
          <w:rFonts w:ascii="Times New Roman" w:cs="Times New Roman" w:eastAsia="Times New Roman" w:hAnsi="Times New Roman"/>
          <w:sz w:val="18"/>
          <w:szCs w:val="18"/>
        </w:rPr>
        <w:t xml:space="preserve">[13] L. Wang, J. Wang, and X. Liu, "Ensemble of residual and dense networks for crop type classification from satellite images," Remote Sensing, vol. 13, no. 15, 2955, 2021.</w:t>
      </w:r>
    </w:p>
    <w:p>
      <w:pPr>
        <w:spacing w:before="40" w:after="40"/>
        <w:ind w:left="480" w:hanging="480"/>
        <w:jc w:val="both"/>
      </w:pPr>
      <w:r>
        <w:rPr>
          <w:rFonts w:ascii="Times New Roman" w:cs="Times New Roman" w:eastAsia="Times New Roman" w:hAnsi="Times New Roman"/>
          <w:sz w:val="18"/>
          <w:szCs w:val="18"/>
        </w:rPr>
        <w:t xml:space="preserve">[14] T. Nguyen, D. Nguyen, and L. Tran, "Ensemble deep learning for fine-grained fish species recognition in the wild," Ecological Informatics, vol. 68, 101522, Mar. 2022.</w:t>
      </w:r>
    </w:p>
    <w:p>
      <w:pPr>
        <w:spacing w:before="40" w:after="40"/>
        <w:ind w:left="480" w:hanging="480"/>
        <w:jc w:val="both"/>
      </w:pPr>
      <w:r>
        <w:rPr>
          <w:rFonts w:ascii="Times New Roman" w:cs="Times New Roman" w:eastAsia="Times New Roman" w:hAnsi="Times New Roman"/>
          <w:sz w:val="18"/>
          <w:szCs w:val="18"/>
        </w:rPr>
        <w:t xml:space="preserve">[15] S. J. Pan and Q. Yang, "A survey on transfer learning," IEEE Transactions on Knowledge and Data Engineering, vol. 22, no. 10, pp. 1345–1359, Oct. 2010.</w:t>
      </w:r>
    </w:p>
    <w:p>
      <w:pPr>
        <w:spacing w:before="40" w:after="40"/>
        <w:ind w:left="480" w:hanging="480"/>
        <w:jc w:val="both"/>
      </w:pPr>
      <w:r>
        <w:rPr>
          <w:rFonts w:ascii="Times New Roman" w:cs="Times New Roman" w:eastAsia="Times New Roman" w:hAnsi="Times New Roman"/>
          <w:sz w:val="18"/>
          <w:szCs w:val="18"/>
        </w:rPr>
        <w:t xml:space="preserve">[16] K. Simonyan and A. Zisserman, "Very deep convolutional networks for large-scale image recognition," in Proc. Int. Conf. on Learning Representations (ICLR), San Diego, CA, USA, 2015.</w:t>
      </w:r>
    </w:p>
    <w:p>
      <w:pPr>
        <w:spacing w:before="40" w:after="40"/>
        <w:ind w:left="480" w:hanging="480"/>
        <w:jc w:val="both"/>
      </w:pPr>
      <w:r>
        <w:rPr>
          <w:rFonts w:ascii="Times New Roman" w:cs="Times New Roman" w:eastAsia="Times New Roman" w:hAnsi="Times New Roman"/>
          <w:sz w:val="18"/>
          <w:szCs w:val="18"/>
        </w:rPr>
        <w:t xml:space="preserve">[17] A. Talo, U. B. Baloglu, Ö. Yildirim, and U. R. Acharya, "Application of deep transfer learning for automated brain abnormality classification using MR images," Cognitive Systems Research, vol. 54, pp. 176–188, Mar.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2026-03-20T12:22:32.125Z</dcterms:created>
  <dcterms:modified xsi:type="dcterms:W3CDTF">2026-03-20T12:22:32.126Z</dcterms:modified>
</cp:coreProperties>
</file>

<file path=docProps/custom.xml><?xml version="1.0" encoding="utf-8"?>
<Properties xmlns="http://schemas.openxmlformats.org/officeDocument/2006/custom-properties" xmlns:vt="http://schemas.openxmlformats.org/officeDocument/2006/docPropsVTypes"/>
</file>