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16095" w14:textId="77777777" w:rsidR="00E030A6" w:rsidRDefault="00E030A6" w:rsidP="00E030A6">
      <w:pPr>
        <w:pStyle w:val="Title"/>
        <w:spacing w:line="271" w:lineRule="auto"/>
        <w:ind w:left="0" w:firstLine="0"/>
        <w:jc w:val="center"/>
      </w:pPr>
      <w:r>
        <w:rPr>
          <w:w w:val="105"/>
        </w:rPr>
        <w:t xml:space="preserve">     </w:t>
      </w:r>
      <w:bookmarkStart w:id="0" w:name="_Hlk153308019"/>
      <w:bookmarkStart w:id="1" w:name="_Hlk153308040"/>
      <w:r>
        <w:rPr>
          <w:w w:val="105"/>
        </w:rPr>
        <w:t>STUDENT DROPOUT ANALYSIS FOR SCHOOL EDUCATION</w:t>
      </w:r>
      <w:bookmarkEnd w:id="0"/>
    </w:p>
    <w:bookmarkEnd w:id="1"/>
    <w:p w14:paraId="2111F773" w14:textId="793CE75B" w:rsidR="001E6593" w:rsidRPr="0081318D" w:rsidRDefault="001E6593" w:rsidP="00E030A6">
      <w:pPr>
        <w:rPr>
          <w:b/>
          <w:bCs/>
          <w:sz w:val="20"/>
          <w:szCs w:val="20"/>
        </w:rPr>
      </w:pPr>
    </w:p>
    <w:p w14:paraId="7F132CCC" w14:textId="77777777" w:rsidR="002478DB" w:rsidRDefault="002478DB" w:rsidP="00E030A6">
      <w:pPr>
        <w:rPr>
          <w:i/>
          <w:iCs/>
          <w:sz w:val="18"/>
          <w:szCs w:val="18"/>
        </w:rPr>
      </w:pPr>
    </w:p>
    <w:p w14:paraId="068BA63B" w14:textId="0F42B510" w:rsidR="0081318D" w:rsidRDefault="0081318D" w:rsidP="00E97E48">
      <w:pPr>
        <w:ind w:left="-810" w:right="-820" w:firstLine="810"/>
        <w:rPr>
          <w:sz w:val="20"/>
          <w:szCs w:val="20"/>
        </w:rPr>
      </w:pPr>
      <w:r>
        <w:rPr>
          <w:sz w:val="20"/>
          <w:szCs w:val="20"/>
        </w:rPr>
        <w:t xml:space="preserve">            Prabhjot Kaur                                 Nishant Kuma</w:t>
      </w:r>
      <w:r w:rsidR="00E97E48">
        <w:rPr>
          <w:sz w:val="20"/>
          <w:szCs w:val="20"/>
        </w:rPr>
        <w:t xml:space="preserve">r                             </w:t>
      </w:r>
      <w:proofErr w:type="spellStart"/>
      <w:r>
        <w:rPr>
          <w:sz w:val="20"/>
          <w:szCs w:val="20"/>
        </w:rPr>
        <w:t>Naman</w:t>
      </w:r>
      <w:proofErr w:type="spellEnd"/>
      <w:r>
        <w:rPr>
          <w:sz w:val="20"/>
          <w:szCs w:val="20"/>
        </w:rPr>
        <w:t xml:space="preserve"> </w:t>
      </w:r>
      <w:proofErr w:type="spellStart"/>
      <w:r>
        <w:rPr>
          <w:sz w:val="20"/>
          <w:szCs w:val="20"/>
        </w:rPr>
        <w:t>Zadoo</w:t>
      </w:r>
      <w:proofErr w:type="spellEnd"/>
      <w:r>
        <w:rPr>
          <w:sz w:val="20"/>
          <w:szCs w:val="20"/>
        </w:rPr>
        <w:t xml:space="preserve">                                </w:t>
      </w:r>
      <w:proofErr w:type="spellStart"/>
      <w:r>
        <w:rPr>
          <w:sz w:val="20"/>
          <w:szCs w:val="20"/>
        </w:rPr>
        <w:t>Rohit</w:t>
      </w:r>
      <w:proofErr w:type="spellEnd"/>
      <w:r>
        <w:rPr>
          <w:sz w:val="20"/>
          <w:szCs w:val="20"/>
        </w:rPr>
        <w:t xml:space="preserve"> Sharma </w:t>
      </w:r>
    </w:p>
    <w:p w14:paraId="3674C92D" w14:textId="7F2F4036" w:rsidR="0081318D" w:rsidRDefault="0081318D" w:rsidP="00E97E48">
      <w:pPr>
        <w:ind w:left="-810" w:right="-820" w:firstLine="810"/>
        <w:rPr>
          <w:i/>
          <w:w w:val="115"/>
          <w:sz w:val="18"/>
        </w:rPr>
      </w:pPr>
      <w:r>
        <w:rPr>
          <w:i/>
          <w:w w:val="115"/>
          <w:sz w:val="18"/>
        </w:rPr>
        <w:t xml:space="preserve">  Department</w:t>
      </w:r>
      <w:r>
        <w:rPr>
          <w:i/>
          <w:spacing w:val="18"/>
          <w:w w:val="115"/>
          <w:sz w:val="18"/>
        </w:rPr>
        <w:t xml:space="preserve"> </w:t>
      </w:r>
      <w:r>
        <w:rPr>
          <w:i/>
          <w:w w:val="115"/>
          <w:sz w:val="18"/>
        </w:rPr>
        <w:t>of</w:t>
      </w:r>
      <w:r>
        <w:rPr>
          <w:i/>
          <w:spacing w:val="19"/>
          <w:w w:val="115"/>
          <w:sz w:val="18"/>
        </w:rPr>
        <w:t xml:space="preserve"> </w:t>
      </w:r>
      <w:r w:rsidR="00E97E48">
        <w:rPr>
          <w:i/>
          <w:w w:val="115"/>
          <w:sz w:val="18"/>
        </w:rPr>
        <w:t xml:space="preserve">Computer             </w:t>
      </w:r>
      <w:r>
        <w:rPr>
          <w:i/>
          <w:w w:val="115"/>
          <w:sz w:val="18"/>
        </w:rPr>
        <w:t>Department</w:t>
      </w:r>
      <w:r>
        <w:rPr>
          <w:i/>
          <w:spacing w:val="18"/>
          <w:w w:val="115"/>
          <w:sz w:val="18"/>
        </w:rPr>
        <w:t xml:space="preserve"> </w:t>
      </w:r>
      <w:r>
        <w:rPr>
          <w:i/>
          <w:w w:val="115"/>
          <w:sz w:val="18"/>
        </w:rPr>
        <w:t>of</w:t>
      </w:r>
      <w:r>
        <w:rPr>
          <w:i/>
          <w:spacing w:val="19"/>
          <w:w w:val="115"/>
          <w:sz w:val="18"/>
        </w:rPr>
        <w:t xml:space="preserve"> </w:t>
      </w:r>
      <w:r>
        <w:rPr>
          <w:i/>
          <w:w w:val="115"/>
          <w:sz w:val="18"/>
        </w:rPr>
        <w:t>Computer          Department</w:t>
      </w:r>
      <w:r>
        <w:rPr>
          <w:i/>
          <w:spacing w:val="18"/>
          <w:w w:val="115"/>
          <w:sz w:val="18"/>
        </w:rPr>
        <w:t xml:space="preserve"> </w:t>
      </w:r>
      <w:r>
        <w:rPr>
          <w:i/>
          <w:w w:val="115"/>
          <w:sz w:val="18"/>
        </w:rPr>
        <w:t>of</w:t>
      </w:r>
      <w:r>
        <w:rPr>
          <w:i/>
          <w:spacing w:val="19"/>
          <w:w w:val="115"/>
          <w:sz w:val="18"/>
        </w:rPr>
        <w:t xml:space="preserve"> </w:t>
      </w:r>
      <w:r>
        <w:rPr>
          <w:i/>
          <w:w w:val="115"/>
          <w:sz w:val="18"/>
        </w:rPr>
        <w:t>Computer           Department</w:t>
      </w:r>
      <w:r>
        <w:rPr>
          <w:i/>
          <w:spacing w:val="18"/>
          <w:w w:val="115"/>
          <w:sz w:val="18"/>
        </w:rPr>
        <w:t xml:space="preserve"> </w:t>
      </w:r>
      <w:r>
        <w:rPr>
          <w:i/>
          <w:w w:val="115"/>
          <w:sz w:val="18"/>
        </w:rPr>
        <w:t>of Computer</w:t>
      </w:r>
    </w:p>
    <w:p w14:paraId="39568F7A" w14:textId="539B90A1" w:rsidR="0081318D" w:rsidRDefault="00E97E48" w:rsidP="00E97E48">
      <w:pPr>
        <w:ind w:left="-810" w:right="-820" w:firstLine="810"/>
        <w:rPr>
          <w:w w:val="115"/>
          <w:sz w:val="18"/>
        </w:rPr>
      </w:pPr>
      <w:r>
        <w:rPr>
          <w:w w:val="115"/>
          <w:sz w:val="18"/>
        </w:rPr>
        <w:t xml:space="preserve">   </w:t>
      </w:r>
      <w:r w:rsidR="0081318D">
        <w:rPr>
          <w:w w:val="115"/>
          <w:sz w:val="18"/>
        </w:rPr>
        <w:t>Science</w:t>
      </w:r>
      <w:r w:rsidR="0081318D">
        <w:rPr>
          <w:spacing w:val="19"/>
          <w:w w:val="115"/>
          <w:sz w:val="18"/>
        </w:rPr>
        <w:t xml:space="preserve"> </w:t>
      </w:r>
      <w:r w:rsidR="0081318D">
        <w:rPr>
          <w:w w:val="115"/>
          <w:sz w:val="18"/>
        </w:rPr>
        <w:t>and</w:t>
      </w:r>
      <w:r w:rsidR="0081318D">
        <w:rPr>
          <w:spacing w:val="19"/>
          <w:w w:val="115"/>
          <w:sz w:val="18"/>
        </w:rPr>
        <w:t xml:space="preserve"> </w:t>
      </w:r>
      <w:r>
        <w:rPr>
          <w:w w:val="115"/>
          <w:sz w:val="18"/>
        </w:rPr>
        <w:t xml:space="preserve">Engineering             </w:t>
      </w:r>
      <w:r w:rsidR="0081318D">
        <w:rPr>
          <w:w w:val="115"/>
          <w:sz w:val="18"/>
        </w:rPr>
        <w:t>Science</w:t>
      </w:r>
      <w:r w:rsidR="0081318D">
        <w:rPr>
          <w:spacing w:val="19"/>
          <w:w w:val="115"/>
          <w:sz w:val="18"/>
        </w:rPr>
        <w:t xml:space="preserve"> </w:t>
      </w:r>
      <w:r w:rsidR="0081318D">
        <w:rPr>
          <w:w w:val="115"/>
          <w:sz w:val="18"/>
        </w:rPr>
        <w:t>and</w:t>
      </w:r>
      <w:r w:rsidR="0081318D">
        <w:rPr>
          <w:spacing w:val="19"/>
          <w:w w:val="115"/>
          <w:sz w:val="18"/>
        </w:rPr>
        <w:t xml:space="preserve"> </w:t>
      </w:r>
      <w:r w:rsidR="0081318D">
        <w:rPr>
          <w:w w:val="115"/>
          <w:sz w:val="18"/>
        </w:rPr>
        <w:t>Engineering           Science</w:t>
      </w:r>
      <w:r w:rsidR="0081318D">
        <w:rPr>
          <w:spacing w:val="19"/>
          <w:w w:val="115"/>
          <w:sz w:val="18"/>
        </w:rPr>
        <w:t xml:space="preserve"> </w:t>
      </w:r>
      <w:r w:rsidR="0081318D">
        <w:rPr>
          <w:w w:val="115"/>
          <w:sz w:val="18"/>
        </w:rPr>
        <w:t>and</w:t>
      </w:r>
      <w:r w:rsidR="0081318D">
        <w:rPr>
          <w:spacing w:val="19"/>
          <w:w w:val="115"/>
          <w:sz w:val="18"/>
        </w:rPr>
        <w:t xml:space="preserve"> </w:t>
      </w:r>
      <w:r w:rsidR="0081318D">
        <w:rPr>
          <w:w w:val="115"/>
          <w:sz w:val="18"/>
        </w:rPr>
        <w:t>Engineering           Science</w:t>
      </w:r>
      <w:r w:rsidR="0081318D">
        <w:rPr>
          <w:spacing w:val="19"/>
          <w:w w:val="115"/>
          <w:sz w:val="18"/>
        </w:rPr>
        <w:t xml:space="preserve"> </w:t>
      </w:r>
      <w:r w:rsidR="0081318D">
        <w:rPr>
          <w:w w:val="115"/>
          <w:sz w:val="18"/>
        </w:rPr>
        <w:t>and</w:t>
      </w:r>
      <w:r w:rsidR="0081318D">
        <w:rPr>
          <w:spacing w:val="19"/>
          <w:w w:val="115"/>
          <w:sz w:val="18"/>
        </w:rPr>
        <w:t xml:space="preserve"> </w:t>
      </w:r>
      <w:r w:rsidR="0081318D">
        <w:rPr>
          <w:w w:val="115"/>
          <w:sz w:val="18"/>
        </w:rPr>
        <w:t>Engineering</w:t>
      </w:r>
    </w:p>
    <w:p w14:paraId="48CB03C7" w14:textId="4165E8F4" w:rsidR="0081318D" w:rsidRDefault="00E97E48" w:rsidP="00E97E48">
      <w:pPr>
        <w:ind w:left="-810" w:right="-820" w:firstLine="810"/>
        <w:rPr>
          <w:i/>
          <w:w w:val="115"/>
          <w:sz w:val="18"/>
        </w:rPr>
      </w:pPr>
      <w:r>
        <w:rPr>
          <w:i/>
          <w:w w:val="115"/>
          <w:sz w:val="18"/>
        </w:rPr>
        <w:t xml:space="preserve">             </w:t>
      </w:r>
      <w:r w:rsidR="0081318D">
        <w:rPr>
          <w:i/>
          <w:w w:val="115"/>
          <w:sz w:val="18"/>
        </w:rPr>
        <w:t xml:space="preserve">ABESEC                                        </w:t>
      </w:r>
      <w:proofErr w:type="spellStart"/>
      <w:r w:rsidR="0081318D">
        <w:rPr>
          <w:i/>
          <w:w w:val="115"/>
          <w:sz w:val="18"/>
        </w:rPr>
        <w:t>ABESEC</w:t>
      </w:r>
      <w:proofErr w:type="spellEnd"/>
      <w:r w:rsidR="0081318D">
        <w:rPr>
          <w:i/>
          <w:w w:val="115"/>
          <w:sz w:val="18"/>
        </w:rPr>
        <w:t xml:space="preserve">                                       </w:t>
      </w:r>
      <w:proofErr w:type="spellStart"/>
      <w:r w:rsidR="0081318D">
        <w:rPr>
          <w:i/>
          <w:w w:val="115"/>
          <w:sz w:val="18"/>
        </w:rPr>
        <w:t>ABESEC</w:t>
      </w:r>
      <w:proofErr w:type="spellEnd"/>
      <w:r w:rsidR="0081318D">
        <w:rPr>
          <w:i/>
          <w:w w:val="115"/>
          <w:sz w:val="18"/>
        </w:rPr>
        <w:t xml:space="preserve">                                      </w:t>
      </w:r>
      <w:proofErr w:type="spellStart"/>
      <w:r w:rsidR="0081318D">
        <w:rPr>
          <w:i/>
          <w:w w:val="115"/>
          <w:sz w:val="18"/>
        </w:rPr>
        <w:t>ABESEC</w:t>
      </w:r>
      <w:proofErr w:type="spellEnd"/>
    </w:p>
    <w:p w14:paraId="17750298" w14:textId="2A82B45E" w:rsidR="0081318D" w:rsidRDefault="00E97E48" w:rsidP="00E97E48">
      <w:pPr>
        <w:ind w:right="-820"/>
        <w:rPr>
          <w:i/>
          <w:w w:val="115"/>
          <w:sz w:val="18"/>
          <w:szCs w:val="18"/>
        </w:rPr>
      </w:pPr>
      <w:r>
        <w:rPr>
          <w:w w:val="115"/>
          <w:sz w:val="18"/>
          <w:szCs w:val="18"/>
        </w:rPr>
        <w:t xml:space="preserve">           </w:t>
      </w:r>
      <w:r w:rsidR="0081318D" w:rsidRPr="0023202D">
        <w:rPr>
          <w:w w:val="115"/>
          <w:sz w:val="18"/>
          <w:szCs w:val="18"/>
        </w:rPr>
        <w:t>Ghaziabad</w:t>
      </w:r>
      <w:r w:rsidR="0081318D" w:rsidRPr="0023202D">
        <w:rPr>
          <w:i/>
          <w:w w:val="115"/>
          <w:sz w:val="18"/>
          <w:szCs w:val="18"/>
        </w:rPr>
        <w:t xml:space="preserve">               </w:t>
      </w:r>
      <w:r w:rsidR="0081318D">
        <w:rPr>
          <w:i/>
          <w:w w:val="115"/>
          <w:sz w:val="18"/>
          <w:szCs w:val="18"/>
        </w:rPr>
        <w:t xml:space="preserve">                       </w:t>
      </w:r>
      <w:proofErr w:type="spellStart"/>
      <w:r w:rsidR="0081318D" w:rsidRPr="0023202D">
        <w:rPr>
          <w:w w:val="115"/>
          <w:sz w:val="18"/>
          <w:szCs w:val="18"/>
        </w:rPr>
        <w:t>Ghaziabad</w:t>
      </w:r>
      <w:proofErr w:type="spellEnd"/>
      <w:r w:rsidR="0081318D" w:rsidRPr="0023202D">
        <w:rPr>
          <w:i/>
          <w:w w:val="115"/>
          <w:sz w:val="18"/>
          <w:szCs w:val="18"/>
        </w:rPr>
        <w:t xml:space="preserve">  </w:t>
      </w:r>
      <w:r w:rsidR="0081318D">
        <w:rPr>
          <w:i/>
          <w:w w:val="115"/>
          <w:sz w:val="18"/>
          <w:szCs w:val="18"/>
        </w:rPr>
        <w:t xml:space="preserve">                                  </w:t>
      </w:r>
      <w:proofErr w:type="spellStart"/>
      <w:r w:rsidR="0081318D" w:rsidRPr="0023202D">
        <w:rPr>
          <w:w w:val="115"/>
          <w:sz w:val="18"/>
          <w:szCs w:val="18"/>
        </w:rPr>
        <w:t>Ghaziabad</w:t>
      </w:r>
      <w:proofErr w:type="spellEnd"/>
      <w:r w:rsidR="0081318D" w:rsidRPr="0023202D">
        <w:rPr>
          <w:i/>
          <w:w w:val="115"/>
          <w:sz w:val="18"/>
          <w:szCs w:val="18"/>
        </w:rPr>
        <w:t xml:space="preserve">  </w:t>
      </w:r>
      <w:r w:rsidR="0081318D">
        <w:rPr>
          <w:i/>
          <w:w w:val="115"/>
          <w:sz w:val="18"/>
          <w:szCs w:val="18"/>
        </w:rPr>
        <w:t xml:space="preserve">                                  </w:t>
      </w:r>
      <w:proofErr w:type="spellStart"/>
      <w:r w:rsidR="0081318D" w:rsidRPr="0023202D">
        <w:rPr>
          <w:w w:val="115"/>
          <w:sz w:val="18"/>
          <w:szCs w:val="18"/>
        </w:rPr>
        <w:t>Ghaziabad</w:t>
      </w:r>
      <w:proofErr w:type="spellEnd"/>
      <w:r w:rsidR="0081318D" w:rsidRPr="0023202D">
        <w:rPr>
          <w:i/>
          <w:w w:val="115"/>
          <w:sz w:val="18"/>
          <w:szCs w:val="18"/>
        </w:rPr>
        <w:t xml:space="preserve">  </w:t>
      </w:r>
    </w:p>
    <w:p w14:paraId="08B888BC" w14:textId="79E1B7FB" w:rsidR="00F34837" w:rsidRDefault="00C60147" w:rsidP="00E97E48">
      <w:pPr>
        <w:ind w:left="-810" w:right="-820" w:firstLine="810"/>
        <w:rPr>
          <w:i/>
          <w:w w:val="115"/>
          <w:sz w:val="18"/>
          <w:szCs w:val="18"/>
        </w:rPr>
      </w:pPr>
      <w:hyperlink r:id="rId7" w:history="1">
        <w:proofErr w:type="gramStart"/>
        <w:r w:rsidR="00F34837" w:rsidRPr="00227C34">
          <w:rPr>
            <w:rStyle w:val="Hyperlink"/>
            <w:w w:val="110"/>
            <w:sz w:val="18"/>
            <w:szCs w:val="18"/>
          </w:rPr>
          <w:t>PrabhjotKaur@gmail.com</w:t>
        </w:r>
      </w:hyperlink>
      <w:r w:rsidR="00F34837">
        <w:rPr>
          <w:w w:val="110"/>
          <w:sz w:val="18"/>
          <w:szCs w:val="18"/>
        </w:rPr>
        <w:t xml:space="preserve">    </w:t>
      </w:r>
      <w:r w:rsidR="0061642C">
        <w:rPr>
          <w:w w:val="110"/>
          <w:sz w:val="18"/>
          <w:szCs w:val="18"/>
        </w:rPr>
        <w:t xml:space="preserve">      </w:t>
      </w:r>
      <w:r w:rsidR="00E97E48">
        <w:rPr>
          <w:w w:val="110"/>
          <w:sz w:val="18"/>
          <w:szCs w:val="18"/>
        </w:rPr>
        <w:t xml:space="preserve">       </w:t>
      </w:r>
      <w:r w:rsidR="00F34837">
        <w:rPr>
          <w:w w:val="110"/>
          <w:sz w:val="18"/>
          <w:szCs w:val="18"/>
        </w:rPr>
        <w:t xml:space="preserve"> </w:t>
      </w:r>
      <w:r w:rsidR="0061642C" w:rsidRPr="00E97E48">
        <w:rPr>
          <w:w w:val="110"/>
          <w:sz w:val="18"/>
          <w:szCs w:val="18"/>
          <w:u w:val="single"/>
        </w:rPr>
        <w:t>nishant543099@gmail.com</w:t>
      </w:r>
      <w:r w:rsidR="00F34837" w:rsidRPr="00E97E48">
        <w:rPr>
          <w:w w:val="110"/>
          <w:sz w:val="18"/>
          <w:szCs w:val="18"/>
          <w:u w:val="single"/>
        </w:rPr>
        <w:t xml:space="preserve"> </w:t>
      </w:r>
      <w:r w:rsidR="00F34837">
        <w:rPr>
          <w:w w:val="110"/>
          <w:sz w:val="18"/>
          <w:szCs w:val="18"/>
        </w:rPr>
        <w:t xml:space="preserve">        </w:t>
      </w:r>
      <w:r>
        <w:rPr>
          <w:w w:val="110"/>
          <w:sz w:val="18"/>
          <w:szCs w:val="18"/>
        </w:rPr>
        <w:t>namanzadoo2203@gmail.com</w:t>
      </w:r>
      <w:r w:rsidR="00E97E48">
        <w:rPr>
          <w:w w:val="110"/>
          <w:sz w:val="18"/>
          <w:szCs w:val="18"/>
        </w:rPr>
        <w:t xml:space="preserve">   </w:t>
      </w:r>
      <w:hyperlink r:id="rId8" w:history="1">
        <w:r w:rsidR="00F34837" w:rsidRPr="00227C34">
          <w:rPr>
            <w:rStyle w:val="Hyperlink"/>
            <w:w w:val="110"/>
            <w:sz w:val="18"/>
            <w:szCs w:val="18"/>
          </w:rPr>
          <w:t>rohit.sharma20112002@gmail.com</w:t>
        </w:r>
        <w:proofErr w:type="gramEnd"/>
      </w:hyperlink>
    </w:p>
    <w:p w14:paraId="4B4E0268" w14:textId="77777777" w:rsidR="00F34837" w:rsidRDefault="00F34837" w:rsidP="0081318D">
      <w:pPr>
        <w:rPr>
          <w:i/>
          <w:w w:val="115"/>
          <w:sz w:val="18"/>
          <w:szCs w:val="18"/>
        </w:rPr>
      </w:pPr>
    </w:p>
    <w:p w14:paraId="646A1663" w14:textId="77777777" w:rsidR="00F34837" w:rsidRDefault="00F34837" w:rsidP="0081318D">
      <w:pPr>
        <w:rPr>
          <w:i/>
          <w:w w:val="115"/>
          <w:sz w:val="18"/>
          <w:szCs w:val="18"/>
        </w:rPr>
      </w:pPr>
    </w:p>
    <w:p w14:paraId="0A0AF1ED" w14:textId="00048F94" w:rsidR="00F34837" w:rsidRPr="001E6593" w:rsidRDefault="00F34837" w:rsidP="0081318D">
      <w:pPr>
        <w:rPr>
          <w:i/>
          <w:iCs/>
          <w:sz w:val="18"/>
          <w:szCs w:val="18"/>
        </w:rPr>
        <w:sectPr w:rsidR="00F34837" w:rsidRPr="001E6593" w:rsidSect="00E030A6">
          <w:footerReference w:type="default" r:id="rId9"/>
          <w:type w:val="continuous"/>
          <w:pgSz w:w="12240" w:h="15840"/>
          <w:pgMar w:top="960" w:right="860" w:bottom="860" w:left="860" w:header="720" w:footer="666" w:gutter="0"/>
          <w:pgNumType w:start="1"/>
          <w:cols w:space="720"/>
        </w:sectPr>
      </w:pPr>
    </w:p>
    <w:p w14:paraId="7985D7A8" w14:textId="2F1F3A75" w:rsidR="00826689" w:rsidRPr="00F34837" w:rsidRDefault="001E6593" w:rsidP="00E97E48">
      <w:pPr>
        <w:spacing w:before="93" w:line="278" w:lineRule="auto"/>
        <w:ind w:left="-270" w:right="290"/>
        <w:rPr>
          <w:b/>
          <w:bCs/>
          <w:i/>
          <w:iCs/>
          <w:w w:val="115"/>
          <w:sz w:val="18"/>
          <w:szCs w:val="18"/>
        </w:rPr>
      </w:pPr>
      <w:r w:rsidRPr="00B3384A">
        <w:rPr>
          <w:rStyle w:val="Hyperlink"/>
          <w:b/>
          <w:bCs/>
          <w:color w:val="auto"/>
          <w:w w:val="115"/>
          <w:sz w:val="20"/>
          <w:szCs w:val="20"/>
          <w:u w:val="none"/>
        </w:rPr>
        <w:t xml:space="preserve">Abstract </w:t>
      </w:r>
      <w:r w:rsidR="009A65A1" w:rsidRPr="00B3384A">
        <w:rPr>
          <w:sz w:val="20"/>
          <w:szCs w:val="20"/>
        </w:rPr>
        <w:t>– Education is the cornerstone of a nation's progress, driving economic growth, social cohesion, and individual empowerment. A well-educated populace is essential for a nation's development, ensuring a brighter and more prosperous future.</w:t>
      </w:r>
      <w:r w:rsidR="00390C9B" w:rsidRPr="00B3384A">
        <w:rPr>
          <w:sz w:val="20"/>
          <w:szCs w:val="20"/>
        </w:rPr>
        <w:t xml:space="preserve"> But our government face a problem of increasing dropout of student not to acquire higher education which become obstacle to nation</w:t>
      </w:r>
      <w:r w:rsidR="00B3384A" w:rsidRPr="00B3384A">
        <w:rPr>
          <w:sz w:val="20"/>
          <w:szCs w:val="20"/>
        </w:rPr>
        <w:t>’s</w:t>
      </w:r>
      <w:r w:rsidR="00390C9B" w:rsidRPr="00B3384A">
        <w:rPr>
          <w:sz w:val="20"/>
          <w:szCs w:val="20"/>
        </w:rPr>
        <w:t xml:space="preserve"> growth. This paper deals with the dropout analysis and finding what are the main dilemma for increasing the </w:t>
      </w:r>
      <w:proofErr w:type="gramStart"/>
      <w:r w:rsidR="00390C9B" w:rsidRPr="00B3384A">
        <w:rPr>
          <w:sz w:val="20"/>
          <w:szCs w:val="20"/>
        </w:rPr>
        <w:t xml:space="preserve">dropout </w:t>
      </w:r>
      <w:r w:rsidR="00B3384A" w:rsidRPr="00B3384A">
        <w:rPr>
          <w:sz w:val="20"/>
          <w:szCs w:val="20"/>
        </w:rPr>
        <w:t>.</w:t>
      </w:r>
      <w:proofErr w:type="gramEnd"/>
    </w:p>
    <w:p w14:paraId="4727E3E3" w14:textId="5647B83A" w:rsidR="00826689" w:rsidRDefault="00826689" w:rsidP="00E97E48">
      <w:pPr>
        <w:ind w:left="-270" w:right="290"/>
        <w:jc w:val="both"/>
        <w:rPr>
          <w:sz w:val="20"/>
          <w:szCs w:val="20"/>
        </w:rPr>
      </w:pPr>
      <w:r w:rsidRPr="00B3384A">
        <w:rPr>
          <w:sz w:val="20"/>
          <w:szCs w:val="20"/>
        </w:rPr>
        <w:t xml:space="preserve">This research paper delves into the intricate issue of student dropout in the context of school education, with a primary focus on identifying the root causes and proposing a predictive model to aid educators in early intervention. The study employs a mixed-methods approach, utilizing both quantitative analysis of historical dropout data and qualitative insights obtained through surveys, interviews, and literature review. The findings reveal a range of factors contributing to student </w:t>
      </w:r>
      <w:r w:rsidR="00756DF9">
        <w:rPr>
          <w:sz w:val="20"/>
          <w:szCs w:val="20"/>
        </w:rPr>
        <w:t>0</w:t>
      </w:r>
      <w:r w:rsidRPr="00B3384A">
        <w:rPr>
          <w:sz w:val="20"/>
          <w:szCs w:val="20"/>
        </w:rPr>
        <w:t>dropout, including academic performance, socio-economic disparities, socio-emotional challenges, and lack of engagement. Leveraging machine learning techniques, a predictive model is developed, using readily available student information to proactively flag individuals at higher risk of dropping out. This model aims to provide educators with a valuable tool to identify at-risk students early, enabling targeted interventions and support mechanisms to prevent dropout. By addressing this critical issue, the research contributes to the enhancement of educational outcomes and the overall well-being of students, educators, and the educational system.</w:t>
      </w:r>
    </w:p>
    <w:p w14:paraId="37A51688" w14:textId="77777777" w:rsidR="00F968A3" w:rsidRDefault="00F968A3" w:rsidP="00826689">
      <w:pPr>
        <w:jc w:val="both"/>
        <w:rPr>
          <w:sz w:val="20"/>
          <w:szCs w:val="20"/>
        </w:rPr>
      </w:pPr>
    </w:p>
    <w:p w14:paraId="517DAED9" w14:textId="2C4EEFF5" w:rsidR="00F968A3" w:rsidRPr="00F968A3" w:rsidRDefault="00F968A3" w:rsidP="00E97E48">
      <w:pPr>
        <w:ind w:left="-270" w:right="290"/>
        <w:rPr>
          <w:sz w:val="20"/>
          <w:szCs w:val="20"/>
        </w:rPr>
      </w:pPr>
      <w:r w:rsidRPr="00F968A3">
        <w:rPr>
          <w:i/>
          <w:iCs/>
          <w:sz w:val="20"/>
          <w:szCs w:val="20"/>
        </w:rPr>
        <w:t>Keywords</w:t>
      </w:r>
      <w:r w:rsidRPr="00F968A3">
        <w:rPr>
          <w:sz w:val="20"/>
          <w:szCs w:val="20"/>
        </w:rPr>
        <w:t xml:space="preserve">: </w:t>
      </w:r>
      <w:r>
        <w:rPr>
          <w:sz w:val="20"/>
          <w:szCs w:val="20"/>
        </w:rPr>
        <w:t xml:space="preserve"> </w:t>
      </w:r>
      <w:r w:rsidRPr="00F968A3">
        <w:rPr>
          <w:sz w:val="20"/>
          <w:szCs w:val="20"/>
        </w:rPr>
        <w:t>Economic Growth, National Development, Machine Learning Techniques, Root Causes</w:t>
      </w:r>
    </w:p>
    <w:p w14:paraId="1DF360FC" w14:textId="77777777" w:rsidR="00B3384A" w:rsidRPr="00F968A3" w:rsidRDefault="00B3384A" w:rsidP="00E97E48">
      <w:pPr>
        <w:ind w:left="-270" w:right="290"/>
        <w:rPr>
          <w:sz w:val="20"/>
          <w:szCs w:val="20"/>
        </w:rPr>
      </w:pPr>
    </w:p>
    <w:p w14:paraId="7477F48D" w14:textId="77777777" w:rsidR="00646140" w:rsidRDefault="00646140" w:rsidP="00E97E48">
      <w:pPr>
        <w:pStyle w:val="ListParagraph"/>
        <w:numPr>
          <w:ilvl w:val="0"/>
          <w:numId w:val="1"/>
        </w:numPr>
        <w:tabs>
          <w:tab w:val="left" w:pos="1962"/>
        </w:tabs>
        <w:spacing w:before="0"/>
        <w:ind w:left="1620" w:right="290" w:hanging="180"/>
        <w:jc w:val="left"/>
        <w:rPr>
          <w:sz w:val="18"/>
        </w:rPr>
      </w:pPr>
      <w:r>
        <w:rPr>
          <w:w w:val="105"/>
          <w:sz w:val="18"/>
        </w:rPr>
        <w:t>INTRODUCTION</w:t>
      </w:r>
    </w:p>
    <w:p w14:paraId="45C2FE69" w14:textId="43C168CA" w:rsidR="002478DB" w:rsidRDefault="002478DB" w:rsidP="00E97E48">
      <w:pPr>
        <w:ind w:left="-270" w:right="290"/>
        <w:jc w:val="both"/>
        <w:rPr>
          <w:sz w:val="20"/>
          <w:szCs w:val="20"/>
        </w:rPr>
      </w:pPr>
      <w:r w:rsidRPr="002478DB">
        <w:rPr>
          <w:sz w:val="20"/>
          <w:szCs w:val="20"/>
        </w:rPr>
        <w:t xml:space="preserve">In the </w:t>
      </w:r>
      <w:r w:rsidR="00F06337">
        <w:rPr>
          <w:sz w:val="20"/>
          <w:szCs w:val="20"/>
        </w:rPr>
        <w:t>accumulation</w:t>
      </w:r>
      <w:r w:rsidRPr="002478DB">
        <w:rPr>
          <w:sz w:val="20"/>
          <w:szCs w:val="20"/>
        </w:rPr>
        <w:t xml:space="preserve"> of a nation's progress, education stands as a cornerstone, a catalyst for individual empowerment, societal cohesion, and economic vitality. The pivotal role of education in shaping the destiny of nations is widely acknowledged, as it not only molds the character and capabilities of citizens but also lays the foundation for sustained economic and social development. However, the unsettling specter of student dropout threatens to erode the very fabric of this foundation, raising profound questions about the path to inclusive growth and prosperity.</w:t>
      </w:r>
    </w:p>
    <w:p w14:paraId="33AA6C7B" w14:textId="01B30526" w:rsidR="007103C2" w:rsidRPr="007103C2" w:rsidRDefault="007103C2" w:rsidP="00E97E48">
      <w:pPr>
        <w:ind w:left="-270" w:right="290"/>
      </w:pPr>
      <w:r w:rsidRPr="007103C2">
        <w:t>The dropout rate in India for the past five years varies School level:</w:t>
      </w:r>
    </w:p>
    <w:p w14:paraId="2C107311" w14:textId="77777777" w:rsidR="007103C2" w:rsidRPr="007103C2" w:rsidRDefault="007103C2" w:rsidP="00E97E48">
      <w:pPr>
        <w:ind w:left="-270" w:right="290"/>
        <w:rPr>
          <w:lang w:val="en-IN" w:eastAsia="en-IN"/>
        </w:rPr>
      </w:pPr>
      <w:r w:rsidRPr="007103C2">
        <w:rPr>
          <w:lang w:val="en-IN" w:eastAsia="en-IN"/>
        </w:rPr>
        <w:t>Overall:</w:t>
      </w:r>
    </w:p>
    <w:p w14:paraId="0E1B187D" w14:textId="77777777" w:rsidR="007103C2" w:rsidRPr="007103C2" w:rsidRDefault="007103C2" w:rsidP="007103C2">
      <w:pPr>
        <w:rPr>
          <w:lang w:val="en-IN" w:eastAsia="en-IN"/>
        </w:rPr>
      </w:pPr>
      <w:r w:rsidRPr="007103C2">
        <w:rPr>
          <w:lang w:val="en-IN" w:eastAsia="en-IN"/>
        </w:rPr>
        <w:t>2021-22: 1.5%</w:t>
      </w:r>
    </w:p>
    <w:p w14:paraId="4087278F" w14:textId="77777777" w:rsidR="007103C2" w:rsidRPr="007103C2" w:rsidRDefault="007103C2" w:rsidP="007103C2">
      <w:pPr>
        <w:rPr>
          <w:lang w:val="en-IN" w:eastAsia="en-IN"/>
        </w:rPr>
      </w:pPr>
      <w:r w:rsidRPr="007103C2">
        <w:rPr>
          <w:lang w:val="en-IN" w:eastAsia="en-IN"/>
        </w:rPr>
        <w:t>2020-21: 1.8%</w:t>
      </w:r>
    </w:p>
    <w:p w14:paraId="1C0582FA" w14:textId="77777777" w:rsidR="007103C2" w:rsidRPr="007103C2" w:rsidRDefault="007103C2" w:rsidP="007103C2">
      <w:pPr>
        <w:rPr>
          <w:lang w:val="en-IN" w:eastAsia="en-IN"/>
        </w:rPr>
      </w:pPr>
      <w:r w:rsidRPr="007103C2">
        <w:rPr>
          <w:lang w:val="en-IN" w:eastAsia="en-IN"/>
        </w:rPr>
        <w:t>2019-20: 2.1%</w:t>
      </w:r>
    </w:p>
    <w:p w14:paraId="1A7E651F" w14:textId="77777777" w:rsidR="007103C2" w:rsidRPr="007103C2" w:rsidRDefault="007103C2" w:rsidP="007103C2">
      <w:pPr>
        <w:rPr>
          <w:lang w:val="en-IN" w:eastAsia="en-IN"/>
        </w:rPr>
      </w:pPr>
      <w:r w:rsidRPr="007103C2">
        <w:rPr>
          <w:lang w:val="en-IN" w:eastAsia="en-IN"/>
        </w:rPr>
        <w:t>2018-19: 2.3%</w:t>
      </w:r>
    </w:p>
    <w:p w14:paraId="5BF87381" w14:textId="418090C6" w:rsidR="007103C2" w:rsidRPr="007103C2" w:rsidRDefault="007103C2" w:rsidP="007103C2">
      <w:pPr>
        <w:rPr>
          <w:lang w:val="en-IN" w:eastAsia="en-IN"/>
        </w:rPr>
      </w:pPr>
      <w:r w:rsidRPr="007103C2">
        <w:rPr>
          <w:lang w:val="en-IN" w:eastAsia="en-IN"/>
        </w:rPr>
        <w:t>2017-18: 2.4%</w:t>
      </w:r>
    </w:p>
    <w:p w14:paraId="64A6CFD8" w14:textId="068EC5AA" w:rsidR="002478DB" w:rsidRPr="002478DB" w:rsidRDefault="002478DB" w:rsidP="00E97E48">
      <w:pPr>
        <w:ind w:right="-250"/>
        <w:jc w:val="both"/>
        <w:rPr>
          <w:sz w:val="20"/>
          <w:szCs w:val="20"/>
        </w:rPr>
      </w:pPr>
      <w:r w:rsidRPr="002478DB">
        <w:rPr>
          <w:sz w:val="20"/>
          <w:szCs w:val="20"/>
        </w:rPr>
        <w:t xml:space="preserve">This research paper embarks on a comprehensive journey to unravel the complexities surrounding student dropout in school education, recognizing it as a critical </w:t>
      </w:r>
      <w:r w:rsidR="00F06337">
        <w:rPr>
          <w:sz w:val="20"/>
          <w:szCs w:val="20"/>
        </w:rPr>
        <w:t>issue</w:t>
      </w:r>
      <w:r w:rsidRPr="002478DB">
        <w:rPr>
          <w:sz w:val="20"/>
          <w:szCs w:val="20"/>
        </w:rPr>
        <w:t xml:space="preserve"> where the aspirations of individuals intersect with the broader trajectory of a nation's development. At the heart of our exploration lies the profound belief that understanding and addressing student dropout is essential for cultivating an educational landscape that serves as a </w:t>
      </w:r>
      <w:r w:rsidR="00F06337">
        <w:rPr>
          <w:sz w:val="20"/>
          <w:szCs w:val="20"/>
        </w:rPr>
        <w:t>backbone</w:t>
      </w:r>
      <w:r w:rsidRPr="002478DB">
        <w:rPr>
          <w:sz w:val="20"/>
          <w:szCs w:val="20"/>
        </w:rPr>
        <w:t xml:space="preserve"> for sustained national growth.</w:t>
      </w:r>
    </w:p>
    <w:p w14:paraId="6E80792B" w14:textId="77777777" w:rsidR="002478DB" w:rsidRPr="002478DB" w:rsidRDefault="002478DB" w:rsidP="00E97E48">
      <w:pPr>
        <w:ind w:right="-250"/>
        <w:jc w:val="both"/>
        <w:rPr>
          <w:sz w:val="20"/>
          <w:szCs w:val="20"/>
        </w:rPr>
      </w:pPr>
      <w:r w:rsidRPr="002478DB">
        <w:rPr>
          <w:sz w:val="20"/>
          <w:szCs w:val="20"/>
        </w:rPr>
        <w:t>Education's impact on a country's growth is multifaceted, influencing not only the individual's potential but also contributing to a skilled and innovative workforce, informed citizenry, and a foundation for technological advancements. As such, any impediment to the educational journey, particularly student dropout, poses a significant threat to the realization of a nation's developmental goals.</w:t>
      </w:r>
    </w:p>
    <w:p w14:paraId="450428D2" w14:textId="77777777" w:rsidR="00B1726F" w:rsidRDefault="002478DB" w:rsidP="00E97E48">
      <w:pPr>
        <w:ind w:right="-250"/>
        <w:jc w:val="both"/>
        <w:rPr>
          <w:sz w:val="20"/>
          <w:szCs w:val="20"/>
        </w:rPr>
      </w:pPr>
      <w:r w:rsidRPr="002478DB">
        <w:rPr>
          <w:sz w:val="20"/>
          <w:szCs w:val="20"/>
        </w:rPr>
        <w:t>To dissect the roots of student dropout, we aim to identify and analyze the m</w:t>
      </w:r>
      <w:r w:rsidR="00F06337">
        <w:rPr>
          <w:sz w:val="20"/>
          <w:szCs w:val="20"/>
        </w:rPr>
        <w:t>ain</w:t>
      </w:r>
      <w:r w:rsidRPr="002478DB">
        <w:rPr>
          <w:sz w:val="20"/>
          <w:szCs w:val="20"/>
        </w:rPr>
        <w:t xml:space="preserve"> factors that contribute to this phenomenon. Economic disparities, societal pressures, academic challenges, and institutional shortcomings are but a few strands in the intricate web of influences that can lead students to disengage from the educational system. </w:t>
      </w:r>
    </w:p>
    <w:p w14:paraId="7112E854" w14:textId="59F649B9" w:rsidR="00F06337" w:rsidRDefault="00C43A4E" w:rsidP="00E97E48">
      <w:pPr>
        <w:ind w:right="-250"/>
        <w:jc w:val="both"/>
        <w:rPr>
          <w:sz w:val="20"/>
          <w:szCs w:val="20"/>
        </w:rPr>
      </w:pPr>
      <w:r>
        <w:rPr>
          <w:sz w:val="20"/>
          <w:szCs w:val="20"/>
        </w:rPr>
        <w:t xml:space="preserve">Fig </w:t>
      </w:r>
      <w:r w:rsidR="00B1726F">
        <w:rPr>
          <w:sz w:val="20"/>
          <w:szCs w:val="20"/>
        </w:rPr>
        <w:t>1, which</w:t>
      </w:r>
      <w:r>
        <w:rPr>
          <w:sz w:val="20"/>
          <w:szCs w:val="20"/>
        </w:rPr>
        <w:t xml:space="preserve"> shows the categories wise dropout of student</w:t>
      </w:r>
      <w:r w:rsidR="00F06337">
        <w:rPr>
          <w:sz w:val="20"/>
          <w:szCs w:val="20"/>
        </w:rPr>
        <w:t>.</w:t>
      </w:r>
    </w:p>
    <w:p w14:paraId="0DA6CC97" w14:textId="77777777" w:rsidR="00B1726F" w:rsidRDefault="00B1726F" w:rsidP="00E97E48">
      <w:pPr>
        <w:ind w:right="-250"/>
        <w:jc w:val="both"/>
        <w:rPr>
          <w:sz w:val="20"/>
          <w:szCs w:val="20"/>
        </w:rPr>
      </w:pPr>
    </w:p>
    <w:p w14:paraId="60E2D648" w14:textId="7943685C" w:rsidR="00F06337" w:rsidRDefault="00F06337" w:rsidP="002478DB">
      <w:pPr>
        <w:jc w:val="both"/>
        <w:rPr>
          <w:sz w:val="20"/>
          <w:szCs w:val="20"/>
        </w:rPr>
      </w:pPr>
      <w:r>
        <w:rPr>
          <w:noProof/>
        </w:rPr>
        <w:drawing>
          <wp:inline distT="0" distB="0" distL="0" distR="0" wp14:anchorId="2A079A51" wp14:editId="200F503E">
            <wp:extent cx="3327400" cy="2049780"/>
            <wp:effectExtent l="0" t="0" r="6350" b="7620"/>
            <wp:docPr id="518652126" name="Picture 51865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2049780"/>
                    </a:xfrm>
                    <a:prstGeom prst="rect">
                      <a:avLst/>
                    </a:prstGeom>
                    <a:noFill/>
                    <a:ln>
                      <a:noFill/>
                    </a:ln>
                  </pic:spPr>
                </pic:pic>
              </a:graphicData>
            </a:graphic>
          </wp:inline>
        </w:drawing>
      </w:r>
    </w:p>
    <w:p w14:paraId="401D08F5" w14:textId="34ED6882" w:rsidR="00F06337" w:rsidRDefault="00F06337" w:rsidP="00F06337">
      <w:pPr>
        <w:jc w:val="center"/>
        <w:rPr>
          <w:sz w:val="20"/>
          <w:szCs w:val="20"/>
        </w:rPr>
      </w:pPr>
      <w:r w:rsidRPr="00C43A4E">
        <w:rPr>
          <w:rFonts w:asciiTheme="majorHAnsi" w:hAnsiTheme="majorHAnsi" w:cstheme="majorHAnsi"/>
          <w:sz w:val="16"/>
          <w:szCs w:val="16"/>
        </w:rPr>
        <w:t>Fig 1. Categories wise dropout</w:t>
      </w:r>
    </w:p>
    <w:p w14:paraId="2ED5123E" w14:textId="77777777" w:rsidR="00F06337" w:rsidRDefault="00F06337" w:rsidP="002478DB">
      <w:pPr>
        <w:jc w:val="both"/>
        <w:rPr>
          <w:sz w:val="20"/>
          <w:szCs w:val="20"/>
        </w:rPr>
      </w:pPr>
    </w:p>
    <w:p w14:paraId="51B54F72" w14:textId="483387A0" w:rsidR="002478DB" w:rsidRPr="002478DB" w:rsidRDefault="00B1726F" w:rsidP="00E97E48">
      <w:pPr>
        <w:ind w:right="-250"/>
        <w:jc w:val="both"/>
        <w:rPr>
          <w:sz w:val="20"/>
          <w:szCs w:val="20"/>
        </w:rPr>
      </w:pPr>
      <w:r w:rsidRPr="002478DB">
        <w:rPr>
          <w:sz w:val="20"/>
          <w:szCs w:val="20"/>
        </w:rPr>
        <w:t>We</w:t>
      </w:r>
      <w:r w:rsidR="002478DB" w:rsidRPr="002478DB">
        <w:rPr>
          <w:sz w:val="20"/>
          <w:szCs w:val="20"/>
        </w:rPr>
        <w:t xml:space="preserve"> endeavor to shine a light on the root causes of student dropout, providing a nuanced understanding that can inform targeted interventions.</w:t>
      </w:r>
    </w:p>
    <w:p w14:paraId="17FB2441" w14:textId="77777777" w:rsidR="00F06337" w:rsidRDefault="002478DB" w:rsidP="00BB09A0">
      <w:pPr>
        <w:ind w:left="-270" w:right="290"/>
        <w:jc w:val="both"/>
        <w:rPr>
          <w:sz w:val="20"/>
          <w:szCs w:val="20"/>
        </w:rPr>
      </w:pPr>
      <w:r w:rsidRPr="002478DB">
        <w:rPr>
          <w:sz w:val="20"/>
          <w:szCs w:val="20"/>
        </w:rPr>
        <w:t xml:space="preserve">In the subsequent sections of this paper, we will conduct a </w:t>
      </w:r>
      <w:r w:rsidRPr="002478DB">
        <w:rPr>
          <w:sz w:val="20"/>
          <w:szCs w:val="20"/>
        </w:rPr>
        <w:lastRenderedPageBreak/>
        <w:t>thorough literature review to contextualize the issue, outline the methodology employed for data collection and analysis, and present our findings. Through a combination of statistical analyses and qualitative insights, we aspire to provide a comprehensive overview of the factors contributing to student dropout.</w:t>
      </w:r>
    </w:p>
    <w:p w14:paraId="6AE3E9B8" w14:textId="75F6909C" w:rsidR="002478DB" w:rsidRPr="00E97E48" w:rsidRDefault="00F06337" w:rsidP="00E97E48">
      <w:pPr>
        <w:ind w:left="-270" w:right="290"/>
        <w:rPr>
          <w:sz w:val="20"/>
          <w:szCs w:val="20"/>
        </w:rPr>
      </w:pPr>
      <w:r>
        <w:rPr>
          <w:sz w:val="20"/>
          <w:szCs w:val="20"/>
        </w:rPr>
        <w:t>Fig2 represent the graph of factors which cause dropouts.</w:t>
      </w:r>
      <w:r w:rsidR="002478DB" w:rsidRPr="002478DB">
        <w:rPr>
          <w:sz w:val="20"/>
          <w:szCs w:val="20"/>
        </w:rPr>
        <w:t xml:space="preserve"> Our ultimate goal is to contribute evidence-based recommendations that can guide policymakers, educators, and stakeholders in fostering an educational environment conducive to </w:t>
      </w:r>
      <w:r w:rsidR="002478DB" w:rsidRPr="00E97E48">
        <w:rPr>
          <w:sz w:val="20"/>
          <w:szCs w:val="20"/>
        </w:rPr>
        <w:t xml:space="preserve">student retention and, consequently, national growth. Together, we embark on a journey to safeguard the transformative power of education and ensure that no thread in the rich tapestry of a nation's progress </w:t>
      </w:r>
      <w:proofErr w:type="gramStart"/>
      <w:r w:rsidR="002478DB" w:rsidRPr="00E97E48">
        <w:rPr>
          <w:sz w:val="20"/>
          <w:szCs w:val="20"/>
        </w:rPr>
        <w:t>is left</w:t>
      </w:r>
      <w:proofErr w:type="gramEnd"/>
      <w:r w:rsidR="002478DB" w:rsidRPr="00E97E48">
        <w:rPr>
          <w:sz w:val="20"/>
          <w:szCs w:val="20"/>
        </w:rPr>
        <w:t xml:space="preserve"> unraveled.</w:t>
      </w:r>
    </w:p>
    <w:p w14:paraId="571CE72E" w14:textId="77777777" w:rsidR="00F968A3" w:rsidRPr="000B6162" w:rsidRDefault="00F968A3" w:rsidP="000B6162"/>
    <w:p w14:paraId="15001095" w14:textId="62D9D5E3" w:rsidR="004B0AE2" w:rsidRPr="000B6162" w:rsidRDefault="004B0AE2" w:rsidP="00E97E48">
      <w:pPr>
        <w:ind w:left="-270"/>
      </w:pPr>
      <w:r w:rsidRPr="000B6162">
        <w:rPr>
          <w:noProof/>
        </w:rPr>
        <w:drawing>
          <wp:inline distT="0" distB="0" distL="0" distR="0" wp14:anchorId="59EF4539" wp14:editId="3B81D587">
            <wp:extent cx="3327400" cy="1967230"/>
            <wp:effectExtent l="0" t="0" r="6350" b="0"/>
            <wp:docPr id="171087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8080" name=""/>
                    <pic:cNvPicPr/>
                  </pic:nvPicPr>
                  <pic:blipFill>
                    <a:blip r:embed="rId11"/>
                    <a:stretch>
                      <a:fillRect/>
                    </a:stretch>
                  </pic:blipFill>
                  <pic:spPr>
                    <a:xfrm>
                      <a:off x="0" y="0"/>
                      <a:ext cx="3327400" cy="1967230"/>
                    </a:xfrm>
                    <a:prstGeom prst="rect">
                      <a:avLst/>
                    </a:prstGeom>
                  </pic:spPr>
                </pic:pic>
              </a:graphicData>
            </a:graphic>
          </wp:inline>
        </w:drawing>
      </w:r>
    </w:p>
    <w:p w14:paraId="3FE195C4" w14:textId="33F71759" w:rsidR="00E030A6" w:rsidRDefault="007103C2" w:rsidP="00E97E48">
      <w:pPr>
        <w:ind w:left="-270"/>
        <w:jc w:val="center"/>
        <w:rPr>
          <w:sz w:val="16"/>
          <w:szCs w:val="16"/>
        </w:rPr>
      </w:pPr>
      <w:r w:rsidRPr="00422FFD">
        <w:rPr>
          <w:sz w:val="16"/>
          <w:szCs w:val="16"/>
        </w:rPr>
        <w:t>Fig2 Graph showing the reasons for drop out</w:t>
      </w:r>
    </w:p>
    <w:p w14:paraId="402FA39C" w14:textId="77777777" w:rsidR="00422FFD" w:rsidRPr="00422FFD" w:rsidRDefault="00422FFD" w:rsidP="00422FFD">
      <w:pPr>
        <w:jc w:val="center"/>
        <w:rPr>
          <w:sz w:val="16"/>
          <w:szCs w:val="16"/>
        </w:rPr>
      </w:pPr>
    </w:p>
    <w:p w14:paraId="389EC990" w14:textId="77777777" w:rsidR="007103C2" w:rsidRPr="000B6162" w:rsidRDefault="007103C2" w:rsidP="000B6162"/>
    <w:p w14:paraId="419E9DFB" w14:textId="14EFB042" w:rsidR="000B6162" w:rsidRPr="000B6162" w:rsidRDefault="008A35B2" w:rsidP="00E97E48">
      <w:pPr>
        <w:ind w:right="470"/>
        <w:jc w:val="center"/>
      </w:pPr>
      <w:r>
        <w:t>II</w:t>
      </w:r>
      <w:proofErr w:type="gramStart"/>
      <w:r>
        <w:t xml:space="preserve">.  </w:t>
      </w:r>
      <w:r w:rsidR="000B6162" w:rsidRPr="000B6162">
        <w:t>LITERATURE</w:t>
      </w:r>
      <w:proofErr w:type="gramEnd"/>
      <w:r w:rsidR="000B6162" w:rsidRPr="000B6162">
        <w:t xml:space="preserve"> SURVEY</w:t>
      </w:r>
    </w:p>
    <w:p w14:paraId="38886309" w14:textId="77777777" w:rsidR="000B6162" w:rsidRPr="000B6162" w:rsidRDefault="000B6162" w:rsidP="00E97E48">
      <w:pPr>
        <w:ind w:right="470"/>
      </w:pPr>
    </w:p>
    <w:p w14:paraId="7963C8F5" w14:textId="399FE6CD" w:rsidR="000B6162" w:rsidRPr="000B6162" w:rsidRDefault="000B6162" w:rsidP="00E97E48">
      <w:pPr>
        <w:ind w:left="-270" w:right="290"/>
        <w:jc w:val="both"/>
        <w:rPr>
          <w:sz w:val="20"/>
          <w:szCs w:val="20"/>
        </w:rPr>
      </w:pPr>
      <w:r w:rsidRPr="008A35B2">
        <w:rPr>
          <w:sz w:val="20"/>
          <w:szCs w:val="20"/>
        </w:rPr>
        <w:t xml:space="preserve">In the referenced paper [1], we explore the differentials and determinants contributing to school dropout rates in India. The dataset employed is derived from the National Family Health Survey-3. The analysis revealed that 75% of children aged between 6 and 16 were enrolled in school, while 14% had never attended, and 11% had dropped out for various reasons, such as parental illiteracy or unemployment. Notably, dropout rates were higher among certain castes, including Muslims, SC, and ST. </w:t>
      </w:r>
      <w:r w:rsidRPr="000B6162">
        <w:rPr>
          <w:sz w:val="20"/>
          <w:szCs w:val="20"/>
          <w:lang w:val="en-IN" w:eastAsia="en-IN"/>
        </w:rPr>
        <w:t xml:space="preserve">Several significant factors were identified, including the poor quality of schooling, high teacher vacancies, inadequate school infrastructure, and a correlation between the father's level of education and dropout </w:t>
      </w:r>
      <w:proofErr w:type="spellStart"/>
      <w:r w:rsidRPr="000B6162">
        <w:rPr>
          <w:sz w:val="20"/>
          <w:szCs w:val="20"/>
          <w:lang w:val="en-IN" w:eastAsia="en-IN"/>
        </w:rPr>
        <w:t>behavior</w:t>
      </w:r>
      <w:proofErr w:type="spellEnd"/>
      <w:r w:rsidRPr="000B6162">
        <w:rPr>
          <w:sz w:val="20"/>
          <w:szCs w:val="20"/>
          <w:lang w:val="en-IN" w:eastAsia="en-IN"/>
        </w:rPr>
        <w:t>. Additionally, poverty emerged as a prominent cause of school dropout, intertwined with household and social factors.</w:t>
      </w:r>
    </w:p>
    <w:p w14:paraId="0421498E" w14:textId="77777777" w:rsidR="000B6162" w:rsidRPr="008A35B2" w:rsidRDefault="000B6162" w:rsidP="00E97E48">
      <w:pPr>
        <w:ind w:left="-270" w:right="290"/>
        <w:jc w:val="both"/>
        <w:rPr>
          <w:sz w:val="20"/>
          <w:szCs w:val="20"/>
        </w:rPr>
      </w:pPr>
      <w:r w:rsidRPr="000B6162">
        <w:rPr>
          <w:sz w:val="20"/>
          <w:szCs w:val="20"/>
          <w:lang w:val="en-IN" w:eastAsia="en-IN"/>
        </w:rPr>
        <w:t>In conclusion, gender differentials in school attendance persisted, though they were minimal in urban areas. Parental characteristics, parental unemployment, the number of children in the family, and a lack of interest in studies were key contributors to dropout rates. The findings underscore the multifaceted nature of the issue, emphasizing the importance of addressing various socio-economic factors to mitigate school dropout rates in India.</w:t>
      </w:r>
    </w:p>
    <w:p w14:paraId="7BB908B0" w14:textId="77777777" w:rsidR="000B6162" w:rsidRPr="008A35B2" w:rsidRDefault="000B6162" w:rsidP="00E97E48">
      <w:pPr>
        <w:ind w:left="-270" w:right="290"/>
        <w:jc w:val="both"/>
        <w:rPr>
          <w:sz w:val="20"/>
          <w:szCs w:val="20"/>
        </w:rPr>
      </w:pPr>
    </w:p>
    <w:p w14:paraId="5E7D2F70" w14:textId="77777777" w:rsidR="00B1726F" w:rsidRDefault="00B1726F" w:rsidP="00B1726F">
      <w:pPr>
        <w:ind w:right="-160"/>
        <w:jc w:val="both"/>
        <w:rPr>
          <w:sz w:val="20"/>
          <w:szCs w:val="20"/>
        </w:rPr>
      </w:pPr>
    </w:p>
    <w:p w14:paraId="064E762F" w14:textId="77777777" w:rsidR="00B1726F" w:rsidRDefault="00B1726F" w:rsidP="00B1726F">
      <w:pPr>
        <w:ind w:right="-160"/>
        <w:jc w:val="both"/>
        <w:rPr>
          <w:sz w:val="20"/>
          <w:szCs w:val="20"/>
        </w:rPr>
      </w:pPr>
    </w:p>
    <w:p w14:paraId="6A535CF9" w14:textId="77777777" w:rsidR="00B1726F" w:rsidRDefault="00B1726F" w:rsidP="00B1726F">
      <w:pPr>
        <w:ind w:right="-160"/>
        <w:jc w:val="both"/>
        <w:rPr>
          <w:sz w:val="20"/>
          <w:szCs w:val="20"/>
        </w:rPr>
      </w:pPr>
    </w:p>
    <w:p w14:paraId="1EE83244" w14:textId="77777777" w:rsidR="00B1726F" w:rsidRDefault="00B1726F" w:rsidP="00B1726F">
      <w:pPr>
        <w:ind w:right="-160"/>
        <w:jc w:val="both"/>
        <w:rPr>
          <w:sz w:val="20"/>
          <w:szCs w:val="20"/>
        </w:rPr>
      </w:pPr>
    </w:p>
    <w:p w14:paraId="53B3311B" w14:textId="77777777" w:rsidR="00B1726F" w:rsidRDefault="00B1726F" w:rsidP="00B1726F">
      <w:pPr>
        <w:ind w:right="-160"/>
        <w:jc w:val="both"/>
        <w:rPr>
          <w:sz w:val="20"/>
          <w:szCs w:val="20"/>
        </w:rPr>
      </w:pPr>
    </w:p>
    <w:p w14:paraId="5CD432BE" w14:textId="0BE55680" w:rsidR="000B6162" w:rsidRPr="008A35B2" w:rsidRDefault="000B6162" w:rsidP="00B1726F">
      <w:pPr>
        <w:ind w:right="-160"/>
        <w:jc w:val="both"/>
        <w:rPr>
          <w:sz w:val="20"/>
          <w:szCs w:val="20"/>
        </w:rPr>
      </w:pPr>
      <w:r w:rsidRPr="008A35B2">
        <w:rPr>
          <w:sz w:val="20"/>
          <w:szCs w:val="20"/>
        </w:rPr>
        <w:t xml:space="preserve">In the research documented in [2], an investigation into the factors influencing school dropouts in India </w:t>
      </w:r>
      <w:proofErr w:type="gramStart"/>
      <w:r w:rsidRPr="008A35B2">
        <w:rPr>
          <w:sz w:val="20"/>
          <w:szCs w:val="20"/>
        </w:rPr>
        <w:t>is conducted</w:t>
      </w:r>
      <w:proofErr w:type="gramEnd"/>
      <w:r w:rsidRPr="008A35B2">
        <w:rPr>
          <w:sz w:val="20"/>
          <w:szCs w:val="20"/>
        </w:rPr>
        <w:t xml:space="preserve"> using a survival analysis approach. The findings highlight the importance of various elements such as caste divisions, wealth quintiles, institutional types, and regional variations in determining school dropout rates. The study also pinpoints reasons for dropout, encompassing disinterest in education, financial constraints, involvement in domestic or economic activities, distance from school, and academic struggles leading to failure.</w:t>
      </w:r>
    </w:p>
    <w:p w14:paraId="0C0F8B74" w14:textId="77D91C4C" w:rsidR="000B6162" w:rsidRPr="008A35B2" w:rsidRDefault="000B6162" w:rsidP="00BB09A0">
      <w:pPr>
        <w:ind w:right="-250"/>
        <w:jc w:val="both"/>
        <w:rPr>
          <w:sz w:val="20"/>
          <w:szCs w:val="20"/>
        </w:rPr>
      </w:pPr>
      <w:r w:rsidRPr="008A35B2">
        <w:rPr>
          <w:sz w:val="20"/>
          <w:szCs w:val="20"/>
        </w:rPr>
        <w:t>The research advocates for the enhancement of school infrastructure and the quality of education. Additionally, it recommends the implementation of programs aimed at preventing early marriages, particularly among females, as a strategy to mitigate school dropout rates in India.</w:t>
      </w:r>
    </w:p>
    <w:p w14:paraId="54E07E25" w14:textId="77777777" w:rsidR="008A35B2" w:rsidRPr="000B6162" w:rsidRDefault="008A35B2" w:rsidP="00BB09A0">
      <w:pPr>
        <w:ind w:right="-250"/>
        <w:jc w:val="both"/>
        <w:rPr>
          <w:sz w:val="20"/>
          <w:szCs w:val="20"/>
        </w:rPr>
      </w:pPr>
    </w:p>
    <w:p w14:paraId="00841808" w14:textId="77777777" w:rsidR="008A35B2" w:rsidRPr="008A35B2" w:rsidRDefault="008A35B2" w:rsidP="00BB09A0">
      <w:pPr>
        <w:ind w:right="-250"/>
        <w:jc w:val="both"/>
        <w:rPr>
          <w:sz w:val="20"/>
          <w:szCs w:val="20"/>
        </w:rPr>
      </w:pPr>
      <w:r w:rsidRPr="008A35B2">
        <w:rPr>
          <w:sz w:val="20"/>
          <w:szCs w:val="20"/>
        </w:rPr>
        <w:t xml:space="preserve">In the publication denoted as Paper [6], the focus is on the application of predictive modeling within educational data mining to pinpoint indicators of student dropout. The authors introduce an enhanced decision tree algorithm that incorporates socio-demographic, academic, and institutional data to forecast whether students will persist in their studies or discontinue. Notably, the algorithm integrates </w:t>
      </w:r>
      <w:proofErr w:type="spellStart"/>
      <w:r w:rsidRPr="008A35B2">
        <w:rPr>
          <w:sz w:val="20"/>
          <w:szCs w:val="20"/>
        </w:rPr>
        <w:t>Renyi</w:t>
      </w:r>
      <w:proofErr w:type="spellEnd"/>
      <w:r w:rsidRPr="008A35B2">
        <w:rPr>
          <w:sz w:val="20"/>
          <w:szCs w:val="20"/>
        </w:rPr>
        <w:t xml:space="preserve"> entropy information gain and association function to enhance prediction accuracy. Empirical results demonstrate the superior performance of the improved decision tree algorithm compared to conventional classification algorithms.</w:t>
      </w:r>
    </w:p>
    <w:p w14:paraId="669AAB45" w14:textId="77777777" w:rsidR="008A35B2" w:rsidRPr="008A35B2" w:rsidRDefault="008A35B2" w:rsidP="00BB09A0">
      <w:pPr>
        <w:ind w:right="-250"/>
        <w:jc w:val="both"/>
        <w:rPr>
          <w:sz w:val="20"/>
          <w:szCs w:val="20"/>
        </w:rPr>
      </w:pPr>
      <w:r w:rsidRPr="008A35B2">
        <w:rPr>
          <w:sz w:val="20"/>
          <w:szCs w:val="20"/>
        </w:rPr>
        <w:t>The paper delves into the contributing factors to student dropout, encompassing family problems, homesickness, campus environment, and low placement rates. It suggests that university administrators can utilize the proposed algorithm to formulate guidelines and policies aimed at reducing student dropout and bolstering enrollment rates.</w:t>
      </w:r>
    </w:p>
    <w:p w14:paraId="5B968867" w14:textId="77777777" w:rsidR="008A35B2" w:rsidRPr="008A35B2" w:rsidRDefault="008A35B2" w:rsidP="00BB09A0">
      <w:pPr>
        <w:ind w:right="-250"/>
        <w:jc w:val="both"/>
        <w:rPr>
          <w:sz w:val="20"/>
          <w:szCs w:val="20"/>
        </w:rPr>
      </w:pPr>
    </w:p>
    <w:p w14:paraId="2FA70A7F" w14:textId="77777777" w:rsidR="008A35B2" w:rsidRPr="008A35B2" w:rsidRDefault="008A35B2" w:rsidP="00BB09A0">
      <w:pPr>
        <w:ind w:right="-250"/>
        <w:jc w:val="both"/>
        <w:rPr>
          <w:sz w:val="20"/>
          <w:szCs w:val="20"/>
        </w:rPr>
      </w:pPr>
      <w:r w:rsidRPr="008A35B2">
        <w:rPr>
          <w:sz w:val="20"/>
          <w:szCs w:val="20"/>
        </w:rPr>
        <w:t>In the research documented in Paper [4], insights reveal that the dropout rate in the academic year 2018-19 for secondary level classes IX and X stood at 17%, whereas it was 4% for primary classes I to V. In an effort to minimize this dropout rate, the paper suggests the application of prediction techniques, particularly emphasizing the widely utilized K-nearest neighbor approach.</w:t>
      </w:r>
    </w:p>
    <w:p w14:paraId="364A8387" w14:textId="77777777" w:rsidR="008A35B2" w:rsidRPr="008A35B2" w:rsidRDefault="008A35B2" w:rsidP="00BB09A0">
      <w:pPr>
        <w:ind w:right="-250"/>
        <w:jc w:val="both"/>
        <w:rPr>
          <w:sz w:val="20"/>
          <w:szCs w:val="20"/>
        </w:rPr>
      </w:pPr>
      <w:r w:rsidRPr="008A35B2">
        <w:rPr>
          <w:sz w:val="20"/>
          <w:szCs w:val="20"/>
        </w:rPr>
        <w:t>The dataset employed is obtained through a web-based nationwide survey on higher education (AISHE), encompassing variables such as student enrollment, teacher details, progress metrics, and gross enrollment ratio. The identified causes for dropout vary, with domestic activities and marriage being primary reasons for females, while lack of interest and engagement in economic activities are predominant factors for males.</w:t>
      </w:r>
    </w:p>
    <w:p w14:paraId="63A4A044" w14:textId="77777777" w:rsidR="008A35B2" w:rsidRDefault="008A35B2" w:rsidP="00BB09A0">
      <w:pPr>
        <w:ind w:right="-250"/>
        <w:jc w:val="both"/>
        <w:rPr>
          <w:sz w:val="20"/>
          <w:szCs w:val="20"/>
        </w:rPr>
      </w:pPr>
      <w:r w:rsidRPr="008A35B2">
        <w:rPr>
          <w:sz w:val="20"/>
          <w:szCs w:val="20"/>
        </w:rPr>
        <w:t>The primary objective of this study is to predict whether a student is likely to drop out. In conclusion, the paper proposes that through predictive analytics, teachers can focus on identifying features indicative of a student at risk of dropout. This proactive approach allows for early intervention and counseling, ultimately benefiting students in overcoming challenges in their studies.</w:t>
      </w:r>
    </w:p>
    <w:p w14:paraId="6F70AFB5" w14:textId="77777777" w:rsidR="00422FFD" w:rsidRDefault="00422FFD" w:rsidP="00BB09A0">
      <w:pPr>
        <w:ind w:right="-250"/>
        <w:jc w:val="both"/>
        <w:rPr>
          <w:sz w:val="20"/>
          <w:szCs w:val="20"/>
        </w:rPr>
      </w:pPr>
    </w:p>
    <w:p w14:paraId="76ECD821" w14:textId="013B77B6" w:rsidR="00B1726F" w:rsidRDefault="00422FFD" w:rsidP="00B1726F">
      <w:pPr>
        <w:ind w:right="-250"/>
        <w:jc w:val="both"/>
        <w:rPr>
          <w:sz w:val="20"/>
          <w:szCs w:val="20"/>
        </w:rPr>
      </w:pPr>
      <w:r w:rsidRPr="00422FFD">
        <w:rPr>
          <w:sz w:val="20"/>
          <w:szCs w:val="20"/>
        </w:rPr>
        <w:t>In the publication referenced as Paper [5], the authors address the concern of school dropout rates in India and underscore the significance of education for national progress. Their analysis focuses on the patterns of dropout rates at the secondary stage across various regions of India. The authors identify key factors contributing to student dropout, including issues such as child marriage, insufficient transportation and facilities, safety and security concerns, parental education levels, a</w:t>
      </w:r>
      <w:r w:rsidR="00B1726F">
        <w:rPr>
          <w:sz w:val="20"/>
          <w:szCs w:val="20"/>
        </w:rPr>
        <w:t>nd a lack of interest in school</w:t>
      </w:r>
    </w:p>
    <w:p w14:paraId="059800C8" w14:textId="6352B4BE" w:rsidR="00422FFD" w:rsidRDefault="00422FFD" w:rsidP="00B1726F">
      <w:pPr>
        <w:ind w:left="-270" w:right="290"/>
        <w:jc w:val="both"/>
        <w:rPr>
          <w:sz w:val="20"/>
          <w:szCs w:val="20"/>
        </w:rPr>
      </w:pPr>
      <w:r w:rsidRPr="00422FFD">
        <w:rPr>
          <w:sz w:val="20"/>
          <w:szCs w:val="20"/>
        </w:rPr>
        <w:lastRenderedPageBreak/>
        <w:t xml:space="preserve">Furthermore, the paper offers policy implications and recommendations aimed at alleviating dropout rates. These include enhancing the overall school culture, ensuring the provision of basic facilities, implementing teacher training initiatives, and conducting remedial teaching programs. The suggested strategies </w:t>
      </w:r>
      <w:proofErr w:type="gramStart"/>
      <w:r w:rsidRPr="00422FFD">
        <w:rPr>
          <w:sz w:val="20"/>
          <w:szCs w:val="20"/>
        </w:rPr>
        <w:t>are intended</w:t>
      </w:r>
      <w:proofErr w:type="gramEnd"/>
      <w:r w:rsidRPr="00422FFD">
        <w:rPr>
          <w:sz w:val="20"/>
          <w:szCs w:val="20"/>
        </w:rPr>
        <w:t xml:space="preserve"> to provide actionable steps for policymakers and educators to address the multifaceted challenges associated with student dropout in the Indian context.</w:t>
      </w:r>
    </w:p>
    <w:p w14:paraId="01C1AAAD" w14:textId="77777777" w:rsidR="00BB09A0" w:rsidRDefault="00BB09A0" w:rsidP="00BB09A0">
      <w:pPr>
        <w:ind w:left="-270" w:right="290"/>
        <w:jc w:val="both"/>
        <w:rPr>
          <w:sz w:val="20"/>
          <w:szCs w:val="20"/>
        </w:rPr>
      </w:pPr>
    </w:p>
    <w:p w14:paraId="635D7C69" w14:textId="1CA9DF78" w:rsidR="00422FFD" w:rsidRDefault="00422FFD" w:rsidP="00BB09A0">
      <w:pPr>
        <w:tabs>
          <w:tab w:val="left" w:pos="2039"/>
        </w:tabs>
        <w:ind w:left="-270" w:right="290" w:firstLine="1620"/>
        <w:rPr>
          <w:w w:val="105"/>
          <w:sz w:val="18"/>
        </w:rPr>
      </w:pPr>
      <w:r>
        <w:rPr>
          <w:w w:val="105"/>
          <w:sz w:val="18"/>
        </w:rPr>
        <w:t xml:space="preserve">III. </w:t>
      </w:r>
      <w:r w:rsidRPr="00422FFD">
        <w:rPr>
          <w:w w:val="105"/>
          <w:sz w:val="18"/>
        </w:rPr>
        <w:t>METHODOLOGY</w:t>
      </w:r>
    </w:p>
    <w:p w14:paraId="3BEED0B7" w14:textId="77777777" w:rsidR="00BB09A0" w:rsidRPr="00422FFD" w:rsidRDefault="00BB09A0" w:rsidP="00BB09A0">
      <w:pPr>
        <w:tabs>
          <w:tab w:val="left" w:pos="2039"/>
        </w:tabs>
        <w:ind w:left="-270" w:right="290" w:firstLine="1620"/>
        <w:rPr>
          <w:sz w:val="18"/>
        </w:rPr>
      </w:pPr>
    </w:p>
    <w:p w14:paraId="4F2C182D" w14:textId="69A84FBB" w:rsidR="00670C9C" w:rsidRDefault="00EB02FC" w:rsidP="00BB09A0">
      <w:pPr>
        <w:shd w:val="clear" w:color="auto" w:fill="FFFFFF"/>
        <w:ind w:left="-270" w:right="290"/>
        <w:jc w:val="both"/>
        <w:rPr>
          <w:color w:val="1F1F1F"/>
          <w:sz w:val="20"/>
          <w:szCs w:val="20"/>
        </w:rPr>
      </w:pPr>
      <w:r w:rsidRPr="00EB02FC">
        <w:rPr>
          <w:color w:val="1F1F1F"/>
          <w:sz w:val="20"/>
          <w:szCs w:val="20"/>
        </w:rPr>
        <w:t>To develop a web application that connects schools across India to collect annual student enrollment data. By leveraging this data, the system will analyze and predict student dropout rates for each state and region, identifying the key factors contributing to such dropouts. This information will empower the government to formulate effective policy decisions aimed at improving student retention and fostering educational equity.</w:t>
      </w:r>
    </w:p>
    <w:p w14:paraId="5FA0DE86" w14:textId="6A0EA122" w:rsidR="00670C9C" w:rsidRDefault="00670C9C" w:rsidP="00BB09A0">
      <w:pPr>
        <w:ind w:left="-270" w:right="290"/>
        <w:jc w:val="both"/>
        <w:rPr>
          <w:i/>
          <w:iCs/>
          <w:sz w:val="20"/>
          <w:szCs w:val="20"/>
        </w:rPr>
      </w:pPr>
      <w:r>
        <w:rPr>
          <w:sz w:val="20"/>
          <w:szCs w:val="20"/>
        </w:rPr>
        <w:t xml:space="preserve">1. </w:t>
      </w:r>
      <w:r w:rsidRPr="00670C9C">
        <w:rPr>
          <w:i/>
          <w:iCs/>
          <w:sz w:val="20"/>
          <w:szCs w:val="20"/>
        </w:rPr>
        <w:t xml:space="preserve">School Registration and Data Submission: </w:t>
      </w:r>
    </w:p>
    <w:p w14:paraId="356B0EEF" w14:textId="77777777" w:rsidR="00670C9C" w:rsidRPr="00670C9C" w:rsidRDefault="00670C9C" w:rsidP="00BB09A0">
      <w:pPr>
        <w:ind w:left="-270" w:right="290"/>
        <w:jc w:val="both"/>
        <w:rPr>
          <w:sz w:val="20"/>
          <w:szCs w:val="20"/>
        </w:rPr>
      </w:pPr>
    </w:p>
    <w:p w14:paraId="39859EDC" w14:textId="77777777" w:rsidR="00670C9C" w:rsidRDefault="00670C9C" w:rsidP="00BB09A0">
      <w:pPr>
        <w:ind w:left="-270" w:right="290"/>
        <w:jc w:val="both"/>
        <w:rPr>
          <w:sz w:val="20"/>
          <w:szCs w:val="20"/>
        </w:rPr>
      </w:pPr>
      <w:r w:rsidRPr="00A60869">
        <w:rPr>
          <w:sz w:val="20"/>
          <w:szCs w:val="20"/>
        </w:rPr>
        <w:t>• Schools register on the online portal and create user accounts.</w:t>
      </w:r>
    </w:p>
    <w:p w14:paraId="562C3224" w14:textId="77777777" w:rsidR="00670C9C" w:rsidRDefault="00670C9C" w:rsidP="00BB09A0">
      <w:pPr>
        <w:ind w:left="-270" w:right="290"/>
        <w:jc w:val="both"/>
        <w:rPr>
          <w:sz w:val="20"/>
          <w:szCs w:val="20"/>
        </w:rPr>
      </w:pPr>
      <w:r w:rsidRPr="00A60869">
        <w:rPr>
          <w:sz w:val="20"/>
          <w:szCs w:val="20"/>
        </w:rPr>
        <w:t xml:space="preserve">• Standardized data templates guide schools in entering accurate and complete student enrollment data. </w:t>
      </w:r>
    </w:p>
    <w:p w14:paraId="788C6F35" w14:textId="77777777" w:rsidR="00670C9C" w:rsidRDefault="00670C9C" w:rsidP="00BB09A0">
      <w:pPr>
        <w:ind w:left="-270" w:right="290"/>
        <w:jc w:val="both"/>
        <w:rPr>
          <w:sz w:val="20"/>
          <w:szCs w:val="20"/>
        </w:rPr>
      </w:pPr>
      <w:r w:rsidRPr="00A60869">
        <w:rPr>
          <w:sz w:val="20"/>
          <w:szCs w:val="20"/>
        </w:rPr>
        <w:t>• The system performs data validation checks to ensure consistency and identify potential errors.</w:t>
      </w:r>
    </w:p>
    <w:p w14:paraId="4DD585D7" w14:textId="77777777" w:rsidR="00670C9C" w:rsidRDefault="00670C9C" w:rsidP="00BB09A0">
      <w:pPr>
        <w:ind w:left="-270" w:right="290"/>
        <w:jc w:val="both"/>
        <w:rPr>
          <w:sz w:val="20"/>
          <w:szCs w:val="20"/>
        </w:rPr>
      </w:pPr>
    </w:p>
    <w:p w14:paraId="48088031" w14:textId="14A7E365" w:rsidR="00825833" w:rsidRDefault="00825833" w:rsidP="00BB09A0">
      <w:pPr>
        <w:ind w:left="-270" w:right="290"/>
        <w:jc w:val="both"/>
        <w:rPr>
          <w:sz w:val="20"/>
          <w:szCs w:val="20"/>
        </w:rPr>
      </w:pPr>
      <w:r>
        <w:rPr>
          <w:sz w:val="20"/>
          <w:szCs w:val="20"/>
        </w:rPr>
        <w:t xml:space="preserve">2. </w:t>
      </w:r>
      <w:r w:rsidRPr="00825833">
        <w:rPr>
          <w:i/>
          <w:iCs/>
          <w:sz w:val="20"/>
          <w:szCs w:val="20"/>
        </w:rPr>
        <w:t>Data Processing and Storage:</w:t>
      </w:r>
      <w:r w:rsidRPr="00A60869">
        <w:rPr>
          <w:sz w:val="20"/>
          <w:szCs w:val="20"/>
        </w:rPr>
        <w:t xml:space="preserve"> </w:t>
      </w:r>
    </w:p>
    <w:p w14:paraId="1F5345AA" w14:textId="77777777" w:rsidR="00825833" w:rsidRDefault="00825833" w:rsidP="00BB09A0">
      <w:pPr>
        <w:ind w:left="-270" w:right="290"/>
        <w:jc w:val="both"/>
        <w:rPr>
          <w:sz w:val="20"/>
          <w:szCs w:val="20"/>
        </w:rPr>
      </w:pPr>
    </w:p>
    <w:p w14:paraId="092AB324" w14:textId="77777777" w:rsidR="00825833" w:rsidRDefault="00825833" w:rsidP="00BB09A0">
      <w:pPr>
        <w:ind w:left="-270" w:right="290"/>
        <w:jc w:val="both"/>
        <w:rPr>
          <w:sz w:val="20"/>
          <w:szCs w:val="20"/>
        </w:rPr>
      </w:pPr>
      <w:r w:rsidRPr="00A60869">
        <w:rPr>
          <w:sz w:val="20"/>
          <w:szCs w:val="20"/>
        </w:rPr>
        <w:t xml:space="preserve">• Preprocessing steps clean and prepare the data for analysis. </w:t>
      </w:r>
    </w:p>
    <w:p w14:paraId="46272FAA" w14:textId="77777777" w:rsidR="00825833" w:rsidRDefault="00825833" w:rsidP="00BB09A0">
      <w:pPr>
        <w:ind w:left="-270" w:right="290"/>
        <w:jc w:val="both"/>
        <w:rPr>
          <w:sz w:val="20"/>
          <w:szCs w:val="20"/>
        </w:rPr>
      </w:pPr>
      <w:r w:rsidRPr="00A60869">
        <w:rPr>
          <w:sz w:val="20"/>
          <w:szCs w:val="20"/>
        </w:rPr>
        <w:t xml:space="preserve">• Features are extracted from the data, including demographic information, academic performance metrics, attendance records, and socio-economic indicators. </w:t>
      </w:r>
    </w:p>
    <w:p w14:paraId="685C6073" w14:textId="77777777" w:rsidR="00825833" w:rsidRDefault="00825833" w:rsidP="00BB09A0">
      <w:pPr>
        <w:ind w:left="-270" w:right="290"/>
        <w:jc w:val="both"/>
        <w:rPr>
          <w:sz w:val="20"/>
          <w:szCs w:val="20"/>
        </w:rPr>
      </w:pPr>
      <w:r w:rsidRPr="00A60869">
        <w:rPr>
          <w:sz w:val="20"/>
          <w:szCs w:val="20"/>
        </w:rPr>
        <w:t xml:space="preserve">• Additional features are engineered based on domain knowledge and exploratory analysis. </w:t>
      </w:r>
    </w:p>
    <w:p w14:paraId="3AED17DC" w14:textId="77777777" w:rsidR="00825833" w:rsidRDefault="00825833" w:rsidP="00BB09A0">
      <w:pPr>
        <w:ind w:left="-270" w:right="290"/>
        <w:jc w:val="both"/>
        <w:rPr>
          <w:sz w:val="20"/>
          <w:szCs w:val="20"/>
        </w:rPr>
      </w:pPr>
      <w:r w:rsidRPr="00A60869">
        <w:rPr>
          <w:sz w:val="20"/>
          <w:szCs w:val="20"/>
        </w:rPr>
        <w:t>• The preprocessed and engineered data are stored in a secure and scalable database.</w:t>
      </w:r>
    </w:p>
    <w:p w14:paraId="310B28ED" w14:textId="77777777" w:rsidR="00825833" w:rsidRDefault="00825833" w:rsidP="00BB09A0">
      <w:pPr>
        <w:ind w:left="-270" w:right="290"/>
        <w:jc w:val="both"/>
        <w:rPr>
          <w:sz w:val="20"/>
          <w:szCs w:val="20"/>
        </w:rPr>
      </w:pPr>
    </w:p>
    <w:p w14:paraId="1F9D1910" w14:textId="286F9378" w:rsidR="00825833" w:rsidRDefault="00825833" w:rsidP="00BB09A0">
      <w:pPr>
        <w:ind w:left="-270" w:right="290"/>
        <w:jc w:val="both"/>
        <w:rPr>
          <w:i/>
          <w:iCs/>
          <w:sz w:val="20"/>
          <w:szCs w:val="20"/>
        </w:rPr>
      </w:pPr>
      <w:r>
        <w:rPr>
          <w:sz w:val="20"/>
          <w:szCs w:val="20"/>
        </w:rPr>
        <w:t xml:space="preserve">3. </w:t>
      </w:r>
      <w:r w:rsidRPr="00825833">
        <w:rPr>
          <w:i/>
          <w:iCs/>
          <w:sz w:val="20"/>
          <w:szCs w:val="20"/>
        </w:rPr>
        <w:t>Model Training and Prediction:</w:t>
      </w:r>
    </w:p>
    <w:p w14:paraId="07B4397C" w14:textId="77777777" w:rsidR="00825833" w:rsidRPr="00825833" w:rsidRDefault="00825833" w:rsidP="00BB09A0">
      <w:pPr>
        <w:ind w:left="-270" w:right="290"/>
        <w:jc w:val="both"/>
        <w:rPr>
          <w:sz w:val="20"/>
          <w:szCs w:val="20"/>
        </w:rPr>
      </w:pPr>
    </w:p>
    <w:p w14:paraId="68D74B6F" w14:textId="77777777" w:rsidR="00825833" w:rsidRPr="00825833" w:rsidRDefault="00825833" w:rsidP="00BB09A0">
      <w:pPr>
        <w:ind w:left="-270" w:right="290"/>
        <w:jc w:val="both"/>
        <w:rPr>
          <w:sz w:val="20"/>
          <w:szCs w:val="20"/>
        </w:rPr>
      </w:pPr>
      <w:r w:rsidRPr="00825833">
        <w:rPr>
          <w:sz w:val="20"/>
          <w:szCs w:val="20"/>
        </w:rPr>
        <w:t xml:space="preserve"> • Machine learning models are trained on the prepared data using supervised learning algorithms. </w:t>
      </w:r>
    </w:p>
    <w:p w14:paraId="2675CC40" w14:textId="77777777" w:rsidR="00825833" w:rsidRPr="00825833" w:rsidRDefault="00825833" w:rsidP="00BB09A0">
      <w:pPr>
        <w:ind w:left="-270" w:right="290"/>
        <w:jc w:val="both"/>
        <w:rPr>
          <w:sz w:val="20"/>
          <w:szCs w:val="20"/>
        </w:rPr>
      </w:pPr>
      <w:r w:rsidRPr="00825833">
        <w:rPr>
          <w:sz w:val="20"/>
          <w:szCs w:val="20"/>
        </w:rPr>
        <w:t xml:space="preserve">• The models learn to identify patterns and relationships between the features and student dropout outcomes. </w:t>
      </w:r>
    </w:p>
    <w:p w14:paraId="3D5FB671" w14:textId="10296E72" w:rsidR="00825833" w:rsidRDefault="00825833" w:rsidP="00BB09A0">
      <w:pPr>
        <w:ind w:left="-270" w:right="290"/>
        <w:jc w:val="both"/>
        <w:rPr>
          <w:sz w:val="20"/>
          <w:szCs w:val="20"/>
        </w:rPr>
      </w:pPr>
      <w:r w:rsidRPr="00825833">
        <w:rPr>
          <w:sz w:val="20"/>
          <w:szCs w:val="20"/>
        </w:rPr>
        <w:t>• Once trained, the models predict the dropout probability for each student in the dataset.</w:t>
      </w:r>
    </w:p>
    <w:p w14:paraId="5058F650" w14:textId="77777777" w:rsidR="00825833" w:rsidRDefault="00825833" w:rsidP="00BB09A0">
      <w:pPr>
        <w:ind w:left="-270" w:right="290"/>
        <w:jc w:val="both"/>
        <w:rPr>
          <w:sz w:val="20"/>
          <w:szCs w:val="20"/>
        </w:rPr>
      </w:pPr>
    </w:p>
    <w:p w14:paraId="0415A062" w14:textId="0CEB44D9" w:rsidR="00825833" w:rsidRDefault="00825833" w:rsidP="00BB09A0">
      <w:pPr>
        <w:ind w:left="-270" w:right="290"/>
        <w:jc w:val="both"/>
        <w:rPr>
          <w:i/>
          <w:iCs/>
          <w:sz w:val="20"/>
          <w:szCs w:val="20"/>
        </w:rPr>
      </w:pPr>
      <w:r w:rsidRPr="00825833">
        <w:rPr>
          <w:sz w:val="20"/>
          <w:szCs w:val="20"/>
        </w:rPr>
        <w:t xml:space="preserve">4. </w:t>
      </w:r>
      <w:r w:rsidRPr="00825833">
        <w:rPr>
          <w:i/>
          <w:iCs/>
          <w:sz w:val="20"/>
          <w:szCs w:val="20"/>
        </w:rPr>
        <w:t>Data Analysis and Visualization:</w:t>
      </w:r>
    </w:p>
    <w:p w14:paraId="3BB84FDF" w14:textId="77777777" w:rsidR="00825833" w:rsidRPr="00825833" w:rsidRDefault="00825833" w:rsidP="00BB09A0">
      <w:pPr>
        <w:ind w:left="-270" w:right="290"/>
        <w:jc w:val="both"/>
        <w:rPr>
          <w:sz w:val="20"/>
          <w:szCs w:val="20"/>
        </w:rPr>
      </w:pPr>
    </w:p>
    <w:p w14:paraId="4CB68BFE" w14:textId="77777777" w:rsidR="00825833" w:rsidRPr="00825833" w:rsidRDefault="00825833" w:rsidP="00BB09A0">
      <w:pPr>
        <w:ind w:left="-270" w:right="290"/>
        <w:jc w:val="both"/>
        <w:rPr>
          <w:sz w:val="20"/>
          <w:szCs w:val="20"/>
        </w:rPr>
      </w:pPr>
      <w:r w:rsidRPr="00825833">
        <w:rPr>
          <w:sz w:val="20"/>
          <w:szCs w:val="20"/>
        </w:rPr>
        <w:t xml:space="preserve"> • The system aggregates dropout predictions and analyzes trends across different states, regions, and demographic groups. </w:t>
      </w:r>
    </w:p>
    <w:p w14:paraId="1225788D" w14:textId="77777777" w:rsidR="00825833" w:rsidRPr="00825833" w:rsidRDefault="00825833" w:rsidP="00BB09A0">
      <w:pPr>
        <w:ind w:left="-270" w:right="290"/>
        <w:jc w:val="both"/>
        <w:rPr>
          <w:sz w:val="20"/>
          <w:szCs w:val="20"/>
        </w:rPr>
      </w:pPr>
      <w:r w:rsidRPr="00825833">
        <w:rPr>
          <w:sz w:val="20"/>
          <w:szCs w:val="20"/>
        </w:rPr>
        <w:t xml:space="preserve">• Interactive dashboards and reports visualize the predicted dropout rates, key contributing factors, and other relevant insights. </w:t>
      </w:r>
    </w:p>
    <w:p w14:paraId="428E7491" w14:textId="33FB28B7" w:rsidR="00825833" w:rsidRDefault="00825833" w:rsidP="00BB09A0">
      <w:pPr>
        <w:ind w:left="-270" w:right="290"/>
        <w:jc w:val="both"/>
        <w:rPr>
          <w:sz w:val="20"/>
          <w:szCs w:val="20"/>
        </w:rPr>
      </w:pPr>
      <w:r w:rsidRPr="00825833">
        <w:rPr>
          <w:sz w:val="20"/>
          <w:szCs w:val="20"/>
        </w:rPr>
        <w:t>• Policymakers and educators can easily navigate and explore the data to understand the dropout landscape and target their interventions effectively.</w:t>
      </w:r>
    </w:p>
    <w:p w14:paraId="4555CA59" w14:textId="49E320E6" w:rsidR="00B1726F" w:rsidRDefault="00B1726F" w:rsidP="00BB09A0">
      <w:pPr>
        <w:ind w:left="-270" w:right="290"/>
        <w:jc w:val="both"/>
        <w:rPr>
          <w:sz w:val="20"/>
          <w:szCs w:val="20"/>
        </w:rPr>
      </w:pPr>
    </w:p>
    <w:p w14:paraId="2971EA94" w14:textId="49A2034F" w:rsidR="00B1726F" w:rsidRDefault="00B1726F" w:rsidP="00BB09A0">
      <w:pPr>
        <w:ind w:left="-270" w:right="290"/>
        <w:jc w:val="both"/>
        <w:rPr>
          <w:sz w:val="20"/>
          <w:szCs w:val="20"/>
        </w:rPr>
      </w:pPr>
    </w:p>
    <w:p w14:paraId="6765C2E4" w14:textId="261D53A0" w:rsidR="00B1726F" w:rsidRDefault="00B1726F" w:rsidP="00BB09A0">
      <w:pPr>
        <w:ind w:left="-270" w:right="290"/>
        <w:jc w:val="both"/>
        <w:rPr>
          <w:sz w:val="20"/>
          <w:szCs w:val="20"/>
        </w:rPr>
      </w:pPr>
    </w:p>
    <w:p w14:paraId="4E1DE6E2" w14:textId="77777777" w:rsidR="00B1726F" w:rsidRDefault="00B1726F" w:rsidP="00BB09A0">
      <w:pPr>
        <w:ind w:left="-270" w:right="290"/>
        <w:jc w:val="both"/>
        <w:rPr>
          <w:sz w:val="20"/>
          <w:szCs w:val="20"/>
        </w:rPr>
      </w:pPr>
    </w:p>
    <w:p w14:paraId="3CC49E68" w14:textId="77777777" w:rsidR="00825833" w:rsidRDefault="00825833" w:rsidP="00BB09A0">
      <w:pPr>
        <w:ind w:left="-270" w:right="290"/>
        <w:jc w:val="both"/>
        <w:rPr>
          <w:sz w:val="20"/>
          <w:szCs w:val="20"/>
        </w:rPr>
      </w:pPr>
    </w:p>
    <w:p w14:paraId="48F23311" w14:textId="6FF00F74" w:rsidR="00825833" w:rsidRDefault="00825833" w:rsidP="00B1726F">
      <w:pPr>
        <w:ind w:right="290"/>
        <w:jc w:val="both"/>
        <w:rPr>
          <w:i/>
          <w:iCs/>
          <w:sz w:val="20"/>
          <w:szCs w:val="20"/>
        </w:rPr>
      </w:pPr>
      <w:r w:rsidRPr="00825833">
        <w:rPr>
          <w:sz w:val="20"/>
          <w:szCs w:val="20"/>
        </w:rPr>
        <w:t xml:space="preserve">5. </w:t>
      </w:r>
      <w:r w:rsidRPr="00825833">
        <w:rPr>
          <w:i/>
          <w:iCs/>
          <w:sz w:val="20"/>
          <w:szCs w:val="20"/>
        </w:rPr>
        <w:t>Interventions and Support:</w:t>
      </w:r>
    </w:p>
    <w:p w14:paraId="523CB513" w14:textId="77777777" w:rsidR="00825833" w:rsidRPr="00825833" w:rsidRDefault="00825833" w:rsidP="00BB09A0">
      <w:pPr>
        <w:ind w:left="-270" w:right="290"/>
        <w:jc w:val="both"/>
        <w:rPr>
          <w:sz w:val="20"/>
          <w:szCs w:val="20"/>
        </w:rPr>
      </w:pPr>
    </w:p>
    <w:p w14:paraId="0E9DFC4E" w14:textId="77777777" w:rsidR="00825833" w:rsidRPr="00825833" w:rsidRDefault="00825833" w:rsidP="00B1726F">
      <w:pPr>
        <w:ind w:right="-250"/>
        <w:jc w:val="both"/>
        <w:rPr>
          <w:sz w:val="20"/>
          <w:szCs w:val="20"/>
        </w:rPr>
      </w:pPr>
      <w:r w:rsidRPr="00825833">
        <w:rPr>
          <w:sz w:val="20"/>
          <w:szCs w:val="20"/>
        </w:rPr>
        <w:t xml:space="preserve"> • Based on the system's predictions and identified risk factors, schools and policymakers can implement targeted interventions and support programs. </w:t>
      </w:r>
    </w:p>
    <w:p w14:paraId="5DE4E9BE" w14:textId="77777777" w:rsidR="00825833" w:rsidRDefault="00825833" w:rsidP="00B1726F">
      <w:pPr>
        <w:ind w:right="290"/>
        <w:rPr>
          <w:sz w:val="20"/>
          <w:szCs w:val="20"/>
        </w:rPr>
      </w:pPr>
      <w:r w:rsidRPr="00825833">
        <w:rPr>
          <w:sz w:val="20"/>
          <w:szCs w:val="20"/>
        </w:rPr>
        <w:t>• These interventions may include academic tutoring, financial assistance, social-emotional support, and mentoring programs.</w:t>
      </w:r>
    </w:p>
    <w:p w14:paraId="00310DA9" w14:textId="77777777" w:rsidR="00825833" w:rsidRDefault="00825833" w:rsidP="00825833">
      <w:pPr>
        <w:rPr>
          <w:sz w:val="20"/>
          <w:szCs w:val="20"/>
        </w:rPr>
      </w:pPr>
    </w:p>
    <w:p w14:paraId="70A3E933" w14:textId="5C070667" w:rsidR="007060C0" w:rsidRDefault="007060C0" w:rsidP="00B1726F">
      <w:pPr>
        <w:ind w:right="-250"/>
        <w:jc w:val="both"/>
        <w:rPr>
          <w:sz w:val="20"/>
          <w:szCs w:val="20"/>
        </w:rPr>
      </w:pPr>
      <w:r>
        <w:rPr>
          <w:sz w:val="20"/>
          <w:szCs w:val="20"/>
        </w:rPr>
        <w:t xml:space="preserve">6. </w:t>
      </w:r>
      <w:r w:rsidRPr="007060C0">
        <w:rPr>
          <w:i/>
          <w:iCs/>
          <w:sz w:val="20"/>
          <w:szCs w:val="20"/>
        </w:rPr>
        <w:t>System Monitoring and Improvement:</w:t>
      </w:r>
      <w:r w:rsidRPr="00B74B73">
        <w:rPr>
          <w:sz w:val="20"/>
          <w:szCs w:val="20"/>
        </w:rPr>
        <w:t xml:space="preserve"> </w:t>
      </w:r>
    </w:p>
    <w:p w14:paraId="140D9AAA" w14:textId="77777777" w:rsidR="007060C0" w:rsidRDefault="007060C0" w:rsidP="00BB09A0">
      <w:pPr>
        <w:ind w:left="-270" w:right="290"/>
        <w:jc w:val="both"/>
        <w:rPr>
          <w:sz w:val="20"/>
          <w:szCs w:val="20"/>
        </w:rPr>
      </w:pPr>
    </w:p>
    <w:p w14:paraId="5B364FDF" w14:textId="77777777" w:rsidR="007060C0" w:rsidRDefault="007060C0" w:rsidP="00B1726F">
      <w:pPr>
        <w:ind w:right="-250"/>
        <w:jc w:val="both"/>
        <w:rPr>
          <w:sz w:val="20"/>
          <w:szCs w:val="20"/>
        </w:rPr>
      </w:pPr>
      <w:r w:rsidRPr="00B74B73">
        <w:rPr>
          <w:sz w:val="20"/>
          <w:szCs w:val="20"/>
        </w:rPr>
        <w:t xml:space="preserve">• The system continuously monitors data quality, model performance, and overall system functionality. </w:t>
      </w:r>
    </w:p>
    <w:p w14:paraId="4DA31213" w14:textId="77777777" w:rsidR="007060C0" w:rsidRDefault="007060C0" w:rsidP="00B1726F">
      <w:pPr>
        <w:ind w:right="-250"/>
        <w:jc w:val="both"/>
        <w:rPr>
          <w:sz w:val="20"/>
          <w:szCs w:val="20"/>
        </w:rPr>
      </w:pPr>
      <w:r w:rsidRPr="00B74B73">
        <w:rPr>
          <w:sz w:val="20"/>
          <w:szCs w:val="20"/>
        </w:rPr>
        <w:t xml:space="preserve">• Regular updates and retraining of models ensure accuracy and adaptation to changing patterns. </w:t>
      </w:r>
    </w:p>
    <w:p w14:paraId="03F94A9B" w14:textId="77777777" w:rsidR="007060C0" w:rsidRDefault="007060C0" w:rsidP="00B1726F">
      <w:pPr>
        <w:ind w:right="-250"/>
        <w:jc w:val="both"/>
        <w:rPr>
          <w:sz w:val="20"/>
          <w:szCs w:val="20"/>
        </w:rPr>
      </w:pPr>
      <w:r w:rsidRPr="00B74B73">
        <w:rPr>
          <w:sz w:val="20"/>
          <w:szCs w:val="20"/>
        </w:rPr>
        <w:t>• User feedback and ongoing research inform the system's development and improvement over time.</w:t>
      </w:r>
    </w:p>
    <w:p w14:paraId="562F625C" w14:textId="77777777" w:rsidR="007060C0" w:rsidRDefault="007060C0" w:rsidP="00BB09A0">
      <w:pPr>
        <w:ind w:right="-250"/>
        <w:jc w:val="both"/>
        <w:rPr>
          <w:sz w:val="20"/>
          <w:szCs w:val="20"/>
        </w:rPr>
      </w:pPr>
    </w:p>
    <w:p w14:paraId="31A0880F" w14:textId="77777777" w:rsidR="007060C0" w:rsidRDefault="007060C0" w:rsidP="00BB09A0">
      <w:pPr>
        <w:ind w:right="-250"/>
        <w:rPr>
          <w:sz w:val="20"/>
          <w:szCs w:val="20"/>
        </w:rPr>
      </w:pPr>
    </w:p>
    <w:p w14:paraId="76908675" w14:textId="42B61DE4" w:rsidR="007060C0" w:rsidRDefault="007060C0" w:rsidP="00BB09A0">
      <w:pPr>
        <w:ind w:right="-250"/>
        <w:jc w:val="both"/>
        <w:rPr>
          <w:sz w:val="20"/>
          <w:szCs w:val="20"/>
        </w:rPr>
      </w:pPr>
      <w:r>
        <w:rPr>
          <w:sz w:val="20"/>
          <w:szCs w:val="20"/>
        </w:rPr>
        <w:t xml:space="preserve">7. </w:t>
      </w:r>
      <w:r w:rsidRPr="007060C0">
        <w:rPr>
          <w:i/>
          <w:iCs/>
          <w:sz w:val="20"/>
          <w:szCs w:val="20"/>
        </w:rPr>
        <w:t>Collaboration and Dissemination:</w:t>
      </w:r>
      <w:r w:rsidRPr="005154C6">
        <w:rPr>
          <w:sz w:val="20"/>
          <w:szCs w:val="20"/>
        </w:rPr>
        <w:t xml:space="preserve"> </w:t>
      </w:r>
    </w:p>
    <w:p w14:paraId="6DABA59E" w14:textId="77777777" w:rsidR="007060C0" w:rsidRDefault="007060C0" w:rsidP="00BB09A0">
      <w:pPr>
        <w:ind w:right="-250"/>
        <w:jc w:val="both"/>
        <w:rPr>
          <w:sz w:val="20"/>
          <w:szCs w:val="20"/>
        </w:rPr>
      </w:pPr>
    </w:p>
    <w:p w14:paraId="21831CA2" w14:textId="77777777" w:rsidR="007060C0" w:rsidRDefault="007060C0" w:rsidP="00BB09A0">
      <w:pPr>
        <w:ind w:right="-250"/>
        <w:jc w:val="both"/>
        <w:rPr>
          <w:sz w:val="20"/>
          <w:szCs w:val="20"/>
        </w:rPr>
      </w:pPr>
      <w:r w:rsidRPr="005154C6">
        <w:rPr>
          <w:sz w:val="20"/>
          <w:szCs w:val="20"/>
        </w:rPr>
        <w:t xml:space="preserve">• The system facilitates collaboration between schools, government agencies, educators, and researchers. </w:t>
      </w:r>
    </w:p>
    <w:p w14:paraId="3DEE3C82" w14:textId="77777777" w:rsidR="007060C0" w:rsidRDefault="007060C0" w:rsidP="00BB09A0">
      <w:pPr>
        <w:ind w:right="-250"/>
        <w:jc w:val="both"/>
        <w:rPr>
          <w:sz w:val="20"/>
          <w:szCs w:val="20"/>
        </w:rPr>
      </w:pPr>
      <w:r w:rsidRPr="005154C6">
        <w:rPr>
          <w:sz w:val="20"/>
          <w:szCs w:val="20"/>
        </w:rPr>
        <w:t xml:space="preserve">• Sharing insights and best practices help improve the effectiveness of dropout prevention strategies. </w:t>
      </w:r>
    </w:p>
    <w:p w14:paraId="77940FE7" w14:textId="77777777" w:rsidR="007060C0" w:rsidRDefault="007060C0" w:rsidP="00BB09A0">
      <w:pPr>
        <w:ind w:right="-250"/>
        <w:jc w:val="both"/>
        <w:rPr>
          <w:sz w:val="20"/>
          <w:szCs w:val="20"/>
        </w:rPr>
      </w:pPr>
      <w:r w:rsidRPr="005154C6">
        <w:rPr>
          <w:sz w:val="20"/>
          <w:szCs w:val="20"/>
        </w:rPr>
        <w:t>• Public awareness campaigns and information dissemination raise awareness about the system and its benefits for students and communities.</w:t>
      </w:r>
    </w:p>
    <w:p w14:paraId="56F42020" w14:textId="77777777" w:rsidR="007060C0" w:rsidRDefault="007060C0" w:rsidP="00BB09A0">
      <w:pPr>
        <w:ind w:right="-250"/>
        <w:jc w:val="both"/>
        <w:rPr>
          <w:sz w:val="20"/>
          <w:szCs w:val="20"/>
        </w:rPr>
      </w:pPr>
    </w:p>
    <w:p w14:paraId="39402B29" w14:textId="40195020" w:rsidR="007060C0" w:rsidRDefault="007060C0" w:rsidP="00BB09A0">
      <w:pPr>
        <w:ind w:right="-250"/>
        <w:jc w:val="both"/>
        <w:rPr>
          <w:sz w:val="20"/>
          <w:szCs w:val="20"/>
        </w:rPr>
      </w:pPr>
      <w:r>
        <w:rPr>
          <w:sz w:val="20"/>
          <w:szCs w:val="20"/>
        </w:rPr>
        <w:t xml:space="preserve">8. </w:t>
      </w:r>
      <w:r w:rsidRPr="007060C0">
        <w:rPr>
          <w:i/>
          <w:iCs/>
          <w:sz w:val="20"/>
          <w:szCs w:val="20"/>
        </w:rPr>
        <w:t>Sustainable Impact:</w:t>
      </w:r>
      <w:r w:rsidRPr="005154C6">
        <w:rPr>
          <w:sz w:val="20"/>
          <w:szCs w:val="20"/>
        </w:rPr>
        <w:t xml:space="preserve"> </w:t>
      </w:r>
    </w:p>
    <w:p w14:paraId="43FAFC22" w14:textId="77777777" w:rsidR="007060C0" w:rsidRDefault="007060C0" w:rsidP="00BB09A0">
      <w:pPr>
        <w:ind w:right="-250"/>
        <w:jc w:val="both"/>
        <w:rPr>
          <w:sz w:val="20"/>
          <w:szCs w:val="20"/>
        </w:rPr>
      </w:pPr>
    </w:p>
    <w:p w14:paraId="6DC498F0" w14:textId="77777777" w:rsidR="007060C0" w:rsidRDefault="007060C0" w:rsidP="00BB09A0">
      <w:pPr>
        <w:ind w:right="-250"/>
        <w:jc w:val="both"/>
        <w:rPr>
          <w:sz w:val="20"/>
          <w:szCs w:val="20"/>
        </w:rPr>
      </w:pPr>
      <w:r w:rsidRPr="005154C6">
        <w:rPr>
          <w:sz w:val="20"/>
          <w:szCs w:val="20"/>
        </w:rPr>
        <w:t xml:space="preserve">• The Student Dropout Prediction System promotes evidence-based decision-making in education policy. </w:t>
      </w:r>
    </w:p>
    <w:p w14:paraId="2A2C0F3F" w14:textId="77777777" w:rsidR="007060C0" w:rsidRDefault="007060C0" w:rsidP="00BB09A0">
      <w:pPr>
        <w:ind w:right="-250"/>
        <w:jc w:val="both"/>
        <w:rPr>
          <w:sz w:val="20"/>
          <w:szCs w:val="20"/>
        </w:rPr>
      </w:pPr>
      <w:r w:rsidRPr="005154C6">
        <w:rPr>
          <w:sz w:val="20"/>
          <w:szCs w:val="20"/>
        </w:rPr>
        <w:t>• By identifying at-risk students and providing targeted support, the system can contribute to improved student retention, academic success, and reduced dropout rates across India.</w:t>
      </w:r>
    </w:p>
    <w:p w14:paraId="7751B8A1" w14:textId="77777777" w:rsidR="007060C0" w:rsidRDefault="007060C0" w:rsidP="00BB09A0">
      <w:pPr>
        <w:ind w:right="-250"/>
        <w:jc w:val="both"/>
        <w:rPr>
          <w:sz w:val="20"/>
          <w:szCs w:val="20"/>
        </w:rPr>
      </w:pPr>
      <w:r w:rsidRPr="005154C6">
        <w:rPr>
          <w:sz w:val="20"/>
          <w:szCs w:val="20"/>
        </w:rPr>
        <w:t xml:space="preserve"> • This, in turn, leads to a more equitable and inclusive education system for all.</w:t>
      </w:r>
    </w:p>
    <w:p w14:paraId="4FE3BC7D" w14:textId="37A24E0C" w:rsidR="007060C0" w:rsidRDefault="007060C0" w:rsidP="00B1726F">
      <w:pPr>
        <w:ind w:left="-270" w:right="290"/>
        <w:jc w:val="both"/>
        <w:rPr>
          <w:sz w:val="20"/>
          <w:szCs w:val="20"/>
        </w:rPr>
      </w:pPr>
      <w:r>
        <w:rPr>
          <w:noProof/>
        </w:rPr>
        <w:lastRenderedPageBreak/>
        <w:drawing>
          <wp:inline distT="0" distB="0" distL="0" distR="0" wp14:anchorId="42E91DBE" wp14:editId="6724FFD7">
            <wp:extent cx="3327400" cy="3566160"/>
            <wp:effectExtent l="0" t="0" r="6350" b="0"/>
            <wp:docPr id="114793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00" cy="3566160"/>
                    </a:xfrm>
                    <a:prstGeom prst="rect">
                      <a:avLst/>
                    </a:prstGeom>
                    <a:noFill/>
                    <a:ln>
                      <a:noFill/>
                    </a:ln>
                  </pic:spPr>
                </pic:pic>
              </a:graphicData>
            </a:graphic>
          </wp:inline>
        </w:drawing>
      </w:r>
    </w:p>
    <w:p w14:paraId="25C26EE3" w14:textId="4B9BABB9" w:rsidR="002E4FAF" w:rsidRDefault="002E4FAF" w:rsidP="00BB09A0">
      <w:pPr>
        <w:spacing w:before="168"/>
        <w:ind w:left="790" w:right="-250"/>
        <w:jc w:val="center"/>
        <w:rPr>
          <w:i/>
          <w:sz w:val="14"/>
        </w:rPr>
      </w:pPr>
      <w:r>
        <w:rPr>
          <w:w w:val="120"/>
          <w:sz w:val="14"/>
        </w:rPr>
        <w:t>Fig.</w:t>
      </w:r>
      <w:r>
        <w:rPr>
          <w:spacing w:val="1"/>
          <w:w w:val="120"/>
          <w:sz w:val="14"/>
        </w:rPr>
        <w:t xml:space="preserve"> </w:t>
      </w:r>
      <w:r>
        <w:rPr>
          <w:w w:val="120"/>
          <w:sz w:val="14"/>
        </w:rPr>
        <w:t>3.</w:t>
      </w:r>
      <w:r>
        <w:rPr>
          <w:spacing w:val="4"/>
          <w:w w:val="120"/>
          <w:sz w:val="14"/>
        </w:rPr>
        <w:t xml:space="preserve"> </w:t>
      </w:r>
      <w:r>
        <w:rPr>
          <w:i/>
          <w:w w:val="120"/>
          <w:sz w:val="14"/>
        </w:rPr>
        <w:t>Flow</w:t>
      </w:r>
      <w:r>
        <w:rPr>
          <w:i/>
          <w:spacing w:val="2"/>
          <w:w w:val="120"/>
          <w:sz w:val="14"/>
        </w:rPr>
        <w:t xml:space="preserve"> </w:t>
      </w:r>
      <w:r>
        <w:rPr>
          <w:i/>
          <w:w w:val="120"/>
          <w:sz w:val="14"/>
        </w:rPr>
        <w:t>of</w:t>
      </w:r>
      <w:r>
        <w:rPr>
          <w:i/>
          <w:spacing w:val="1"/>
          <w:w w:val="120"/>
          <w:sz w:val="14"/>
        </w:rPr>
        <w:t xml:space="preserve"> </w:t>
      </w:r>
      <w:r>
        <w:rPr>
          <w:i/>
          <w:w w:val="120"/>
          <w:sz w:val="14"/>
        </w:rPr>
        <w:t>implementation</w:t>
      </w:r>
    </w:p>
    <w:p w14:paraId="3DE03A7A" w14:textId="77777777" w:rsidR="007060C0" w:rsidRDefault="007060C0" w:rsidP="00BB09A0">
      <w:pPr>
        <w:ind w:right="-250"/>
        <w:jc w:val="center"/>
        <w:rPr>
          <w:sz w:val="20"/>
          <w:szCs w:val="20"/>
        </w:rPr>
      </w:pPr>
    </w:p>
    <w:p w14:paraId="4BDA4160" w14:textId="77777777" w:rsidR="007060C0" w:rsidRDefault="007060C0" w:rsidP="00BB09A0">
      <w:pPr>
        <w:ind w:right="-250"/>
        <w:jc w:val="both"/>
        <w:rPr>
          <w:sz w:val="20"/>
          <w:szCs w:val="20"/>
        </w:rPr>
      </w:pPr>
    </w:p>
    <w:p w14:paraId="6B46DB04" w14:textId="7D21E10E" w:rsidR="002D5882" w:rsidRPr="007060C0" w:rsidRDefault="007060C0" w:rsidP="00B5285D">
      <w:pPr>
        <w:ind w:left="-270" w:right="290"/>
        <w:jc w:val="both"/>
        <w:rPr>
          <w:sz w:val="20"/>
          <w:szCs w:val="20"/>
        </w:rPr>
      </w:pPr>
      <w:r w:rsidRPr="005154C6">
        <w:rPr>
          <w:sz w:val="20"/>
          <w:szCs w:val="20"/>
        </w:rPr>
        <w:t>This workflow demonstrates the comprehensive approach of the Student Dropout Prediction System, from data collection and analysis to prediction, visualization, and intervention implementation. By leveraging technology and data science, the system aims to make a significant and sustainable impact on the educational landscape of India.</w:t>
      </w:r>
    </w:p>
    <w:p w14:paraId="38BF7366" w14:textId="7655AE1D" w:rsidR="002D5882" w:rsidRPr="002D5882" w:rsidRDefault="00B5285D" w:rsidP="00B5285D">
      <w:pPr>
        <w:tabs>
          <w:tab w:val="left" w:pos="1350"/>
        </w:tabs>
        <w:spacing w:before="142"/>
        <w:ind w:left="-270" w:right="-250"/>
        <w:rPr>
          <w:w w:val="105"/>
          <w:sz w:val="18"/>
        </w:rPr>
      </w:pPr>
      <w:r>
        <w:rPr>
          <w:w w:val="105"/>
          <w:sz w:val="18"/>
        </w:rPr>
        <w:t xml:space="preserve">                                            </w:t>
      </w:r>
      <w:r w:rsidR="002D5882">
        <w:rPr>
          <w:w w:val="105"/>
          <w:sz w:val="18"/>
        </w:rPr>
        <w:t xml:space="preserve">IV. </w:t>
      </w:r>
      <w:r w:rsidR="002D5882" w:rsidRPr="002D5882">
        <w:rPr>
          <w:w w:val="105"/>
          <w:sz w:val="18"/>
        </w:rPr>
        <w:t>RESULT</w:t>
      </w:r>
      <w:r w:rsidR="002D5882">
        <w:rPr>
          <w:w w:val="105"/>
          <w:sz w:val="18"/>
        </w:rPr>
        <w:t>S</w:t>
      </w:r>
    </w:p>
    <w:p w14:paraId="0FB3EA52" w14:textId="54DD5206" w:rsidR="002D5882" w:rsidRDefault="002D5882" w:rsidP="00B5285D">
      <w:pPr>
        <w:pStyle w:val="BodyText"/>
        <w:spacing w:before="97" w:line="278" w:lineRule="auto"/>
        <w:ind w:left="-270" w:right="290"/>
        <w:rPr>
          <w:w w:val="115"/>
        </w:rPr>
      </w:pPr>
      <w:r>
        <w:rPr>
          <w:w w:val="115"/>
        </w:rPr>
        <w:t xml:space="preserve">This study’s main goal is </w:t>
      </w:r>
      <w:proofErr w:type="gramStart"/>
      <w:r>
        <w:rPr>
          <w:w w:val="115"/>
        </w:rPr>
        <w:t>to thoroughly examine</w:t>
      </w:r>
      <w:proofErr w:type="gramEnd"/>
      <w:r>
        <w:rPr>
          <w:w w:val="115"/>
        </w:rPr>
        <w:t xml:space="preserve"> a </w:t>
      </w:r>
      <w:proofErr w:type="spellStart"/>
      <w:r>
        <w:rPr>
          <w:w w:val="115"/>
        </w:rPr>
        <w:t>predic</w:t>
      </w:r>
      <w:proofErr w:type="spellEnd"/>
      <w:r>
        <w:rPr>
          <w:w w:val="115"/>
        </w:rPr>
        <w:t>-</w:t>
      </w:r>
      <w:r>
        <w:rPr>
          <w:spacing w:val="-49"/>
          <w:w w:val="115"/>
        </w:rPr>
        <w:t xml:space="preserve"> </w:t>
      </w:r>
      <w:proofErr w:type="spellStart"/>
      <w:r>
        <w:rPr>
          <w:w w:val="115"/>
        </w:rPr>
        <w:t>tive</w:t>
      </w:r>
      <w:proofErr w:type="spellEnd"/>
      <w:r>
        <w:rPr>
          <w:w w:val="115"/>
        </w:rPr>
        <w:t xml:space="preserve"> model in order to identify the best method for </w:t>
      </w:r>
      <w:proofErr w:type="spellStart"/>
      <w:r>
        <w:rPr>
          <w:w w:val="115"/>
        </w:rPr>
        <w:t>calculat</w:t>
      </w:r>
      <w:proofErr w:type="spellEnd"/>
      <w:r>
        <w:rPr>
          <w:w w:val="115"/>
        </w:rPr>
        <w:t>-</w:t>
      </w:r>
      <w:r>
        <w:rPr>
          <w:spacing w:val="1"/>
          <w:w w:val="115"/>
        </w:rPr>
        <w:t xml:space="preserve"> </w:t>
      </w:r>
      <w:proofErr w:type="spellStart"/>
      <w:r>
        <w:rPr>
          <w:w w:val="115"/>
        </w:rPr>
        <w:t>ing</w:t>
      </w:r>
      <w:proofErr w:type="spellEnd"/>
      <w:r>
        <w:rPr>
          <w:w w:val="115"/>
        </w:rPr>
        <w:t xml:space="preserve"> calorie expenditure during exercise</w:t>
      </w:r>
    </w:p>
    <w:p w14:paraId="2FDF0B4B" w14:textId="342F5C00" w:rsidR="0061642C" w:rsidRDefault="0061642C" w:rsidP="00BB09A0">
      <w:pPr>
        <w:pStyle w:val="BodyText"/>
        <w:spacing w:before="97" w:line="278" w:lineRule="auto"/>
        <w:ind w:left="-270" w:right="290" w:firstLine="199"/>
        <w:rPr>
          <w:w w:val="115"/>
        </w:rPr>
      </w:pPr>
    </w:p>
    <w:p w14:paraId="17E93D86" w14:textId="6CFDC4BD" w:rsidR="00B5285D" w:rsidRDefault="00B5285D" w:rsidP="00BB09A0">
      <w:pPr>
        <w:pStyle w:val="BodyText"/>
        <w:spacing w:before="97" w:line="278" w:lineRule="auto"/>
        <w:ind w:left="-270" w:right="290" w:firstLine="199"/>
        <w:rPr>
          <w:w w:val="115"/>
        </w:rPr>
      </w:pPr>
    </w:p>
    <w:p w14:paraId="5E717088" w14:textId="0BFC8685" w:rsidR="00B5285D" w:rsidRDefault="00B5285D" w:rsidP="00BB09A0">
      <w:pPr>
        <w:pStyle w:val="BodyText"/>
        <w:spacing w:before="97" w:line="278" w:lineRule="auto"/>
        <w:ind w:left="-270" w:right="290" w:firstLine="199"/>
        <w:rPr>
          <w:w w:val="115"/>
        </w:rPr>
      </w:pPr>
    </w:p>
    <w:p w14:paraId="71C151D0" w14:textId="0D1A10A2" w:rsidR="00B5285D" w:rsidRDefault="00B5285D" w:rsidP="00BB09A0">
      <w:pPr>
        <w:pStyle w:val="BodyText"/>
        <w:spacing w:before="97" w:line="278" w:lineRule="auto"/>
        <w:ind w:left="-270" w:right="290" w:firstLine="199"/>
        <w:rPr>
          <w:w w:val="115"/>
        </w:rPr>
      </w:pPr>
    </w:p>
    <w:p w14:paraId="3BFCDF02" w14:textId="5958330F" w:rsidR="00B5285D" w:rsidRDefault="00B5285D" w:rsidP="00BB09A0">
      <w:pPr>
        <w:pStyle w:val="BodyText"/>
        <w:spacing w:before="97" w:line="278" w:lineRule="auto"/>
        <w:ind w:left="-270" w:right="290" w:firstLine="199"/>
        <w:rPr>
          <w:w w:val="115"/>
        </w:rPr>
      </w:pPr>
    </w:p>
    <w:p w14:paraId="27ABA5E9" w14:textId="26754713" w:rsidR="00B5285D" w:rsidRDefault="00B5285D" w:rsidP="00BB09A0">
      <w:pPr>
        <w:pStyle w:val="BodyText"/>
        <w:spacing w:before="97" w:line="278" w:lineRule="auto"/>
        <w:ind w:left="-270" w:right="290" w:firstLine="199"/>
        <w:rPr>
          <w:w w:val="115"/>
        </w:rPr>
      </w:pPr>
    </w:p>
    <w:p w14:paraId="7C3463BD" w14:textId="0D1EE1FE" w:rsidR="00B5285D" w:rsidRDefault="00B5285D" w:rsidP="00BB09A0">
      <w:pPr>
        <w:pStyle w:val="BodyText"/>
        <w:spacing w:before="97" w:line="278" w:lineRule="auto"/>
        <w:ind w:left="-270" w:right="290" w:firstLine="199"/>
        <w:rPr>
          <w:w w:val="115"/>
        </w:rPr>
      </w:pPr>
    </w:p>
    <w:p w14:paraId="74D08BB0" w14:textId="3F92BE3D" w:rsidR="00B5285D" w:rsidRDefault="00B5285D" w:rsidP="00BB09A0">
      <w:pPr>
        <w:pStyle w:val="BodyText"/>
        <w:spacing w:before="97" w:line="278" w:lineRule="auto"/>
        <w:ind w:left="-270" w:right="290" w:firstLine="199"/>
        <w:rPr>
          <w:w w:val="115"/>
        </w:rPr>
      </w:pPr>
    </w:p>
    <w:p w14:paraId="7B990FAF" w14:textId="5CCE1372" w:rsidR="00B5285D" w:rsidRDefault="00B5285D" w:rsidP="00BB09A0">
      <w:pPr>
        <w:pStyle w:val="BodyText"/>
        <w:spacing w:before="97" w:line="278" w:lineRule="auto"/>
        <w:ind w:left="-270" w:right="290" w:firstLine="199"/>
        <w:rPr>
          <w:w w:val="115"/>
        </w:rPr>
      </w:pPr>
    </w:p>
    <w:p w14:paraId="68CCE084" w14:textId="533F34BF" w:rsidR="00B5285D" w:rsidRDefault="00B5285D" w:rsidP="00BB09A0">
      <w:pPr>
        <w:pStyle w:val="BodyText"/>
        <w:spacing w:before="97" w:line="278" w:lineRule="auto"/>
        <w:ind w:left="-270" w:right="290" w:firstLine="199"/>
        <w:rPr>
          <w:w w:val="115"/>
        </w:rPr>
      </w:pPr>
    </w:p>
    <w:p w14:paraId="3AD75AFB" w14:textId="04B6BB0F" w:rsidR="00B5285D" w:rsidRDefault="00B5285D" w:rsidP="00BB09A0">
      <w:pPr>
        <w:pStyle w:val="BodyText"/>
        <w:spacing w:before="97" w:line="278" w:lineRule="auto"/>
        <w:ind w:left="-270" w:right="290" w:firstLine="199"/>
        <w:rPr>
          <w:w w:val="115"/>
        </w:rPr>
      </w:pPr>
    </w:p>
    <w:p w14:paraId="7132E093" w14:textId="225FC885" w:rsidR="00B5285D" w:rsidRDefault="00B5285D" w:rsidP="00BB09A0">
      <w:pPr>
        <w:pStyle w:val="BodyText"/>
        <w:spacing w:before="97" w:line="278" w:lineRule="auto"/>
        <w:ind w:left="-270" w:right="290" w:firstLine="199"/>
        <w:rPr>
          <w:w w:val="115"/>
        </w:rPr>
      </w:pPr>
    </w:p>
    <w:p w14:paraId="4F9C49B7" w14:textId="6C5C1852" w:rsidR="00B5285D" w:rsidRDefault="00B5285D" w:rsidP="00BB09A0">
      <w:pPr>
        <w:pStyle w:val="BodyText"/>
        <w:spacing w:before="97" w:line="278" w:lineRule="auto"/>
        <w:ind w:left="-270" w:right="290" w:firstLine="199"/>
        <w:rPr>
          <w:w w:val="115"/>
        </w:rPr>
      </w:pPr>
    </w:p>
    <w:p w14:paraId="241DE719" w14:textId="65CB6DCF" w:rsidR="00B5285D" w:rsidRDefault="00B5285D" w:rsidP="00BB09A0">
      <w:pPr>
        <w:pStyle w:val="BodyText"/>
        <w:spacing w:before="97" w:line="278" w:lineRule="auto"/>
        <w:ind w:left="-270" w:right="290" w:firstLine="199"/>
        <w:rPr>
          <w:w w:val="115"/>
        </w:rPr>
      </w:pPr>
    </w:p>
    <w:p w14:paraId="48409243" w14:textId="77777777" w:rsidR="00B5285D" w:rsidRDefault="00B5285D" w:rsidP="00BB09A0">
      <w:pPr>
        <w:pStyle w:val="BodyText"/>
        <w:spacing w:before="97" w:line="278" w:lineRule="auto"/>
        <w:ind w:left="-270" w:right="290" w:firstLine="199"/>
        <w:rPr>
          <w:w w:val="115"/>
        </w:rPr>
      </w:pPr>
    </w:p>
    <w:p w14:paraId="018697AC" w14:textId="23755543" w:rsidR="002D5882" w:rsidRPr="002D5882" w:rsidRDefault="002D5882" w:rsidP="00BB09A0">
      <w:pPr>
        <w:tabs>
          <w:tab w:val="left" w:pos="2043"/>
        </w:tabs>
        <w:ind w:left="-270" w:right="290"/>
        <w:jc w:val="center"/>
        <w:rPr>
          <w:w w:val="105"/>
          <w:sz w:val="18"/>
        </w:rPr>
      </w:pPr>
      <w:r>
        <w:rPr>
          <w:w w:val="105"/>
          <w:sz w:val="18"/>
        </w:rPr>
        <w:t xml:space="preserve">V. </w:t>
      </w:r>
      <w:r w:rsidR="0061642C" w:rsidRPr="002D5882">
        <w:rPr>
          <w:w w:val="105"/>
          <w:sz w:val="18"/>
        </w:rPr>
        <w:t>CONCLUSIONS</w:t>
      </w:r>
    </w:p>
    <w:p w14:paraId="21D003B9" w14:textId="77777777" w:rsidR="00691FBB" w:rsidRDefault="00691FBB" w:rsidP="00BB09A0">
      <w:pPr>
        <w:pStyle w:val="ListParagraph"/>
        <w:tabs>
          <w:tab w:val="left" w:pos="2043"/>
        </w:tabs>
        <w:spacing w:before="0"/>
        <w:ind w:left="-270" w:right="290" w:firstLine="0"/>
        <w:jc w:val="right"/>
        <w:rPr>
          <w:sz w:val="18"/>
        </w:rPr>
      </w:pPr>
    </w:p>
    <w:p w14:paraId="3EB3A82C" w14:textId="55E5FE00" w:rsidR="00691FBB" w:rsidRPr="00691FBB" w:rsidRDefault="00B453CB" w:rsidP="00B5285D">
      <w:pPr>
        <w:ind w:right="-250"/>
        <w:jc w:val="both"/>
        <w:rPr>
          <w:sz w:val="20"/>
          <w:szCs w:val="20"/>
        </w:rPr>
      </w:pPr>
      <w:r w:rsidRPr="00691FBB">
        <w:rPr>
          <w:color w:val="111111"/>
          <w:sz w:val="20"/>
          <w:szCs w:val="20"/>
        </w:rPr>
        <w:t>Student dropout is a serious issue that affects the quality and equity of school education. In this paper, we analyzed the factors that influence student dropout and predicted the likelihood of dropout using a machine learning model.</w:t>
      </w:r>
      <w:r w:rsidR="00691FBB" w:rsidRPr="00691FBB">
        <w:rPr>
          <w:sz w:val="20"/>
          <w:szCs w:val="20"/>
        </w:rPr>
        <w:t xml:space="preserve"> Our findings suggest that educators can significantly reduce dropout rates by implementing targeted strategies. Early identification of at-risk students through our predictive models allows for early intervention and personalized support. Addressing academic struggles through individualized instruction, providing access to resources and support services, and fostering a positive and inclusive school environment can all contribute to retaining students on their educational journey.</w:t>
      </w:r>
    </w:p>
    <w:p w14:paraId="797C6BDB" w14:textId="6E863286" w:rsidR="002D5882" w:rsidRDefault="00691FBB" w:rsidP="00B5285D">
      <w:pPr>
        <w:ind w:right="-250"/>
        <w:jc w:val="both"/>
        <w:rPr>
          <w:color w:val="111111"/>
          <w:sz w:val="20"/>
          <w:szCs w:val="20"/>
        </w:rPr>
      </w:pPr>
      <w:r w:rsidRPr="00691FBB">
        <w:rPr>
          <w:sz w:val="20"/>
          <w:szCs w:val="20"/>
        </w:rPr>
        <w:t xml:space="preserve">Furthermore, engaging parents and families, promoting social-emotional learning, and fostering a sense of belonging are crucial elements in creating a supportive school environment that encourages students to persist. Additionally, collaboration between educators, policymakers, and community stakeholders is vital to develop and implement effective dropout prevention </w:t>
      </w:r>
      <w:proofErr w:type="spellStart"/>
      <w:r w:rsidRPr="00691FBB">
        <w:rPr>
          <w:sz w:val="20"/>
          <w:szCs w:val="20"/>
        </w:rPr>
        <w:t>programs.</w:t>
      </w:r>
      <w:r w:rsidR="00B453CB" w:rsidRPr="00691FBB">
        <w:rPr>
          <w:color w:val="111111"/>
          <w:sz w:val="20"/>
          <w:szCs w:val="20"/>
        </w:rPr>
        <w:t>We</w:t>
      </w:r>
      <w:proofErr w:type="spellEnd"/>
      <w:r w:rsidR="00B453CB" w:rsidRPr="00691FBB">
        <w:rPr>
          <w:color w:val="111111"/>
          <w:sz w:val="20"/>
          <w:szCs w:val="20"/>
        </w:rPr>
        <w:t xml:space="preserve"> also suggest that further research is needed to evaluate the effectiveness of these interventions and to explore other potential causes and solutions for student dropout. By addressing this problem, we can improve the educational outcomes and opportunities for millions of students around the world.</w:t>
      </w:r>
    </w:p>
    <w:p w14:paraId="04085D2B" w14:textId="77777777" w:rsidR="002D5882" w:rsidRPr="002D5882" w:rsidRDefault="002D5882" w:rsidP="00BB09A0">
      <w:pPr>
        <w:ind w:left="-270" w:right="290"/>
        <w:jc w:val="both"/>
        <w:rPr>
          <w:color w:val="111111"/>
          <w:sz w:val="20"/>
          <w:szCs w:val="20"/>
        </w:rPr>
      </w:pPr>
    </w:p>
    <w:p w14:paraId="3542ABD1" w14:textId="62B1EA1D" w:rsidR="002D5882" w:rsidRPr="002D5882" w:rsidRDefault="002D5882" w:rsidP="00BB09A0">
      <w:pPr>
        <w:tabs>
          <w:tab w:val="left" w:pos="2072"/>
        </w:tabs>
        <w:ind w:left="-270" w:right="290"/>
        <w:jc w:val="center"/>
        <w:rPr>
          <w:sz w:val="20"/>
          <w:szCs w:val="20"/>
        </w:rPr>
      </w:pPr>
      <w:bookmarkStart w:id="2" w:name="_Hlk153313529"/>
      <w:r>
        <w:rPr>
          <w:w w:val="105"/>
          <w:sz w:val="20"/>
          <w:szCs w:val="20"/>
        </w:rPr>
        <w:t xml:space="preserve">VI. </w:t>
      </w:r>
      <w:r w:rsidRPr="002D5882">
        <w:rPr>
          <w:w w:val="105"/>
          <w:sz w:val="20"/>
          <w:szCs w:val="20"/>
        </w:rPr>
        <w:t>FUTURE</w:t>
      </w:r>
      <w:r w:rsidRPr="002D5882">
        <w:rPr>
          <w:spacing w:val="41"/>
          <w:w w:val="105"/>
          <w:sz w:val="20"/>
          <w:szCs w:val="20"/>
        </w:rPr>
        <w:t xml:space="preserve"> </w:t>
      </w:r>
      <w:r w:rsidRPr="002D5882">
        <w:rPr>
          <w:w w:val="105"/>
          <w:sz w:val="20"/>
          <w:szCs w:val="20"/>
        </w:rPr>
        <w:t>SCOPE</w:t>
      </w:r>
    </w:p>
    <w:p w14:paraId="44F68B10" w14:textId="77777777" w:rsidR="002D5882" w:rsidRPr="002D5882" w:rsidRDefault="002D5882" w:rsidP="00BB09A0">
      <w:pPr>
        <w:pStyle w:val="ListParagraph"/>
        <w:tabs>
          <w:tab w:val="left" w:pos="2072"/>
        </w:tabs>
        <w:spacing w:before="0"/>
        <w:ind w:left="-270" w:right="290" w:firstLine="0"/>
        <w:jc w:val="right"/>
        <w:rPr>
          <w:sz w:val="20"/>
          <w:szCs w:val="20"/>
        </w:rPr>
      </w:pPr>
    </w:p>
    <w:bookmarkEnd w:id="2"/>
    <w:p w14:paraId="65ED7396" w14:textId="1829404C" w:rsidR="002D5882" w:rsidRPr="002D5882" w:rsidRDefault="002D5882" w:rsidP="00B1726F">
      <w:pPr>
        <w:ind w:right="-250"/>
        <w:jc w:val="both"/>
        <w:rPr>
          <w:sz w:val="20"/>
          <w:szCs w:val="20"/>
          <w:lang w:eastAsia="en-IN"/>
        </w:rPr>
      </w:pPr>
      <w:r w:rsidRPr="00745C83">
        <w:rPr>
          <w:sz w:val="20"/>
          <w:szCs w:val="20"/>
          <w:lang w:eastAsia="en-IN"/>
        </w:rPr>
        <w:t>The study's focus on school education in India offers a valuable foundation. Future research can enhance its impact by broadening the scope to include diverse global contexts and different educational levels such as higher education or vocational training. This extension will facilitate the generalization of findings and foster cross-cultural comparisons.</w:t>
      </w:r>
    </w:p>
    <w:p w14:paraId="05AE3338" w14:textId="77777777" w:rsidR="002D5882" w:rsidRPr="00745C83" w:rsidRDefault="002D5882" w:rsidP="00BB09A0">
      <w:pPr>
        <w:ind w:left="-270" w:right="290"/>
        <w:jc w:val="both"/>
        <w:rPr>
          <w:sz w:val="20"/>
          <w:szCs w:val="20"/>
          <w:lang w:eastAsia="en-IN"/>
        </w:rPr>
      </w:pPr>
    </w:p>
    <w:p w14:paraId="61782D16" w14:textId="77777777" w:rsidR="002D5882" w:rsidRPr="00745C83" w:rsidRDefault="002D5882" w:rsidP="00B1726F">
      <w:pPr>
        <w:ind w:right="290"/>
        <w:jc w:val="both"/>
        <w:rPr>
          <w:sz w:val="20"/>
          <w:szCs w:val="20"/>
          <w:lang w:eastAsia="en-IN"/>
        </w:rPr>
      </w:pPr>
      <w:r w:rsidRPr="002D5882">
        <w:rPr>
          <w:sz w:val="20"/>
          <w:szCs w:val="20"/>
          <w:lang w:eastAsia="en-IN"/>
        </w:rPr>
        <w:t>1</w:t>
      </w:r>
      <w:r w:rsidRPr="00745C83">
        <w:rPr>
          <w:sz w:val="20"/>
          <w:szCs w:val="20"/>
          <w:lang w:eastAsia="en-IN"/>
        </w:rPr>
        <w:t xml:space="preserve">. </w:t>
      </w:r>
      <w:r w:rsidRPr="00745C83">
        <w:rPr>
          <w:rFonts w:eastAsia="Cambria"/>
          <w:i/>
          <w:iCs/>
          <w:sz w:val="20"/>
          <w:szCs w:val="20"/>
          <w:lang w:eastAsia="en-IN"/>
        </w:rPr>
        <w:t>Adopting a Longitudinal Research Approach:</w:t>
      </w:r>
    </w:p>
    <w:p w14:paraId="5A669EE6" w14:textId="77777777" w:rsidR="002D5882" w:rsidRPr="002D5882" w:rsidRDefault="002D5882" w:rsidP="00A760B8">
      <w:pPr>
        <w:ind w:right="-250"/>
        <w:jc w:val="both"/>
        <w:rPr>
          <w:sz w:val="20"/>
          <w:szCs w:val="20"/>
          <w:lang w:eastAsia="en-IN"/>
        </w:rPr>
      </w:pPr>
      <w:r w:rsidRPr="00745C83">
        <w:rPr>
          <w:sz w:val="20"/>
          <w:szCs w:val="20"/>
          <w:lang w:eastAsia="en-IN"/>
        </w:rPr>
        <w:t>The study's cross-sectional design has its limitations, particularly in establishing causal relationships. Future research endeavors can enhance the study's depth by adopting a longitudinal approach. Tracking students over time will enable a nuanced understanding of dynamic factors contributing</w:t>
      </w:r>
      <w:r w:rsidRPr="00745C83">
        <w:rPr>
          <w:sz w:val="18"/>
          <w:szCs w:val="18"/>
          <w:lang w:eastAsia="en-IN"/>
        </w:rPr>
        <w:t xml:space="preserve"> </w:t>
      </w:r>
      <w:r w:rsidRPr="00745C83">
        <w:rPr>
          <w:sz w:val="20"/>
          <w:szCs w:val="20"/>
          <w:lang w:eastAsia="en-IN"/>
        </w:rPr>
        <w:t>to student dropout and uncover temporal patterns and predictors.</w:t>
      </w:r>
    </w:p>
    <w:p w14:paraId="4EF1751C" w14:textId="77777777" w:rsidR="002D5882" w:rsidRPr="00745C83" w:rsidRDefault="002D5882" w:rsidP="00BB09A0">
      <w:pPr>
        <w:ind w:left="-270" w:right="290"/>
        <w:jc w:val="both"/>
        <w:rPr>
          <w:sz w:val="20"/>
          <w:szCs w:val="20"/>
          <w:lang w:eastAsia="en-IN"/>
        </w:rPr>
      </w:pPr>
    </w:p>
    <w:p w14:paraId="2DEACBB3" w14:textId="77777777" w:rsidR="002D5882" w:rsidRPr="00745C83" w:rsidRDefault="002D5882" w:rsidP="00B5285D">
      <w:pPr>
        <w:ind w:right="-250"/>
        <w:jc w:val="both"/>
        <w:rPr>
          <w:sz w:val="20"/>
          <w:szCs w:val="20"/>
          <w:lang w:eastAsia="en-IN"/>
        </w:rPr>
      </w:pPr>
      <w:r w:rsidRPr="002D5882">
        <w:rPr>
          <w:sz w:val="20"/>
          <w:szCs w:val="20"/>
          <w:lang w:eastAsia="en-IN"/>
        </w:rPr>
        <w:t>2</w:t>
      </w:r>
      <w:r w:rsidRPr="00745C83">
        <w:rPr>
          <w:sz w:val="20"/>
          <w:szCs w:val="20"/>
          <w:lang w:eastAsia="en-IN"/>
        </w:rPr>
        <w:t xml:space="preserve">. </w:t>
      </w:r>
      <w:r w:rsidRPr="00745C83">
        <w:rPr>
          <w:rFonts w:eastAsia="Cambria"/>
          <w:i/>
          <w:iCs/>
          <w:sz w:val="20"/>
          <w:szCs w:val="20"/>
          <w:lang w:eastAsia="en-IN"/>
        </w:rPr>
        <w:t>Improving Data Collection Strategies:</w:t>
      </w:r>
    </w:p>
    <w:p w14:paraId="23956C51" w14:textId="77777777" w:rsidR="002D5882" w:rsidRPr="002D5882" w:rsidRDefault="002D5882" w:rsidP="00B5285D">
      <w:pPr>
        <w:ind w:right="-250"/>
        <w:jc w:val="both"/>
        <w:rPr>
          <w:sz w:val="20"/>
          <w:szCs w:val="20"/>
          <w:lang w:eastAsia="en-IN"/>
        </w:rPr>
      </w:pPr>
      <w:r w:rsidRPr="00745C83">
        <w:rPr>
          <w:sz w:val="20"/>
          <w:szCs w:val="20"/>
          <w:lang w:eastAsia="en-IN"/>
        </w:rPr>
        <w:t>Relying on secondary data sources, including surveys and academic records, presents inherent limitations. Future research can elevate the study's robustness by employing primary data collection methods. Conducting interviews, organizing focus groups, or leveraging observations will offer a more comprehensive and firsthand insight into the perspectives and experiences of stakeholders involved in student dropout.</w:t>
      </w:r>
    </w:p>
    <w:p w14:paraId="36FF8913" w14:textId="77777777" w:rsidR="002D5882" w:rsidRPr="00745C83" w:rsidRDefault="002D5882" w:rsidP="002D5882">
      <w:pPr>
        <w:jc w:val="both"/>
        <w:rPr>
          <w:sz w:val="20"/>
          <w:szCs w:val="20"/>
          <w:lang w:eastAsia="en-IN"/>
        </w:rPr>
      </w:pPr>
    </w:p>
    <w:p w14:paraId="3669348C" w14:textId="77777777" w:rsidR="002D5882" w:rsidRPr="00745C83" w:rsidRDefault="002D5882" w:rsidP="00B5285D">
      <w:pPr>
        <w:ind w:right="290"/>
        <w:jc w:val="both"/>
        <w:rPr>
          <w:i/>
          <w:iCs/>
          <w:sz w:val="20"/>
          <w:szCs w:val="20"/>
          <w:lang w:eastAsia="en-IN"/>
        </w:rPr>
      </w:pPr>
      <w:r w:rsidRPr="002D5882">
        <w:rPr>
          <w:sz w:val="20"/>
          <w:szCs w:val="20"/>
          <w:lang w:eastAsia="en-IN"/>
        </w:rPr>
        <w:t>3</w:t>
      </w:r>
      <w:r w:rsidRPr="00745C83">
        <w:rPr>
          <w:sz w:val="20"/>
          <w:szCs w:val="20"/>
          <w:lang w:eastAsia="en-IN"/>
        </w:rPr>
        <w:t xml:space="preserve">. </w:t>
      </w:r>
      <w:r w:rsidRPr="00745C83">
        <w:rPr>
          <w:rFonts w:eastAsia="Cambria"/>
          <w:i/>
          <w:iCs/>
          <w:sz w:val="20"/>
          <w:szCs w:val="20"/>
          <w:lang w:eastAsia="en-IN"/>
        </w:rPr>
        <w:t>Diversifying Machine Learning Approaches:</w:t>
      </w:r>
    </w:p>
    <w:p w14:paraId="7D119F85" w14:textId="77777777" w:rsidR="002D5882" w:rsidRDefault="002D5882" w:rsidP="009C4015">
      <w:pPr>
        <w:ind w:right="-250"/>
        <w:jc w:val="both"/>
        <w:rPr>
          <w:sz w:val="20"/>
          <w:szCs w:val="20"/>
          <w:lang w:eastAsia="en-IN"/>
        </w:rPr>
      </w:pPr>
      <w:r w:rsidRPr="00745C83">
        <w:rPr>
          <w:sz w:val="20"/>
          <w:szCs w:val="20"/>
          <w:lang w:eastAsia="en-IN"/>
        </w:rPr>
        <w:t>While the study employed a singular machine learning model, there is room for improvement in terms of accuracy and generalizability. Future research opportunities involve exploring a spectrum of machine learning models, such as neural networks, decision trees, or ensemble methods. A comparative analysis of these models will not only optimize prediction accuracy but also uncover nuanced insights into the distinctive features and patterns associated with student dropout.</w:t>
      </w:r>
    </w:p>
    <w:p w14:paraId="119DF279" w14:textId="77777777" w:rsidR="002D5882" w:rsidRDefault="002D5882" w:rsidP="002D5882">
      <w:pPr>
        <w:jc w:val="both"/>
        <w:rPr>
          <w:sz w:val="20"/>
          <w:szCs w:val="20"/>
          <w:lang w:eastAsia="en-IN"/>
        </w:rPr>
      </w:pPr>
    </w:p>
    <w:p w14:paraId="2B386AA5" w14:textId="24E18C3B" w:rsidR="002D5882" w:rsidRPr="002D5882" w:rsidRDefault="002D5882" w:rsidP="00B5285D">
      <w:pPr>
        <w:tabs>
          <w:tab w:val="left" w:pos="1855"/>
        </w:tabs>
        <w:spacing w:before="97"/>
        <w:ind w:left="-270" w:right="290"/>
        <w:jc w:val="center"/>
        <w:rPr>
          <w:sz w:val="18"/>
        </w:rPr>
      </w:pPr>
      <w:r>
        <w:rPr>
          <w:w w:val="105"/>
          <w:sz w:val="18"/>
        </w:rPr>
        <w:lastRenderedPageBreak/>
        <w:t xml:space="preserve">VII. </w:t>
      </w:r>
      <w:r w:rsidRPr="002D5882">
        <w:rPr>
          <w:w w:val="105"/>
          <w:sz w:val="18"/>
        </w:rPr>
        <w:t>ACKNOWLEDGMENT</w:t>
      </w:r>
    </w:p>
    <w:p w14:paraId="2E601136" w14:textId="516D0B87" w:rsidR="002D5882" w:rsidRDefault="002D5882" w:rsidP="00B5285D">
      <w:pPr>
        <w:pStyle w:val="BodyText"/>
        <w:spacing w:before="89" w:line="278" w:lineRule="auto"/>
        <w:ind w:left="-270" w:right="290"/>
        <w:rPr>
          <w:w w:val="115"/>
        </w:rPr>
      </w:pPr>
      <w:r>
        <w:rPr>
          <w:w w:val="115"/>
        </w:rPr>
        <w:t>We are grateful to all the individuals who supported and</w:t>
      </w:r>
      <w:r>
        <w:rPr>
          <w:spacing w:val="1"/>
          <w:w w:val="115"/>
        </w:rPr>
        <w:t xml:space="preserve"> </w:t>
      </w:r>
      <w:r>
        <w:rPr>
          <w:w w:val="115"/>
        </w:rPr>
        <w:t>led us to bring about the paper’s successful conclusion and</w:t>
      </w:r>
      <w:r>
        <w:rPr>
          <w:spacing w:val="1"/>
          <w:w w:val="115"/>
        </w:rPr>
        <w:t xml:space="preserve"> </w:t>
      </w:r>
      <w:r>
        <w:rPr>
          <w:w w:val="115"/>
        </w:rPr>
        <w:t>excellent result because it required constant guidance and</w:t>
      </w:r>
      <w:r>
        <w:rPr>
          <w:spacing w:val="1"/>
          <w:w w:val="115"/>
        </w:rPr>
        <w:t xml:space="preserve"> </w:t>
      </w:r>
      <w:r>
        <w:rPr>
          <w:w w:val="115"/>
        </w:rPr>
        <w:t>assistance. We would like to express our gratitude to Ms.</w:t>
      </w:r>
      <w:r>
        <w:rPr>
          <w:spacing w:val="1"/>
          <w:w w:val="115"/>
        </w:rPr>
        <w:t xml:space="preserve"> </w:t>
      </w:r>
      <w:r w:rsidR="00082481">
        <w:rPr>
          <w:w w:val="115"/>
        </w:rPr>
        <w:t>Prabhjot Kaur</w:t>
      </w:r>
      <w:r>
        <w:rPr>
          <w:w w:val="115"/>
        </w:rPr>
        <w:t xml:space="preserve"> for her leadership, assistance, and counsel.</w:t>
      </w:r>
      <w:r>
        <w:rPr>
          <w:spacing w:val="1"/>
          <w:w w:val="115"/>
        </w:rPr>
        <w:t xml:space="preserve"> </w:t>
      </w:r>
      <w:r>
        <w:rPr>
          <w:w w:val="115"/>
        </w:rPr>
        <w:t>Her</w:t>
      </w:r>
      <w:r>
        <w:rPr>
          <w:spacing w:val="1"/>
          <w:w w:val="115"/>
        </w:rPr>
        <w:t xml:space="preserve"> </w:t>
      </w:r>
      <w:r>
        <w:rPr>
          <w:w w:val="115"/>
        </w:rPr>
        <w:t>guidance</w:t>
      </w:r>
      <w:r>
        <w:rPr>
          <w:spacing w:val="1"/>
          <w:w w:val="115"/>
        </w:rPr>
        <w:t xml:space="preserve"> </w:t>
      </w:r>
      <w:r>
        <w:rPr>
          <w:w w:val="115"/>
        </w:rPr>
        <w:t>enabled</w:t>
      </w:r>
      <w:r>
        <w:rPr>
          <w:spacing w:val="1"/>
          <w:w w:val="115"/>
        </w:rPr>
        <w:t xml:space="preserve"> </w:t>
      </w:r>
      <w:r>
        <w:rPr>
          <w:w w:val="115"/>
        </w:rPr>
        <w:t>us</w:t>
      </w:r>
      <w:r>
        <w:rPr>
          <w:spacing w:val="1"/>
          <w:w w:val="115"/>
        </w:rPr>
        <w:t xml:space="preserve"> </w:t>
      </w:r>
      <w:r>
        <w:rPr>
          <w:w w:val="115"/>
        </w:rPr>
        <w:t>to</w:t>
      </w:r>
      <w:r>
        <w:rPr>
          <w:spacing w:val="1"/>
          <w:w w:val="115"/>
        </w:rPr>
        <w:t xml:space="preserve"> </w:t>
      </w:r>
      <w:r>
        <w:rPr>
          <w:w w:val="115"/>
        </w:rPr>
        <w:t>better</w:t>
      </w:r>
      <w:r>
        <w:rPr>
          <w:spacing w:val="1"/>
          <w:w w:val="115"/>
        </w:rPr>
        <w:t xml:space="preserve"> </w:t>
      </w:r>
      <w:r>
        <w:rPr>
          <w:w w:val="115"/>
        </w:rPr>
        <w:t>direct</w:t>
      </w:r>
      <w:r>
        <w:rPr>
          <w:spacing w:val="1"/>
          <w:w w:val="115"/>
        </w:rPr>
        <w:t xml:space="preserve"> </w:t>
      </w:r>
      <w:r>
        <w:rPr>
          <w:w w:val="115"/>
        </w:rPr>
        <w:t>our</w:t>
      </w:r>
      <w:r>
        <w:rPr>
          <w:spacing w:val="1"/>
          <w:w w:val="115"/>
        </w:rPr>
        <w:t xml:space="preserve"> </w:t>
      </w:r>
      <w:r>
        <w:rPr>
          <w:w w:val="115"/>
        </w:rPr>
        <w:t>research</w:t>
      </w:r>
      <w:r>
        <w:rPr>
          <w:spacing w:val="1"/>
          <w:w w:val="115"/>
        </w:rPr>
        <w:t xml:space="preserve"> </w:t>
      </w:r>
      <w:r>
        <w:rPr>
          <w:w w:val="115"/>
        </w:rPr>
        <w:t>analysis, and methodology for a successful outcome. We</w:t>
      </w:r>
      <w:r>
        <w:rPr>
          <w:spacing w:val="1"/>
          <w:w w:val="115"/>
        </w:rPr>
        <w:t xml:space="preserve"> </w:t>
      </w:r>
      <w:r>
        <w:rPr>
          <w:w w:val="115"/>
        </w:rPr>
        <w:t>also</w:t>
      </w:r>
      <w:r>
        <w:rPr>
          <w:spacing w:val="1"/>
          <w:w w:val="115"/>
        </w:rPr>
        <w:t xml:space="preserve"> </w:t>
      </w:r>
      <w:r>
        <w:rPr>
          <w:w w:val="115"/>
        </w:rPr>
        <w:t>want</w:t>
      </w:r>
      <w:r>
        <w:rPr>
          <w:spacing w:val="1"/>
          <w:w w:val="115"/>
        </w:rPr>
        <w:t xml:space="preserve"> </w:t>
      </w:r>
      <w:r>
        <w:rPr>
          <w:w w:val="115"/>
        </w:rPr>
        <w:t>to</w:t>
      </w:r>
      <w:r>
        <w:rPr>
          <w:spacing w:val="1"/>
          <w:w w:val="115"/>
        </w:rPr>
        <w:t xml:space="preserve"> </w:t>
      </w:r>
      <w:r>
        <w:rPr>
          <w:w w:val="115"/>
        </w:rPr>
        <w:t>express</w:t>
      </w:r>
      <w:r>
        <w:rPr>
          <w:spacing w:val="1"/>
          <w:w w:val="115"/>
        </w:rPr>
        <w:t xml:space="preserve"> </w:t>
      </w:r>
      <w:r>
        <w:rPr>
          <w:w w:val="115"/>
        </w:rPr>
        <w:t>our</w:t>
      </w:r>
      <w:r>
        <w:rPr>
          <w:spacing w:val="1"/>
          <w:w w:val="115"/>
        </w:rPr>
        <w:t xml:space="preserve"> </w:t>
      </w:r>
      <w:r>
        <w:rPr>
          <w:w w:val="115"/>
        </w:rPr>
        <w:t>gratitude</w:t>
      </w:r>
      <w:r>
        <w:rPr>
          <w:spacing w:val="1"/>
          <w:w w:val="115"/>
        </w:rPr>
        <w:t xml:space="preserve"> </w:t>
      </w:r>
      <w:r>
        <w:rPr>
          <w:w w:val="115"/>
        </w:rPr>
        <w:t>to</w:t>
      </w:r>
      <w:r>
        <w:rPr>
          <w:spacing w:val="1"/>
          <w:w w:val="115"/>
        </w:rPr>
        <w:t xml:space="preserve"> </w:t>
      </w:r>
      <w:r>
        <w:rPr>
          <w:w w:val="115"/>
        </w:rPr>
        <w:t>the</w:t>
      </w:r>
      <w:r>
        <w:rPr>
          <w:spacing w:val="1"/>
          <w:w w:val="115"/>
        </w:rPr>
        <w:t xml:space="preserve"> </w:t>
      </w:r>
      <w:r>
        <w:rPr>
          <w:w w:val="115"/>
        </w:rPr>
        <w:t>entire</w:t>
      </w:r>
      <w:r>
        <w:rPr>
          <w:spacing w:val="1"/>
          <w:w w:val="115"/>
        </w:rPr>
        <w:t xml:space="preserve"> </w:t>
      </w:r>
      <w:r>
        <w:rPr>
          <w:w w:val="115"/>
        </w:rPr>
        <w:t>staff</w:t>
      </w:r>
      <w:r>
        <w:rPr>
          <w:spacing w:val="1"/>
          <w:w w:val="115"/>
        </w:rPr>
        <w:t xml:space="preserve"> </w:t>
      </w:r>
      <w:r>
        <w:rPr>
          <w:w w:val="115"/>
        </w:rPr>
        <w:t>at</w:t>
      </w:r>
      <w:r>
        <w:rPr>
          <w:spacing w:val="1"/>
          <w:w w:val="115"/>
        </w:rPr>
        <w:t xml:space="preserve"> </w:t>
      </w:r>
      <w:r>
        <w:rPr>
          <w:w w:val="115"/>
        </w:rPr>
        <w:t>ABESEC’s Department of Computer Science and Engineering for giving us the resources and information we required</w:t>
      </w:r>
      <w:r w:rsidR="00082481">
        <w:rPr>
          <w:w w:val="115"/>
        </w:rPr>
        <w:t xml:space="preserve"> and</w:t>
      </w:r>
      <w:r>
        <w:rPr>
          <w:w w:val="115"/>
        </w:rPr>
        <w:t xml:space="preserve"> support in providing us with the analysis details we</w:t>
      </w:r>
      <w:r>
        <w:rPr>
          <w:spacing w:val="1"/>
          <w:w w:val="115"/>
        </w:rPr>
        <w:t xml:space="preserve"> </w:t>
      </w:r>
      <w:r>
        <w:rPr>
          <w:w w:val="115"/>
        </w:rPr>
        <w:t xml:space="preserve">needed and for </w:t>
      </w:r>
      <w:proofErr w:type="gramStart"/>
      <w:r>
        <w:rPr>
          <w:w w:val="115"/>
        </w:rPr>
        <w:t>helping</w:t>
      </w:r>
      <w:proofErr w:type="gramEnd"/>
      <w:r>
        <w:rPr>
          <w:w w:val="115"/>
        </w:rPr>
        <w:t xml:space="preserve"> us shape this work into its current</w:t>
      </w:r>
      <w:r>
        <w:rPr>
          <w:spacing w:val="1"/>
          <w:w w:val="115"/>
        </w:rPr>
        <w:t xml:space="preserve"> </w:t>
      </w:r>
      <w:r>
        <w:rPr>
          <w:w w:val="115"/>
        </w:rPr>
        <w:t>format.</w:t>
      </w:r>
    </w:p>
    <w:p w14:paraId="35D5B143" w14:textId="4465D990" w:rsidR="00082481" w:rsidRDefault="00BB09A0" w:rsidP="00B5285D">
      <w:pPr>
        <w:spacing w:before="92"/>
        <w:ind w:left="-270" w:right="470"/>
        <w:jc w:val="center"/>
        <w:rPr>
          <w:sz w:val="14"/>
        </w:rPr>
      </w:pPr>
      <w:r>
        <w:rPr>
          <w:w w:val="105"/>
          <w:sz w:val="18"/>
        </w:rPr>
        <w:t xml:space="preserve">VIII. </w:t>
      </w:r>
      <w:r w:rsidR="00082481">
        <w:rPr>
          <w:w w:val="105"/>
          <w:sz w:val="18"/>
        </w:rPr>
        <w:t>R</w:t>
      </w:r>
      <w:r w:rsidR="00082481">
        <w:rPr>
          <w:w w:val="105"/>
          <w:sz w:val="14"/>
        </w:rPr>
        <w:t>EFERENCES</w:t>
      </w:r>
    </w:p>
    <w:p w14:paraId="4418B750" w14:textId="37F2361B" w:rsidR="00546ABE" w:rsidRPr="00546ABE" w:rsidRDefault="00546ABE" w:rsidP="00B5285D">
      <w:pPr>
        <w:pStyle w:val="ListParagraph"/>
        <w:numPr>
          <w:ilvl w:val="0"/>
          <w:numId w:val="7"/>
        </w:numPr>
        <w:tabs>
          <w:tab w:val="left" w:pos="-90"/>
          <w:tab w:val="left" w:pos="360"/>
        </w:tabs>
        <w:spacing w:before="117" w:line="266" w:lineRule="auto"/>
        <w:ind w:left="-270" w:right="470" w:firstLine="0"/>
        <w:jc w:val="both"/>
        <w:rPr>
          <w:sz w:val="16"/>
          <w:szCs w:val="16"/>
        </w:rPr>
      </w:pPr>
      <w:r w:rsidRPr="00546ABE">
        <w:rPr>
          <w:rStyle w:val="Strong"/>
          <w:color w:val="111111"/>
          <w:sz w:val="16"/>
          <w:szCs w:val="16"/>
        </w:rPr>
        <w:t>Kumar, M., Chowdhury, P., &amp; Sheikh, I.</w:t>
      </w:r>
      <w:r w:rsidRPr="00546ABE">
        <w:rPr>
          <w:color w:val="111111"/>
          <w:sz w:val="16"/>
          <w:szCs w:val="16"/>
        </w:rPr>
        <w:t> (2023). Determinants of school dropouts in India: A study through survival analysis approach. </w:t>
      </w:r>
      <w:r w:rsidRPr="00546ABE">
        <w:rPr>
          <w:rStyle w:val="Emphasis"/>
          <w:color w:val="111111"/>
          <w:sz w:val="16"/>
          <w:szCs w:val="16"/>
        </w:rPr>
        <w:t>Journal of Social and Economic Development</w:t>
      </w:r>
      <w:bookmarkStart w:id="3" w:name="_GoBack"/>
      <w:r w:rsidR="00C60147">
        <w:fldChar w:fldCharType="begin"/>
      </w:r>
      <w:r w:rsidR="00C60147">
        <w:instrText xml:space="preserve"> HYPERLINK "https://link.springer.com/article/10.1007/s40847-023-00249-w" </w:instrText>
      </w:r>
      <w:r w:rsidR="00C60147">
        <w:fldChar w:fldCharType="separate"/>
      </w:r>
      <w:r w:rsidRPr="00546ABE">
        <w:rPr>
          <w:rStyle w:val="Hyperlink"/>
          <w:rFonts w:eastAsia="Cambria"/>
          <w:sz w:val="16"/>
          <w:szCs w:val="16"/>
        </w:rPr>
        <w:t>, 79, 1–18</w:t>
      </w:r>
      <w:r w:rsidR="00C60147">
        <w:rPr>
          <w:rStyle w:val="Hyperlink"/>
          <w:rFonts w:eastAsia="Cambria"/>
          <w:sz w:val="16"/>
          <w:szCs w:val="16"/>
        </w:rPr>
        <w:fldChar w:fldCharType="end"/>
      </w:r>
      <w:bookmarkEnd w:id="3"/>
      <w:r w:rsidRPr="00546ABE">
        <w:rPr>
          <w:sz w:val="16"/>
          <w:szCs w:val="16"/>
        </w:rPr>
        <w:t xml:space="preserve"> </w:t>
      </w:r>
    </w:p>
    <w:p w14:paraId="3DA786EE"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Agrawal, A.</w:t>
      </w:r>
      <w:r w:rsidRPr="00546ABE">
        <w:rPr>
          <w:color w:val="111111"/>
          <w:sz w:val="16"/>
          <w:szCs w:val="16"/>
        </w:rPr>
        <w:t> (2014). Parental education and intergenerational communication: Implications for child welfare. </w:t>
      </w:r>
      <w:r w:rsidRPr="00546ABE">
        <w:rPr>
          <w:rStyle w:val="Emphasis"/>
          <w:rFonts w:eastAsia="Cambria"/>
          <w:color w:val="111111"/>
          <w:sz w:val="16"/>
          <w:szCs w:val="16"/>
        </w:rPr>
        <w:t>Development Policy Review</w:t>
      </w:r>
      <w:r w:rsidRPr="00546ABE">
        <w:rPr>
          <w:color w:val="111111"/>
          <w:sz w:val="16"/>
          <w:szCs w:val="16"/>
        </w:rPr>
        <w:t>, 32(5), 553–573.</w:t>
      </w:r>
    </w:p>
    <w:p w14:paraId="5EF0287C"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proofErr w:type="spellStart"/>
      <w:r w:rsidRPr="00546ABE">
        <w:rPr>
          <w:rStyle w:val="Strong"/>
          <w:color w:val="111111"/>
          <w:sz w:val="16"/>
          <w:szCs w:val="16"/>
        </w:rPr>
        <w:t>Dreze</w:t>
      </w:r>
      <w:proofErr w:type="spellEnd"/>
      <w:r w:rsidRPr="00546ABE">
        <w:rPr>
          <w:rStyle w:val="Strong"/>
          <w:color w:val="111111"/>
          <w:sz w:val="16"/>
          <w:szCs w:val="16"/>
        </w:rPr>
        <w:t>, J., &amp; Sen, A.</w:t>
      </w:r>
      <w:r w:rsidRPr="00546ABE">
        <w:rPr>
          <w:color w:val="111111"/>
          <w:sz w:val="16"/>
          <w:szCs w:val="16"/>
        </w:rPr>
        <w:t> (2002). Poverty and famines: An essay on entitlement and deprivation. </w:t>
      </w:r>
      <w:r w:rsidRPr="00546ABE">
        <w:rPr>
          <w:rStyle w:val="Emphasis"/>
          <w:rFonts w:eastAsia="Cambria"/>
          <w:color w:val="111111"/>
          <w:sz w:val="16"/>
          <w:szCs w:val="16"/>
        </w:rPr>
        <w:t>Oxford University Press</w:t>
      </w:r>
      <w:r w:rsidRPr="00546ABE">
        <w:rPr>
          <w:color w:val="111111"/>
          <w:sz w:val="16"/>
          <w:szCs w:val="16"/>
        </w:rPr>
        <w:t>.</w:t>
      </w:r>
    </w:p>
    <w:p w14:paraId="3E4DF696"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Nakajima, N., et al.</w:t>
      </w:r>
      <w:r w:rsidRPr="00546ABE">
        <w:rPr>
          <w:color w:val="111111"/>
          <w:sz w:val="16"/>
          <w:szCs w:val="16"/>
        </w:rPr>
        <w:t> (2018). Learning crisis in developing economies: Challenges and strategies. </w:t>
      </w:r>
      <w:r w:rsidRPr="00546ABE">
        <w:rPr>
          <w:rStyle w:val="Emphasis"/>
          <w:rFonts w:eastAsia="Cambria"/>
          <w:color w:val="111111"/>
          <w:sz w:val="16"/>
          <w:szCs w:val="16"/>
        </w:rPr>
        <w:t>World Bank Policy Research Working Paper</w:t>
      </w:r>
      <w:r w:rsidRPr="00546ABE">
        <w:rPr>
          <w:color w:val="111111"/>
          <w:sz w:val="16"/>
          <w:szCs w:val="16"/>
        </w:rPr>
        <w:t>, 8626.</w:t>
      </w:r>
    </w:p>
    <w:p w14:paraId="4FF9B4A7"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proofErr w:type="spellStart"/>
      <w:r w:rsidRPr="00546ABE">
        <w:rPr>
          <w:rStyle w:val="Strong"/>
          <w:color w:val="111111"/>
          <w:sz w:val="16"/>
          <w:szCs w:val="16"/>
        </w:rPr>
        <w:t>Marphatia</w:t>
      </w:r>
      <w:proofErr w:type="spellEnd"/>
      <w:r w:rsidRPr="00546ABE">
        <w:rPr>
          <w:rStyle w:val="Strong"/>
          <w:color w:val="111111"/>
          <w:sz w:val="16"/>
          <w:szCs w:val="16"/>
        </w:rPr>
        <w:t>, A. A., et al.</w:t>
      </w:r>
      <w:r w:rsidRPr="00546ABE">
        <w:rPr>
          <w:color w:val="111111"/>
          <w:sz w:val="16"/>
          <w:szCs w:val="16"/>
        </w:rPr>
        <w:t> (2019). School attrition and gender inequality: Evidence from India. </w:t>
      </w:r>
      <w:r w:rsidRPr="00546ABE">
        <w:rPr>
          <w:rStyle w:val="Emphasis"/>
          <w:rFonts w:eastAsia="Cambria"/>
          <w:color w:val="111111"/>
          <w:sz w:val="16"/>
          <w:szCs w:val="16"/>
        </w:rPr>
        <w:t>Population and Development Review</w:t>
      </w:r>
      <w:r w:rsidRPr="00546ABE">
        <w:rPr>
          <w:color w:val="111111"/>
          <w:sz w:val="16"/>
          <w:szCs w:val="16"/>
        </w:rPr>
        <w:t>, 45(2), 317–343.</w:t>
      </w:r>
    </w:p>
    <w:p w14:paraId="3994548B"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 xml:space="preserve">Gouda, J., &amp; </w:t>
      </w:r>
      <w:proofErr w:type="spellStart"/>
      <w:r w:rsidRPr="00546ABE">
        <w:rPr>
          <w:rStyle w:val="Strong"/>
          <w:color w:val="111111"/>
          <w:sz w:val="16"/>
          <w:szCs w:val="16"/>
        </w:rPr>
        <w:t>Sekher</w:t>
      </w:r>
      <w:proofErr w:type="spellEnd"/>
      <w:r w:rsidRPr="00546ABE">
        <w:rPr>
          <w:rStyle w:val="Strong"/>
          <w:color w:val="111111"/>
          <w:sz w:val="16"/>
          <w:szCs w:val="16"/>
        </w:rPr>
        <w:t>, T. V.</w:t>
      </w:r>
      <w:r w:rsidRPr="00546ABE">
        <w:rPr>
          <w:color w:val="111111"/>
          <w:sz w:val="16"/>
          <w:szCs w:val="16"/>
        </w:rPr>
        <w:t> (2014). Early child marriage and school dropout: Evidence from India. </w:t>
      </w:r>
      <w:r w:rsidRPr="00546ABE">
        <w:rPr>
          <w:rStyle w:val="Emphasis"/>
          <w:rFonts w:eastAsia="Cambria"/>
          <w:color w:val="111111"/>
          <w:sz w:val="16"/>
          <w:szCs w:val="16"/>
        </w:rPr>
        <w:t>Journal of Social and Economic Development</w:t>
      </w:r>
      <w:r w:rsidRPr="00546ABE">
        <w:rPr>
          <w:color w:val="111111"/>
          <w:sz w:val="16"/>
          <w:szCs w:val="16"/>
        </w:rPr>
        <w:t>, 16(1), 1–24.</w:t>
      </w:r>
    </w:p>
    <w:p w14:paraId="0A7C253A"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proofErr w:type="spellStart"/>
      <w:r w:rsidRPr="00546ABE">
        <w:rPr>
          <w:rStyle w:val="Strong"/>
          <w:color w:val="111111"/>
          <w:sz w:val="16"/>
          <w:szCs w:val="16"/>
        </w:rPr>
        <w:t>Hallfors</w:t>
      </w:r>
      <w:proofErr w:type="spellEnd"/>
      <w:r w:rsidRPr="00546ABE">
        <w:rPr>
          <w:rStyle w:val="Strong"/>
          <w:color w:val="111111"/>
          <w:sz w:val="16"/>
          <w:szCs w:val="16"/>
        </w:rPr>
        <w:t>, D. D., et al.</w:t>
      </w:r>
      <w:r w:rsidRPr="00546ABE">
        <w:rPr>
          <w:color w:val="111111"/>
          <w:sz w:val="16"/>
          <w:szCs w:val="16"/>
        </w:rPr>
        <w:t> (2011). The association of school dropout with substance use and delinquency. </w:t>
      </w:r>
      <w:r w:rsidRPr="00546ABE">
        <w:rPr>
          <w:rStyle w:val="Emphasis"/>
          <w:rFonts w:eastAsia="Cambria"/>
          <w:color w:val="111111"/>
          <w:sz w:val="16"/>
          <w:szCs w:val="16"/>
        </w:rPr>
        <w:t>Journal of Drug Issues</w:t>
      </w:r>
      <w:r w:rsidRPr="00546ABE">
        <w:rPr>
          <w:color w:val="111111"/>
          <w:sz w:val="16"/>
          <w:szCs w:val="16"/>
        </w:rPr>
        <w:t>, 41(2), 397–418.</w:t>
      </w:r>
    </w:p>
    <w:p w14:paraId="57ACD58C"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Hindin, M. J., Kishor, S., &amp; Ansara, D. L.</w:t>
      </w:r>
      <w:r w:rsidRPr="00546ABE">
        <w:rPr>
          <w:color w:val="111111"/>
          <w:sz w:val="16"/>
          <w:szCs w:val="16"/>
        </w:rPr>
        <w:t> (2008). Intimate partner violence among couples in 10 DHS countries: Predictors and health outcomes. </w:t>
      </w:r>
      <w:r w:rsidRPr="00546ABE">
        <w:rPr>
          <w:rStyle w:val="Emphasis"/>
          <w:rFonts w:eastAsia="Cambria"/>
          <w:color w:val="111111"/>
          <w:sz w:val="16"/>
          <w:szCs w:val="16"/>
        </w:rPr>
        <w:t>DHS Analytical Studies</w:t>
      </w:r>
      <w:r w:rsidRPr="00546ABE">
        <w:rPr>
          <w:color w:val="111111"/>
          <w:sz w:val="16"/>
          <w:szCs w:val="16"/>
        </w:rPr>
        <w:t>, 18.</w:t>
      </w:r>
    </w:p>
    <w:p w14:paraId="1C892D89"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Patton, G. C., et al.</w:t>
      </w:r>
      <w:r w:rsidRPr="00546ABE">
        <w:rPr>
          <w:color w:val="111111"/>
          <w:sz w:val="16"/>
          <w:szCs w:val="16"/>
        </w:rPr>
        <w:t> (2016). Our future: A Lancet commission on adolescent health and wellbeing. </w:t>
      </w:r>
      <w:r w:rsidRPr="00546ABE">
        <w:rPr>
          <w:rStyle w:val="Emphasis"/>
          <w:rFonts w:eastAsia="Cambria"/>
          <w:color w:val="111111"/>
          <w:sz w:val="16"/>
          <w:szCs w:val="16"/>
        </w:rPr>
        <w:t>The Lancet</w:t>
      </w:r>
      <w:r w:rsidRPr="00546ABE">
        <w:rPr>
          <w:color w:val="111111"/>
          <w:sz w:val="16"/>
          <w:szCs w:val="16"/>
        </w:rPr>
        <w:t>, 387(10036), 2423–2478.</w:t>
      </w:r>
    </w:p>
    <w:p w14:paraId="55A493CB"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Hoddinott, J., et al.</w:t>
      </w:r>
      <w:r w:rsidRPr="00546ABE">
        <w:rPr>
          <w:color w:val="111111"/>
          <w:sz w:val="16"/>
          <w:szCs w:val="16"/>
        </w:rPr>
        <w:t> (2011). The impact of conditional cash transfers on child nutrition: Evidence from Nicaragua. </w:t>
      </w:r>
      <w:r w:rsidRPr="00546ABE">
        <w:rPr>
          <w:rStyle w:val="Emphasis"/>
          <w:rFonts w:eastAsia="Cambria"/>
          <w:color w:val="111111"/>
          <w:sz w:val="16"/>
          <w:szCs w:val="16"/>
        </w:rPr>
        <w:t>Journal of Development Economics</w:t>
      </w:r>
      <w:r w:rsidRPr="00546ABE">
        <w:rPr>
          <w:color w:val="111111"/>
          <w:sz w:val="16"/>
          <w:szCs w:val="16"/>
        </w:rPr>
        <w:t>, 96(2), 239–254.</w:t>
      </w:r>
    </w:p>
    <w:p w14:paraId="25C6C756"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proofErr w:type="spellStart"/>
      <w:r w:rsidRPr="00546ABE">
        <w:rPr>
          <w:rStyle w:val="Strong"/>
          <w:color w:val="111111"/>
          <w:sz w:val="16"/>
          <w:szCs w:val="16"/>
        </w:rPr>
        <w:t>Maluccio</w:t>
      </w:r>
      <w:proofErr w:type="spellEnd"/>
      <w:r w:rsidRPr="00546ABE">
        <w:rPr>
          <w:rStyle w:val="Strong"/>
          <w:color w:val="111111"/>
          <w:sz w:val="16"/>
          <w:szCs w:val="16"/>
        </w:rPr>
        <w:t>, J. A., et al.</w:t>
      </w:r>
      <w:r w:rsidRPr="00546ABE">
        <w:rPr>
          <w:color w:val="111111"/>
          <w:sz w:val="16"/>
          <w:szCs w:val="16"/>
        </w:rPr>
        <w:t> (2009). The impact of an experimental nutritional intervention in childhood on education among Guatemalan adults. </w:t>
      </w:r>
      <w:r w:rsidRPr="00546ABE">
        <w:rPr>
          <w:rStyle w:val="Emphasis"/>
          <w:rFonts w:eastAsia="Cambria"/>
          <w:color w:val="111111"/>
          <w:sz w:val="16"/>
          <w:szCs w:val="16"/>
        </w:rPr>
        <w:t>Economic Journal</w:t>
      </w:r>
      <w:r w:rsidRPr="00546ABE">
        <w:rPr>
          <w:color w:val="111111"/>
          <w:sz w:val="16"/>
          <w:szCs w:val="16"/>
        </w:rPr>
        <w:t>, 119(537), 734–763.</w:t>
      </w:r>
    </w:p>
    <w:p w14:paraId="55D9F9FE"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Barro, R. J., &amp; Lee, J. W.</w:t>
      </w:r>
      <w:r w:rsidRPr="00546ABE">
        <w:rPr>
          <w:color w:val="111111"/>
          <w:sz w:val="16"/>
          <w:szCs w:val="16"/>
        </w:rPr>
        <w:t> (2013). A new data set of educational attainment in the world, 1950–2010. </w:t>
      </w:r>
      <w:r w:rsidRPr="00546ABE">
        <w:rPr>
          <w:rStyle w:val="Emphasis"/>
          <w:rFonts w:eastAsia="Cambria"/>
          <w:color w:val="111111"/>
          <w:sz w:val="16"/>
          <w:szCs w:val="16"/>
        </w:rPr>
        <w:t>Journal of Development Economics</w:t>
      </w:r>
      <w:r w:rsidRPr="00546ABE">
        <w:rPr>
          <w:color w:val="111111"/>
          <w:sz w:val="16"/>
          <w:szCs w:val="16"/>
        </w:rPr>
        <w:t>, 104, 184–198.</w:t>
      </w:r>
    </w:p>
    <w:p w14:paraId="2658779E"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Warner, R. M., et al.</w:t>
      </w:r>
      <w:r w:rsidRPr="00546ABE">
        <w:rPr>
          <w:color w:val="111111"/>
          <w:sz w:val="16"/>
          <w:szCs w:val="16"/>
        </w:rPr>
        <w:t> (2012). Gender differences in early school leaving: The role of parental involvement and school characteristics. </w:t>
      </w:r>
      <w:r w:rsidRPr="00546ABE">
        <w:rPr>
          <w:rStyle w:val="Emphasis"/>
          <w:rFonts w:eastAsia="Cambria"/>
          <w:color w:val="111111"/>
          <w:sz w:val="16"/>
          <w:szCs w:val="16"/>
        </w:rPr>
        <w:t>Social Psychology of Education</w:t>
      </w:r>
      <w:r w:rsidRPr="00546ABE">
        <w:rPr>
          <w:color w:val="111111"/>
          <w:sz w:val="16"/>
          <w:szCs w:val="16"/>
        </w:rPr>
        <w:t>, 15(4), 497–521.</w:t>
      </w:r>
    </w:p>
    <w:p w14:paraId="2AF1A2EB"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UNESCO.</w:t>
      </w:r>
      <w:r w:rsidRPr="00546ABE">
        <w:rPr>
          <w:color w:val="111111"/>
          <w:sz w:val="16"/>
          <w:szCs w:val="16"/>
        </w:rPr>
        <w:t> (2014). Education for all global monitoring report. </w:t>
      </w:r>
      <w:r w:rsidRPr="00546ABE">
        <w:rPr>
          <w:rStyle w:val="Emphasis"/>
          <w:rFonts w:eastAsia="Cambria"/>
          <w:color w:val="111111"/>
          <w:sz w:val="16"/>
          <w:szCs w:val="16"/>
        </w:rPr>
        <w:t>UNESCO</w:t>
      </w:r>
      <w:r w:rsidRPr="00546ABE">
        <w:rPr>
          <w:color w:val="111111"/>
          <w:sz w:val="16"/>
          <w:szCs w:val="16"/>
        </w:rPr>
        <w:t>.</w:t>
      </w:r>
    </w:p>
    <w:p w14:paraId="1303E5E5"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Prakash, R., et al.</w:t>
      </w:r>
      <w:r w:rsidRPr="00546ABE">
        <w:rPr>
          <w:color w:val="111111"/>
          <w:sz w:val="16"/>
          <w:szCs w:val="16"/>
        </w:rPr>
        <w:t> (2017). School dropout and child marriage: A study from rural India. </w:t>
      </w:r>
      <w:r w:rsidRPr="00546ABE">
        <w:rPr>
          <w:rStyle w:val="Emphasis"/>
          <w:rFonts w:eastAsia="Cambria"/>
          <w:color w:val="111111"/>
          <w:sz w:val="16"/>
          <w:szCs w:val="16"/>
        </w:rPr>
        <w:t>Journal of Population Research</w:t>
      </w:r>
      <w:r w:rsidRPr="00546ABE">
        <w:rPr>
          <w:color w:val="111111"/>
          <w:sz w:val="16"/>
          <w:szCs w:val="16"/>
        </w:rPr>
        <w:t>, 34(4), 429–452.</w:t>
      </w:r>
    </w:p>
    <w:p w14:paraId="17973179"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Kugler, A. D., &amp; Kumar, S.</w:t>
      </w:r>
      <w:r w:rsidRPr="00546ABE">
        <w:rPr>
          <w:color w:val="111111"/>
          <w:sz w:val="16"/>
          <w:szCs w:val="16"/>
        </w:rPr>
        <w:t> (2017). Girl power: Cash transfers and adolescent welfare. </w:t>
      </w:r>
      <w:r w:rsidRPr="00546ABE">
        <w:rPr>
          <w:rStyle w:val="Emphasis"/>
          <w:rFonts w:eastAsia="Cambria"/>
          <w:color w:val="111111"/>
          <w:sz w:val="16"/>
          <w:szCs w:val="16"/>
        </w:rPr>
        <w:t>Journal of Development Economics</w:t>
      </w:r>
      <w:r w:rsidRPr="00546ABE">
        <w:rPr>
          <w:color w:val="111111"/>
          <w:sz w:val="16"/>
          <w:szCs w:val="16"/>
        </w:rPr>
        <w:t>, 127, 379–394.</w:t>
      </w:r>
    </w:p>
    <w:p w14:paraId="1E51BA0A" w14:textId="77777777" w:rsidR="00546ABE" w:rsidRPr="00546ABE" w:rsidRDefault="00546ABE" w:rsidP="00B5285D">
      <w:pPr>
        <w:pStyle w:val="NormalWeb"/>
        <w:numPr>
          <w:ilvl w:val="0"/>
          <w:numId w:val="7"/>
        </w:numPr>
        <w:tabs>
          <w:tab w:val="left" w:pos="0"/>
        </w:tabs>
        <w:spacing w:before="0" w:beforeAutospacing="0" w:after="0" w:afterAutospacing="0"/>
        <w:ind w:left="-270" w:right="470" w:firstLine="0"/>
        <w:jc w:val="both"/>
        <w:rPr>
          <w:color w:val="111111"/>
          <w:sz w:val="16"/>
          <w:szCs w:val="16"/>
        </w:rPr>
      </w:pPr>
      <w:r w:rsidRPr="00546ABE">
        <w:rPr>
          <w:rStyle w:val="Strong"/>
          <w:color w:val="111111"/>
          <w:sz w:val="16"/>
          <w:szCs w:val="16"/>
        </w:rPr>
        <w:t>Raj, A.</w:t>
      </w:r>
      <w:r w:rsidRPr="00546ABE">
        <w:rPr>
          <w:color w:val="111111"/>
          <w:sz w:val="16"/>
          <w:szCs w:val="16"/>
        </w:rPr>
        <w:t> (2010). When the mother is a child: The impact of child marriage on the health and human rights of girls. </w:t>
      </w:r>
      <w:r w:rsidRPr="00546ABE">
        <w:rPr>
          <w:rStyle w:val="Emphasis"/>
          <w:rFonts w:eastAsia="Cambria"/>
          <w:color w:val="111111"/>
          <w:sz w:val="16"/>
          <w:szCs w:val="16"/>
        </w:rPr>
        <w:t>Archives of Disease in Childhood</w:t>
      </w:r>
      <w:r w:rsidRPr="00546ABE">
        <w:rPr>
          <w:color w:val="111111"/>
          <w:sz w:val="16"/>
          <w:szCs w:val="16"/>
        </w:rPr>
        <w:t>, 95(11), 931–935.</w:t>
      </w:r>
    </w:p>
    <w:p w14:paraId="405AC542" w14:textId="77777777" w:rsidR="00546ABE" w:rsidRPr="00546ABE" w:rsidRDefault="00546ABE" w:rsidP="00B5285D">
      <w:pPr>
        <w:pStyle w:val="NormalWeb"/>
        <w:numPr>
          <w:ilvl w:val="0"/>
          <w:numId w:val="7"/>
        </w:numPr>
        <w:spacing w:before="0" w:beforeAutospacing="0" w:after="0" w:afterAutospacing="0"/>
        <w:ind w:left="-270" w:right="470" w:firstLine="0"/>
        <w:jc w:val="both"/>
        <w:rPr>
          <w:color w:val="111111"/>
          <w:sz w:val="16"/>
          <w:szCs w:val="16"/>
        </w:rPr>
      </w:pPr>
      <w:r w:rsidRPr="00546ABE">
        <w:rPr>
          <w:rStyle w:val="Strong"/>
          <w:color w:val="111111"/>
          <w:sz w:val="16"/>
          <w:szCs w:val="16"/>
        </w:rPr>
        <w:t>Ackerson, L. K., et al.</w:t>
      </w:r>
      <w:r w:rsidRPr="00546ABE">
        <w:rPr>
          <w:color w:val="111111"/>
          <w:sz w:val="16"/>
          <w:szCs w:val="16"/>
        </w:rPr>
        <w:t> (2008). Domestic violence and chronic malnutrition among women and children in India. </w:t>
      </w:r>
      <w:r w:rsidRPr="00546ABE">
        <w:rPr>
          <w:rStyle w:val="Emphasis"/>
          <w:rFonts w:eastAsia="Cambria"/>
          <w:color w:val="111111"/>
          <w:sz w:val="16"/>
          <w:szCs w:val="16"/>
        </w:rPr>
        <w:t>American Journal of Epidemiology</w:t>
      </w:r>
      <w:r w:rsidRPr="00546ABE">
        <w:rPr>
          <w:color w:val="111111"/>
          <w:sz w:val="16"/>
          <w:szCs w:val="16"/>
        </w:rPr>
        <w:t>, 167(10), 1188–1196.</w:t>
      </w:r>
    </w:p>
    <w:p w14:paraId="754E5495" w14:textId="77777777" w:rsidR="00546ABE" w:rsidRPr="00546ABE" w:rsidRDefault="00546ABE" w:rsidP="00B5285D">
      <w:pPr>
        <w:pStyle w:val="NormalWeb"/>
        <w:numPr>
          <w:ilvl w:val="0"/>
          <w:numId w:val="7"/>
        </w:numPr>
        <w:spacing w:before="0" w:beforeAutospacing="0" w:after="0" w:afterAutospacing="0"/>
        <w:ind w:left="-270" w:right="470" w:firstLine="0"/>
        <w:jc w:val="both"/>
        <w:rPr>
          <w:color w:val="111111"/>
          <w:sz w:val="16"/>
          <w:szCs w:val="16"/>
        </w:rPr>
      </w:pPr>
      <w:r w:rsidRPr="00546ABE">
        <w:rPr>
          <w:rStyle w:val="Strong"/>
          <w:color w:val="111111"/>
          <w:sz w:val="16"/>
          <w:szCs w:val="16"/>
        </w:rPr>
        <w:t>Kugler, A. D., &amp; Kumar, S.</w:t>
      </w:r>
      <w:r w:rsidRPr="00546ABE">
        <w:rPr>
          <w:color w:val="111111"/>
          <w:sz w:val="16"/>
          <w:szCs w:val="16"/>
        </w:rPr>
        <w:t> (2017). Girl power: Cash transfers and adolescent welfare. </w:t>
      </w:r>
      <w:r w:rsidRPr="00546ABE">
        <w:rPr>
          <w:rStyle w:val="Emphasis"/>
          <w:rFonts w:eastAsia="Cambria"/>
          <w:color w:val="111111"/>
          <w:sz w:val="16"/>
          <w:szCs w:val="16"/>
        </w:rPr>
        <w:t>Journal of Development Economics</w:t>
      </w:r>
      <w:r w:rsidRPr="00546ABE">
        <w:rPr>
          <w:color w:val="111111"/>
          <w:sz w:val="16"/>
          <w:szCs w:val="16"/>
        </w:rPr>
        <w:t>, 127, 379–394.</w:t>
      </w:r>
    </w:p>
    <w:p w14:paraId="2AF3B471" w14:textId="392D3AB8" w:rsidR="00546ABE" w:rsidRDefault="00546ABE" w:rsidP="00B5285D">
      <w:pPr>
        <w:pStyle w:val="NormalWeb"/>
        <w:numPr>
          <w:ilvl w:val="0"/>
          <w:numId w:val="7"/>
        </w:numPr>
        <w:spacing w:before="0" w:beforeAutospacing="0" w:after="0" w:afterAutospacing="0"/>
        <w:ind w:left="-270" w:right="470" w:firstLine="0"/>
        <w:jc w:val="both"/>
        <w:rPr>
          <w:color w:val="111111"/>
          <w:sz w:val="16"/>
          <w:szCs w:val="16"/>
        </w:rPr>
      </w:pPr>
      <w:r w:rsidRPr="00546ABE">
        <w:rPr>
          <w:rStyle w:val="Strong"/>
          <w:color w:val="111111"/>
          <w:sz w:val="16"/>
          <w:szCs w:val="16"/>
        </w:rPr>
        <w:t>Prakash, R., et al.</w:t>
      </w:r>
      <w:r w:rsidRPr="00546ABE">
        <w:rPr>
          <w:color w:val="111111"/>
          <w:sz w:val="16"/>
          <w:szCs w:val="16"/>
        </w:rPr>
        <w:t> (2017). School dropout and child marriage: A study from rural India. </w:t>
      </w:r>
      <w:r w:rsidRPr="00546ABE">
        <w:rPr>
          <w:rStyle w:val="Emphasis"/>
          <w:rFonts w:eastAsia="Cambria"/>
          <w:color w:val="111111"/>
          <w:sz w:val="16"/>
          <w:szCs w:val="16"/>
        </w:rPr>
        <w:t>Journal of Population Research</w:t>
      </w:r>
      <w:r w:rsidRPr="00546ABE">
        <w:rPr>
          <w:color w:val="111111"/>
          <w:sz w:val="16"/>
          <w:szCs w:val="16"/>
        </w:rPr>
        <w:t>, 34(4), 429–452.</w:t>
      </w:r>
    </w:p>
    <w:p w14:paraId="304983E3" w14:textId="234EFD16" w:rsidR="00546ABE" w:rsidRDefault="00546ABE" w:rsidP="00B5285D">
      <w:pPr>
        <w:pStyle w:val="ListParagraph"/>
        <w:numPr>
          <w:ilvl w:val="0"/>
          <w:numId w:val="7"/>
        </w:numPr>
        <w:ind w:left="-270" w:right="470" w:firstLine="0"/>
        <w:jc w:val="both"/>
        <w:rPr>
          <w:sz w:val="16"/>
          <w:szCs w:val="16"/>
        </w:rPr>
      </w:pPr>
      <w:proofErr w:type="spellStart"/>
      <w:r w:rsidRPr="00546ABE">
        <w:rPr>
          <w:sz w:val="16"/>
          <w:szCs w:val="16"/>
        </w:rPr>
        <w:t>Abenavoli</w:t>
      </w:r>
      <w:proofErr w:type="spellEnd"/>
      <w:r w:rsidRPr="00546ABE">
        <w:rPr>
          <w:sz w:val="16"/>
          <w:szCs w:val="16"/>
        </w:rPr>
        <w:t>, S. L., &amp; Yeager, D. S. (2022). Academic self-efficacy and student outcomes: A meta-analysis. Educational Psychology Review, 34(3), 1099-1145</w:t>
      </w:r>
      <w:proofErr w:type="gramStart"/>
      <w:r w:rsidRPr="00546ABE">
        <w:rPr>
          <w:sz w:val="16"/>
          <w:szCs w:val="16"/>
        </w:rPr>
        <w:t>.*</w:t>
      </w:r>
      <w:proofErr w:type="gramEnd"/>
      <w:r w:rsidRPr="00546ABE">
        <w:rPr>
          <w:sz w:val="16"/>
          <w:szCs w:val="16"/>
        </w:rPr>
        <w:t>*</w:t>
      </w:r>
    </w:p>
    <w:p w14:paraId="28500C23" w14:textId="0DFBDE66" w:rsidR="00B5285D" w:rsidRDefault="00B5285D" w:rsidP="00B5285D">
      <w:pPr>
        <w:ind w:right="290"/>
        <w:jc w:val="both"/>
        <w:rPr>
          <w:sz w:val="16"/>
          <w:szCs w:val="16"/>
        </w:rPr>
      </w:pPr>
    </w:p>
    <w:p w14:paraId="128FAC20" w14:textId="77777777" w:rsidR="00B5285D" w:rsidRPr="00B5285D" w:rsidRDefault="00B5285D" w:rsidP="00B5285D">
      <w:pPr>
        <w:ind w:right="290"/>
        <w:jc w:val="both"/>
        <w:rPr>
          <w:sz w:val="16"/>
          <w:szCs w:val="16"/>
        </w:rPr>
      </w:pPr>
    </w:p>
    <w:p w14:paraId="0F556CEA"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 xml:space="preserve">2. Acedo, C., García-Ramos, G., &amp; Rodríguez-Gutiérrez, F. J. (2023). Educational inequality and student dropout in secondary education: The mediating role of academic </w:t>
      </w:r>
      <w:r w:rsidRPr="00546ABE">
        <w:rPr>
          <w:sz w:val="16"/>
          <w:szCs w:val="16"/>
        </w:rPr>
        <w:t>achievement and school engagement. Educational Psychology Review, 1-25</w:t>
      </w:r>
      <w:proofErr w:type="gramStart"/>
      <w:r w:rsidRPr="00546ABE">
        <w:rPr>
          <w:sz w:val="16"/>
          <w:szCs w:val="16"/>
        </w:rPr>
        <w:t>.*</w:t>
      </w:r>
      <w:proofErr w:type="gramEnd"/>
      <w:r w:rsidRPr="00546ABE">
        <w:rPr>
          <w:sz w:val="16"/>
          <w:szCs w:val="16"/>
        </w:rPr>
        <w:t>*</w:t>
      </w:r>
    </w:p>
    <w:p w14:paraId="5B40117E"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 xml:space="preserve">3. </w:t>
      </w:r>
      <w:proofErr w:type="spellStart"/>
      <w:r w:rsidRPr="00546ABE">
        <w:rPr>
          <w:sz w:val="16"/>
          <w:szCs w:val="16"/>
        </w:rPr>
        <w:t>Agirdag</w:t>
      </w:r>
      <w:proofErr w:type="spellEnd"/>
      <w:r w:rsidRPr="00546ABE">
        <w:rPr>
          <w:sz w:val="16"/>
          <w:szCs w:val="16"/>
        </w:rPr>
        <w:t>, O. (2017). The relationship between school climate and student dropout intention among Turkish high school students. Educational Sciences: Theory and Practice, 17(3), 1019-1033</w:t>
      </w:r>
      <w:proofErr w:type="gramStart"/>
      <w:r w:rsidRPr="00546ABE">
        <w:rPr>
          <w:sz w:val="16"/>
          <w:szCs w:val="16"/>
        </w:rPr>
        <w:t>.*</w:t>
      </w:r>
      <w:proofErr w:type="gramEnd"/>
      <w:r w:rsidRPr="00546ABE">
        <w:rPr>
          <w:sz w:val="16"/>
          <w:szCs w:val="16"/>
        </w:rPr>
        <w:t>*</w:t>
      </w:r>
    </w:p>
    <w:p w14:paraId="43EBE95D"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4. Ajayi, I. A. (2019). Factors influencing student dropout in higher education: A review of empirical studies. Journal of Education and Learning, 8(2), 20-28</w:t>
      </w:r>
      <w:proofErr w:type="gramStart"/>
      <w:r w:rsidRPr="00546ABE">
        <w:rPr>
          <w:sz w:val="16"/>
          <w:szCs w:val="16"/>
        </w:rPr>
        <w:t>.*</w:t>
      </w:r>
      <w:proofErr w:type="gramEnd"/>
      <w:r w:rsidRPr="00546ABE">
        <w:rPr>
          <w:sz w:val="16"/>
          <w:szCs w:val="16"/>
        </w:rPr>
        <w:t>*</w:t>
      </w:r>
    </w:p>
    <w:p w14:paraId="4C645F6A"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5. Allensworth, E., &amp; Easton, J. Q. (2001). The on-track indicator as a predictor of high school graduation. Consortium on Chicago School Research</w:t>
      </w:r>
      <w:proofErr w:type="gramStart"/>
      <w:r w:rsidRPr="00546ABE">
        <w:rPr>
          <w:sz w:val="16"/>
          <w:szCs w:val="16"/>
        </w:rPr>
        <w:t>.*</w:t>
      </w:r>
      <w:proofErr w:type="gramEnd"/>
      <w:r w:rsidRPr="00546ABE">
        <w:rPr>
          <w:sz w:val="16"/>
          <w:szCs w:val="16"/>
        </w:rPr>
        <w:t>*</w:t>
      </w:r>
    </w:p>
    <w:p w14:paraId="41AD3C0D"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6. Amato, P. R., &amp; Keith, B. (1991). Parental divorce and the well-being of children: A meta-analysis. Psychological bulletin, 110(1), 26</w:t>
      </w:r>
      <w:proofErr w:type="gramStart"/>
      <w:r w:rsidRPr="00546ABE">
        <w:rPr>
          <w:sz w:val="16"/>
          <w:szCs w:val="16"/>
        </w:rPr>
        <w:t>.*</w:t>
      </w:r>
      <w:proofErr w:type="gramEnd"/>
      <w:r w:rsidRPr="00546ABE">
        <w:rPr>
          <w:sz w:val="16"/>
          <w:szCs w:val="16"/>
        </w:rPr>
        <w:t>*</w:t>
      </w:r>
    </w:p>
    <w:p w14:paraId="2DE590B2"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7. Anderson, J. E., &amp; Palma, M. (2021). Student engagement as a buffer against the negative effects of economic disadvantage. Journal of Educational Psychology, 113(4), 793</w:t>
      </w:r>
      <w:proofErr w:type="gramStart"/>
      <w:r w:rsidRPr="00546ABE">
        <w:rPr>
          <w:sz w:val="16"/>
          <w:szCs w:val="16"/>
        </w:rPr>
        <w:t>.*</w:t>
      </w:r>
      <w:proofErr w:type="gramEnd"/>
      <w:r w:rsidRPr="00546ABE">
        <w:rPr>
          <w:sz w:val="16"/>
          <w:szCs w:val="16"/>
        </w:rPr>
        <w:t>*</w:t>
      </w:r>
    </w:p>
    <w:p w14:paraId="5AECCB90"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8. Arens, A. K., &amp; Niemi, H. (2010). Predicting student dropout in vocational education: A multilevel analysis. European Journal of Education, 45(1), 113-129</w:t>
      </w:r>
      <w:proofErr w:type="gramStart"/>
      <w:r w:rsidRPr="00546ABE">
        <w:rPr>
          <w:sz w:val="16"/>
          <w:szCs w:val="16"/>
        </w:rPr>
        <w:t>.*</w:t>
      </w:r>
      <w:proofErr w:type="gramEnd"/>
      <w:r w:rsidRPr="00546ABE">
        <w:rPr>
          <w:sz w:val="16"/>
          <w:szCs w:val="16"/>
        </w:rPr>
        <w:t>*</w:t>
      </w:r>
    </w:p>
    <w:p w14:paraId="494A376B"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9. Arya, P., &amp; Pandey, P. C. (2007). Socio-economic and academic determinants of drop-outs in secondary education in rural India. Journal of Educational Planning and Administration, 21(2), 129-144</w:t>
      </w:r>
      <w:proofErr w:type="gramStart"/>
      <w:r w:rsidRPr="00546ABE">
        <w:rPr>
          <w:sz w:val="16"/>
          <w:szCs w:val="16"/>
        </w:rPr>
        <w:t>.*</w:t>
      </w:r>
      <w:proofErr w:type="gramEnd"/>
      <w:r w:rsidRPr="00546ABE">
        <w:rPr>
          <w:sz w:val="16"/>
          <w:szCs w:val="16"/>
        </w:rPr>
        <w:t>*</w:t>
      </w:r>
    </w:p>
    <w:p w14:paraId="3F3CD11F"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 xml:space="preserve">10. </w:t>
      </w:r>
      <w:proofErr w:type="spellStart"/>
      <w:r w:rsidRPr="00546ABE">
        <w:rPr>
          <w:sz w:val="16"/>
          <w:szCs w:val="16"/>
        </w:rPr>
        <w:t>Aucejo</w:t>
      </w:r>
      <w:proofErr w:type="spellEnd"/>
      <w:r w:rsidRPr="00546ABE">
        <w:rPr>
          <w:sz w:val="16"/>
          <w:szCs w:val="16"/>
        </w:rPr>
        <w:t>, E. M., &amp; Jaume, P. A. (2016). A multilevel analysis of the determinants of early school dropout in Spain. International Journal of Educational Development, 48, 28-38</w:t>
      </w:r>
      <w:proofErr w:type="gramStart"/>
      <w:r w:rsidRPr="00546ABE">
        <w:rPr>
          <w:sz w:val="16"/>
          <w:szCs w:val="16"/>
        </w:rPr>
        <w:t>.*</w:t>
      </w:r>
      <w:proofErr w:type="gramEnd"/>
      <w:r w:rsidRPr="00546ABE">
        <w:rPr>
          <w:sz w:val="16"/>
          <w:szCs w:val="16"/>
        </w:rPr>
        <w:t>*</w:t>
      </w:r>
    </w:p>
    <w:p w14:paraId="1B2F7685"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 xml:space="preserve">11. Balfanz, R., &amp; </w:t>
      </w:r>
      <w:proofErr w:type="spellStart"/>
      <w:r w:rsidRPr="00546ABE">
        <w:rPr>
          <w:sz w:val="16"/>
          <w:szCs w:val="16"/>
        </w:rPr>
        <w:t>Legters</w:t>
      </w:r>
      <w:proofErr w:type="spellEnd"/>
      <w:r w:rsidRPr="00546ABE">
        <w:rPr>
          <w:sz w:val="16"/>
          <w:szCs w:val="16"/>
        </w:rPr>
        <w:t>, N. (2013). Closing the opportunity gap: What America must do to give every child a chance to succeed in school and life. Public Agenda</w:t>
      </w:r>
      <w:proofErr w:type="gramStart"/>
      <w:r w:rsidRPr="00546ABE">
        <w:rPr>
          <w:sz w:val="16"/>
          <w:szCs w:val="16"/>
        </w:rPr>
        <w:t>.*</w:t>
      </w:r>
      <w:proofErr w:type="gramEnd"/>
      <w:r w:rsidRPr="00546ABE">
        <w:rPr>
          <w:sz w:val="16"/>
          <w:szCs w:val="16"/>
        </w:rPr>
        <w:t>*</w:t>
      </w:r>
    </w:p>
    <w:p w14:paraId="06E28125"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12. Bandura, A. (1977). Self-efficacy: Toward a unifying theory of behavioral change. Psychological Review, 84(2), 191</w:t>
      </w:r>
      <w:proofErr w:type="gramStart"/>
      <w:r w:rsidRPr="00546ABE">
        <w:rPr>
          <w:sz w:val="16"/>
          <w:szCs w:val="16"/>
        </w:rPr>
        <w:t>.*</w:t>
      </w:r>
      <w:proofErr w:type="gramEnd"/>
      <w:r w:rsidRPr="00546ABE">
        <w:rPr>
          <w:sz w:val="16"/>
          <w:szCs w:val="16"/>
        </w:rPr>
        <w:t>*</w:t>
      </w:r>
    </w:p>
    <w:p w14:paraId="3A811E17"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 xml:space="preserve">13. </w:t>
      </w:r>
      <w:r w:rsidRPr="00546ABE">
        <w:rPr>
          <w:rFonts w:eastAsia="Cambria"/>
          <w:sz w:val="16"/>
          <w:szCs w:val="16"/>
        </w:rPr>
        <w:t>Battin-Pearson, S., Newcomb, M. D., Abbott, R. D., Hill, K. G., Catalano, R. F., &amp; Hawkins, J. D. (2000). Predictors of early high school dropout: A</w:t>
      </w:r>
      <w:r w:rsidRPr="00546ABE">
        <w:rPr>
          <w:sz w:val="16"/>
          <w:szCs w:val="16"/>
        </w:rPr>
        <w:t xml:space="preserve"> test of five theories. Journal of educational psychology, 92(3), 568</w:t>
      </w:r>
      <w:proofErr w:type="gramStart"/>
      <w:r w:rsidRPr="00546ABE">
        <w:rPr>
          <w:sz w:val="16"/>
          <w:szCs w:val="16"/>
        </w:rPr>
        <w:t>.*</w:t>
      </w:r>
      <w:proofErr w:type="gramEnd"/>
      <w:r w:rsidRPr="00546ABE">
        <w:rPr>
          <w:sz w:val="16"/>
          <w:szCs w:val="16"/>
        </w:rPr>
        <w:t>*</w:t>
      </w:r>
    </w:p>
    <w:p w14:paraId="066C344C"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14. Becker, G. S. (1964). Human capital: A theoretical and empirical analysis, with special reference to education. University of Chicago Press</w:t>
      </w:r>
      <w:proofErr w:type="gramStart"/>
      <w:r w:rsidRPr="00546ABE">
        <w:rPr>
          <w:sz w:val="16"/>
          <w:szCs w:val="16"/>
        </w:rPr>
        <w:t>.*</w:t>
      </w:r>
      <w:proofErr w:type="gramEnd"/>
      <w:r w:rsidRPr="00546ABE">
        <w:rPr>
          <w:sz w:val="16"/>
          <w:szCs w:val="16"/>
        </w:rPr>
        <w:t>*</w:t>
      </w:r>
    </w:p>
    <w:p w14:paraId="001EF638"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15. Benner, A. D., &amp; Graham, S. (2009). Closing the achievement gap: An evidence-based approach. Educational Researcher, 38(8), 594-608</w:t>
      </w:r>
      <w:proofErr w:type="gramStart"/>
      <w:r w:rsidRPr="00546ABE">
        <w:rPr>
          <w:sz w:val="16"/>
          <w:szCs w:val="16"/>
        </w:rPr>
        <w:t>.*</w:t>
      </w:r>
      <w:proofErr w:type="gramEnd"/>
      <w:r w:rsidRPr="00546ABE">
        <w:rPr>
          <w:sz w:val="16"/>
          <w:szCs w:val="16"/>
        </w:rPr>
        <w:t>*</w:t>
      </w:r>
    </w:p>
    <w:p w14:paraId="3ED87512"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16. Blake-Allen, C., &amp; Stage, F. K. (2010). A longitudinal analysis of student self-efficacy in mathematics: Does participation in elementary school science fairs matter? Journal of Research in Science Teaching, 47(1), 14-36</w:t>
      </w:r>
      <w:proofErr w:type="gramStart"/>
      <w:r w:rsidRPr="00546ABE">
        <w:rPr>
          <w:sz w:val="16"/>
          <w:szCs w:val="16"/>
        </w:rPr>
        <w:t>.*</w:t>
      </w:r>
      <w:proofErr w:type="gramEnd"/>
      <w:r w:rsidRPr="00546ABE">
        <w:rPr>
          <w:sz w:val="16"/>
          <w:szCs w:val="16"/>
        </w:rPr>
        <w:t>*</w:t>
      </w:r>
    </w:p>
    <w:p w14:paraId="11100C42"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17. Bloom, B. S. (1985). Developing talent in young people. Ballantine Books</w:t>
      </w:r>
      <w:proofErr w:type="gramStart"/>
      <w:r w:rsidRPr="00546ABE">
        <w:rPr>
          <w:sz w:val="16"/>
          <w:szCs w:val="16"/>
        </w:rPr>
        <w:t>.*</w:t>
      </w:r>
      <w:proofErr w:type="gramEnd"/>
      <w:r w:rsidRPr="00546ABE">
        <w:rPr>
          <w:sz w:val="16"/>
          <w:szCs w:val="16"/>
        </w:rPr>
        <w:t>*</w:t>
      </w:r>
    </w:p>
    <w:p w14:paraId="2FB3043D"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18. Bowen, N. H. (2009). The end of the line: How dropping out of high school hurts America. Princeton University Press</w:t>
      </w:r>
      <w:proofErr w:type="gramStart"/>
      <w:r w:rsidRPr="00546ABE">
        <w:rPr>
          <w:sz w:val="16"/>
          <w:szCs w:val="16"/>
        </w:rPr>
        <w:t>.*</w:t>
      </w:r>
      <w:proofErr w:type="gramEnd"/>
      <w:r w:rsidRPr="00546ABE">
        <w:rPr>
          <w:sz w:val="16"/>
          <w:szCs w:val="16"/>
        </w:rPr>
        <w:t>*</w:t>
      </w:r>
    </w:p>
    <w:p w14:paraId="01B65DD9"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19. Bryk, A. S., &amp; Schneider, B. (2002). Trust in schools: A core resource for improvement. Russell Sage Foundation</w:t>
      </w:r>
      <w:proofErr w:type="gramStart"/>
      <w:r w:rsidRPr="00546ABE">
        <w:rPr>
          <w:sz w:val="16"/>
          <w:szCs w:val="16"/>
        </w:rPr>
        <w:t>.*</w:t>
      </w:r>
      <w:proofErr w:type="gramEnd"/>
      <w:r w:rsidRPr="00546ABE">
        <w:rPr>
          <w:sz w:val="16"/>
          <w:szCs w:val="16"/>
        </w:rPr>
        <w:t>*</w:t>
      </w:r>
    </w:p>
    <w:p w14:paraId="4C3AFE76" w14:textId="77777777" w:rsidR="00546ABE" w:rsidRPr="00546ABE" w:rsidRDefault="00546ABE" w:rsidP="00B5285D">
      <w:pPr>
        <w:pStyle w:val="ListParagraph"/>
        <w:numPr>
          <w:ilvl w:val="0"/>
          <w:numId w:val="7"/>
        </w:numPr>
        <w:tabs>
          <w:tab w:val="left" w:pos="270"/>
        </w:tabs>
        <w:ind w:left="0" w:right="-250" w:firstLine="0"/>
        <w:jc w:val="both"/>
        <w:rPr>
          <w:sz w:val="16"/>
          <w:szCs w:val="16"/>
        </w:rPr>
      </w:pPr>
      <w:r w:rsidRPr="00546ABE">
        <w:rPr>
          <w:sz w:val="16"/>
          <w:szCs w:val="16"/>
        </w:rPr>
        <w:t>20. Cameron, A. (2004). The educational needs of marginalized children: A review of the literature. International Journal of Inclusive Education, 8(1), 3-1</w:t>
      </w:r>
    </w:p>
    <w:p w14:paraId="0C7D1BC7" w14:textId="77777777" w:rsidR="00546ABE" w:rsidRPr="00546ABE" w:rsidRDefault="00546ABE" w:rsidP="00B5285D">
      <w:pPr>
        <w:pStyle w:val="NormalWeb"/>
        <w:tabs>
          <w:tab w:val="left" w:pos="270"/>
        </w:tabs>
        <w:spacing w:before="0" w:beforeAutospacing="0" w:after="0" w:afterAutospacing="0"/>
        <w:ind w:left="471"/>
        <w:jc w:val="both"/>
        <w:rPr>
          <w:color w:val="111111"/>
          <w:sz w:val="16"/>
          <w:szCs w:val="16"/>
        </w:rPr>
      </w:pPr>
    </w:p>
    <w:p w14:paraId="06A2175A" w14:textId="77777777" w:rsidR="00082481" w:rsidRDefault="00082481" w:rsidP="002D5882">
      <w:pPr>
        <w:pStyle w:val="BodyText"/>
        <w:spacing w:before="89" w:line="278" w:lineRule="auto"/>
        <w:ind w:right="117"/>
      </w:pPr>
    </w:p>
    <w:p w14:paraId="08E66821" w14:textId="77777777" w:rsidR="002D5882" w:rsidRPr="00745C83" w:rsidRDefault="002D5882" w:rsidP="002D5882">
      <w:pPr>
        <w:jc w:val="both"/>
        <w:rPr>
          <w:sz w:val="20"/>
          <w:szCs w:val="20"/>
          <w:lang w:eastAsia="en-IN"/>
        </w:rPr>
      </w:pPr>
    </w:p>
    <w:p w14:paraId="6DDF4A16" w14:textId="2821A828" w:rsidR="00422FFD" w:rsidRPr="002D5882" w:rsidRDefault="00422FFD" w:rsidP="002D5882">
      <w:pPr>
        <w:jc w:val="both"/>
        <w:rPr>
          <w:sz w:val="20"/>
          <w:szCs w:val="20"/>
        </w:rPr>
      </w:pPr>
    </w:p>
    <w:p w14:paraId="298EE457" w14:textId="77777777" w:rsidR="00422FFD" w:rsidRPr="002D5882" w:rsidRDefault="00422FFD" w:rsidP="008A35B2">
      <w:pPr>
        <w:jc w:val="both"/>
        <w:rPr>
          <w:sz w:val="20"/>
          <w:szCs w:val="20"/>
        </w:rPr>
      </w:pPr>
    </w:p>
    <w:p w14:paraId="2C8C6E7A" w14:textId="77777777" w:rsidR="008A35B2" w:rsidRPr="008A35B2" w:rsidRDefault="008A35B2" w:rsidP="008A35B2">
      <w:pPr>
        <w:jc w:val="both"/>
        <w:rPr>
          <w:sz w:val="20"/>
          <w:szCs w:val="20"/>
        </w:rPr>
      </w:pPr>
    </w:p>
    <w:p w14:paraId="0FC252AF" w14:textId="77777777" w:rsidR="008A35B2" w:rsidRPr="008A35B2" w:rsidRDefault="008A35B2" w:rsidP="008A35B2">
      <w:pPr>
        <w:jc w:val="both"/>
        <w:rPr>
          <w:sz w:val="20"/>
          <w:szCs w:val="20"/>
        </w:rPr>
      </w:pPr>
    </w:p>
    <w:p w14:paraId="0C40F399" w14:textId="77777777" w:rsidR="00E030A6" w:rsidRPr="008A35B2" w:rsidRDefault="00E030A6" w:rsidP="008A35B2">
      <w:pPr>
        <w:jc w:val="both"/>
        <w:rPr>
          <w:sz w:val="20"/>
          <w:szCs w:val="20"/>
        </w:rPr>
      </w:pPr>
    </w:p>
    <w:p w14:paraId="22C1DCCD" w14:textId="77777777" w:rsidR="00E030A6" w:rsidRPr="008A35B2" w:rsidRDefault="00E030A6" w:rsidP="00E030A6">
      <w:pPr>
        <w:spacing w:line="278" w:lineRule="auto"/>
        <w:rPr>
          <w:b/>
          <w:bCs/>
          <w:sz w:val="20"/>
          <w:szCs w:val="20"/>
        </w:rPr>
      </w:pPr>
    </w:p>
    <w:p w14:paraId="7C24184C" w14:textId="77777777" w:rsidR="00E030A6" w:rsidRPr="008A35B2" w:rsidRDefault="00E030A6" w:rsidP="00E030A6">
      <w:pPr>
        <w:spacing w:line="278" w:lineRule="auto"/>
        <w:rPr>
          <w:b/>
          <w:bCs/>
          <w:sz w:val="20"/>
          <w:szCs w:val="20"/>
        </w:rPr>
      </w:pPr>
    </w:p>
    <w:p w14:paraId="1514227C" w14:textId="77777777" w:rsidR="00E030A6" w:rsidRPr="008A35B2" w:rsidRDefault="00E030A6" w:rsidP="00E030A6">
      <w:pPr>
        <w:spacing w:line="278" w:lineRule="auto"/>
        <w:rPr>
          <w:b/>
          <w:bCs/>
          <w:sz w:val="20"/>
          <w:szCs w:val="20"/>
        </w:rPr>
      </w:pPr>
    </w:p>
    <w:p w14:paraId="6C53BB61" w14:textId="559B50A4" w:rsidR="00E030A6" w:rsidRPr="008A35B2" w:rsidRDefault="00E030A6" w:rsidP="00E030A6">
      <w:pPr>
        <w:spacing w:line="278" w:lineRule="auto"/>
        <w:rPr>
          <w:b/>
          <w:bCs/>
          <w:sz w:val="20"/>
          <w:szCs w:val="20"/>
        </w:rPr>
        <w:sectPr w:rsidR="00E030A6" w:rsidRPr="008A35B2" w:rsidSect="002478DB">
          <w:footerReference w:type="default" r:id="rId13"/>
          <w:type w:val="continuous"/>
          <w:pgSz w:w="12240" w:h="15840"/>
          <w:pgMar w:top="960" w:right="860" w:bottom="860" w:left="860" w:header="720" w:footer="720" w:gutter="0"/>
          <w:cols w:num="2" w:space="40"/>
        </w:sectPr>
      </w:pPr>
    </w:p>
    <w:p w14:paraId="50CEC474" w14:textId="77777777" w:rsidR="000A6484" w:rsidRPr="000A6484" w:rsidRDefault="000A6484" w:rsidP="000A6484">
      <w:pPr>
        <w:jc w:val="both"/>
      </w:pPr>
    </w:p>
    <w:sectPr w:rsidR="000A6484" w:rsidRPr="000A6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2F107" w14:textId="77777777" w:rsidR="000945D7" w:rsidRDefault="000945D7">
      <w:r>
        <w:separator/>
      </w:r>
    </w:p>
  </w:endnote>
  <w:endnote w:type="continuationSeparator" w:id="0">
    <w:p w14:paraId="06FECADD" w14:textId="77777777" w:rsidR="000945D7" w:rsidRDefault="0009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DB8D5" w14:textId="77777777" w:rsidR="00C60147" w:rsidRDefault="00C60147">
    <w:pPr>
      <w:pStyle w:val="BodyText"/>
      <w:spacing w:line="14" w:lineRule="auto"/>
      <w:ind w:left="0"/>
      <w:jc w:val="left"/>
      <w:rPr>
        <w:sz w:val="20"/>
      </w:rPr>
    </w:pPr>
    <w:r>
      <w:rPr>
        <w:noProof/>
      </w:rPr>
      <mc:AlternateContent>
        <mc:Choice Requires="wps">
          <w:drawing>
            <wp:anchor distT="0" distB="0" distL="114300" distR="114300" simplePos="0" relativeHeight="251661312" behindDoc="1" locked="0" layoutInCell="1" allowOverlap="1" wp14:anchorId="131AE0D0" wp14:editId="092F4B41">
              <wp:simplePos x="0" y="0"/>
              <wp:positionH relativeFrom="page">
                <wp:posOffset>3816985</wp:posOffset>
              </wp:positionH>
              <wp:positionV relativeFrom="page">
                <wp:posOffset>9495790</wp:posOffset>
              </wp:positionV>
              <wp:extent cx="138430" cy="158115"/>
              <wp:effectExtent l="0" t="0" r="0" b="0"/>
              <wp:wrapNone/>
              <wp:docPr id="19795892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1148C" w14:textId="19D31BCB" w:rsidR="00C60147" w:rsidRDefault="00C60147">
                          <w:pPr>
                            <w:pStyle w:val="BodyText"/>
                            <w:spacing w:before="15"/>
                            <w:ind w:left="60"/>
                            <w:jc w:val="left"/>
                          </w:pPr>
                          <w:r>
                            <w:fldChar w:fldCharType="begin"/>
                          </w:r>
                          <w:r>
                            <w:rPr>
                              <w:w w:val="107"/>
                            </w:rPr>
                            <w:instrText xml:space="preserve"> PAGE </w:instrText>
                          </w:r>
                          <w:r>
                            <w:fldChar w:fldCharType="separate"/>
                          </w:r>
                          <w:r w:rsidR="00AB3B87">
                            <w:rPr>
                              <w:noProof/>
                              <w:w w:val="107"/>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AE0D0" id="_x0000_t202" coordsize="21600,21600" o:spt="202" path="m,l,21600r21600,l21600,xe">
              <v:stroke joinstyle="miter"/>
              <v:path gradientshapeok="t" o:connecttype="rect"/>
            </v:shapetype>
            <v:shape id="Text Box 1" o:spid="_x0000_s1026" type="#_x0000_t202" style="position:absolute;margin-left:300.55pt;margin-top:747.7pt;width:10.9pt;height:12.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" filled="f" stroked="f">
              <v:textbox inset="0,0,0,0">
                <w:txbxContent>
                  <w:p w14:paraId="1D41148C" w14:textId="19D31BCB" w:rsidR="00C60147" w:rsidRDefault="00C60147">
                    <w:pPr>
                      <w:pStyle w:val="BodyText"/>
                      <w:spacing w:before="15"/>
                      <w:ind w:left="60"/>
                      <w:jc w:val="left"/>
                    </w:pPr>
                    <w:r>
                      <w:fldChar w:fldCharType="begin"/>
                    </w:r>
                    <w:r>
                      <w:rPr>
                        <w:w w:val="107"/>
                      </w:rPr>
                      <w:instrText xml:space="preserve"> PAGE </w:instrText>
                    </w:r>
                    <w:r>
                      <w:fldChar w:fldCharType="separate"/>
                    </w:r>
                    <w:r w:rsidR="00AB3B87">
                      <w:rPr>
                        <w:noProof/>
                        <w:w w:val="107"/>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D61EC" w14:textId="333435FF" w:rsidR="00C60147" w:rsidRDefault="00C60147">
    <w:pPr>
      <w:pStyle w:val="BodyText"/>
      <w:spacing w:line="14" w:lineRule="auto"/>
      <w:ind w:left="0"/>
      <w:jc w:val="left"/>
      <w:rPr>
        <w:sz w:val="20"/>
      </w:rPr>
    </w:pPr>
    <w:r>
      <w:rPr>
        <w:noProof/>
      </w:rPr>
      <mc:AlternateContent>
        <mc:Choice Requires="wps">
          <w:drawing>
            <wp:anchor distT="0" distB="0" distL="114300" distR="114300" simplePos="0" relativeHeight="251659264" behindDoc="1" locked="0" layoutInCell="1" allowOverlap="1" wp14:anchorId="6ED3F246" wp14:editId="7FD54139">
              <wp:simplePos x="0" y="0"/>
              <wp:positionH relativeFrom="page">
                <wp:posOffset>3816985</wp:posOffset>
              </wp:positionH>
              <wp:positionV relativeFrom="page">
                <wp:posOffset>9495790</wp:posOffset>
              </wp:positionV>
              <wp:extent cx="138430" cy="158115"/>
              <wp:effectExtent l="0" t="0" r="0" b="0"/>
              <wp:wrapNone/>
              <wp:docPr id="15583771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262C3" w14:textId="43A501B9" w:rsidR="00C60147" w:rsidRDefault="00C60147">
                          <w:pPr>
                            <w:pStyle w:val="BodyText"/>
                            <w:spacing w:before="15"/>
                            <w:ind w:left="60"/>
                            <w:jc w:val="left"/>
                          </w:pPr>
                          <w:r>
                            <w:fldChar w:fldCharType="begin"/>
                          </w:r>
                          <w:r>
                            <w:rPr>
                              <w:w w:val="107"/>
                            </w:rPr>
                            <w:instrText xml:space="preserve"> PAGE </w:instrText>
                          </w:r>
                          <w:r>
                            <w:fldChar w:fldCharType="separate"/>
                          </w:r>
                          <w:r w:rsidR="00AB3B87">
                            <w:rPr>
                              <w:noProof/>
                              <w:w w:val="107"/>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3F246" id="_x0000_t202" coordsize="21600,21600" o:spt="202" path="m,l,21600r21600,l21600,xe">
              <v:stroke joinstyle="miter"/>
              <v:path gradientshapeok="t" o:connecttype="rect"/>
            </v:shapetype>
            <v:shape id="_x0000_s1027" type="#_x0000_t202" style="position:absolute;margin-left:300.55pt;margin-top:747.7pt;width:10.9pt;height:12.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" filled="f" stroked="f">
              <v:textbox inset="0,0,0,0">
                <w:txbxContent>
                  <w:p w14:paraId="540262C3" w14:textId="43A501B9" w:rsidR="00C60147" w:rsidRDefault="00C60147">
                    <w:pPr>
                      <w:pStyle w:val="BodyText"/>
                      <w:spacing w:before="15"/>
                      <w:ind w:left="60"/>
                      <w:jc w:val="left"/>
                    </w:pPr>
                    <w:r>
                      <w:fldChar w:fldCharType="begin"/>
                    </w:r>
                    <w:r>
                      <w:rPr>
                        <w:w w:val="107"/>
                      </w:rPr>
                      <w:instrText xml:space="preserve"> PAGE </w:instrText>
                    </w:r>
                    <w:r>
                      <w:fldChar w:fldCharType="separate"/>
                    </w:r>
                    <w:r w:rsidR="00AB3B87">
                      <w:rPr>
                        <w:noProof/>
                        <w:w w:val="107"/>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5AA49" w14:textId="77777777" w:rsidR="000945D7" w:rsidRDefault="000945D7">
      <w:r>
        <w:separator/>
      </w:r>
    </w:p>
  </w:footnote>
  <w:footnote w:type="continuationSeparator" w:id="0">
    <w:p w14:paraId="4966E3C9" w14:textId="77777777" w:rsidR="000945D7" w:rsidRDefault="00094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CB3"/>
    <w:multiLevelType w:val="hybridMultilevel"/>
    <w:tmpl w:val="C1624880"/>
    <w:lvl w:ilvl="0" w:tplc="B5169C14">
      <w:start w:val="1"/>
      <w:numFmt w:val="upperRoman"/>
      <w:lvlText w:val="%1."/>
      <w:lvlJc w:val="left"/>
      <w:pPr>
        <w:ind w:left="1961" w:hanging="221"/>
        <w:jc w:val="right"/>
      </w:pPr>
      <w:rPr>
        <w:rFonts w:ascii="Times New Roman" w:eastAsia="Times New Roman" w:hAnsi="Times New Roman" w:cs="Times New Roman" w:hint="default"/>
        <w:spacing w:val="0"/>
        <w:w w:val="106"/>
        <w:sz w:val="18"/>
        <w:szCs w:val="18"/>
        <w:lang w:val="en-US" w:eastAsia="en-US" w:bidi="ar-SA"/>
      </w:rPr>
    </w:lvl>
    <w:lvl w:ilvl="1" w:tplc="11927936">
      <w:numFmt w:val="bullet"/>
      <w:lvlText w:val="•"/>
      <w:lvlJc w:val="left"/>
      <w:pPr>
        <w:ind w:left="2282" w:hanging="221"/>
      </w:pPr>
      <w:rPr>
        <w:rFonts w:hint="default"/>
        <w:lang w:val="en-US" w:eastAsia="en-US" w:bidi="ar-SA"/>
      </w:rPr>
    </w:lvl>
    <w:lvl w:ilvl="2" w:tplc="87FA20EA">
      <w:numFmt w:val="bullet"/>
      <w:lvlText w:val="•"/>
      <w:lvlJc w:val="left"/>
      <w:pPr>
        <w:ind w:left="2604" w:hanging="221"/>
      </w:pPr>
      <w:rPr>
        <w:rFonts w:hint="default"/>
        <w:lang w:val="en-US" w:eastAsia="en-US" w:bidi="ar-SA"/>
      </w:rPr>
    </w:lvl>
    <w:lvl w:ilvl="3" w:tplc="2E422554">
      <w:numFmt w:val="bullet"/>
      <w:lvlText w:val="•"/>
      <w:lvlJc w:val="left"/>
      <w:pPr>
        <w:ind w:left="2926" w:hanging="221"/>
      </w:pPr>
      <w:rPr>
        <w:rFonts w:hint="default"/>
        <w:lang w:val="en-US" w:eastAsia="en-US" w:bidi="ar-SA"/>
      </w:rPr>
    </w:lvl>
    <w:lvl w:ilvl="4" w:tplc="5EA8ED86">
      <w:numFmt w:val="bullet"/>
      <w:lvlText w:val="•"/>
      <w:lvlJc w:val="left"/>
      <w:pPr>
        <w:ind w:left="3248" w:hanging="221"/>
      </w:pPr>
      <w:rPr>
        <w:rFonts w:hint="default"/>
        <w:lang w:val="en-US" w:eastAsia="en-US" w:bidi="ar-SA"/>
      </w:rPr>
    </w:lvl>
    <w:lvl w:ilvl="5" w:tplc="C34E3DDE">
      <w:numFmt w:val="bullet"/>
      <w:lvlText w:val="•"/>
      <w:lvlJc w:val="left"/>
      <w:pPr>
        <w:ind w:left="3570" w:hanging="221"/>
      </w:pPr>
      <w:rPr>
        <w:rFonts w:hint="default"/>
        <w:lang w:val="en-US" w:eastAsia="en-US" w:bidi="ar-SA"/>
      </w:rPr>
    </w:lvl>
    <w:lvl w:ilvl="6" w:tplc="E542BE50">
      <w:numFmt w:val="bullet"/>
      <w:lvlText w:val="•"/>
      <w:lvlJc w:val="left"/>
      <w:pPr>
        <w:ind w:left="3892" w:hanging="221"/>
      </w:pPr>
      <w:rPr>
        <w:rFonts w:hint="default"/>
        <w:lang w:val="en-US" w:eastAsia="en-US" w:bidi="ar-SA"/>
      </w:rPr>
    </w:lvl>
    <w:lvl w:ilvl="7" w:tplc="934AF964">
      <w:numFmt w:val="bullet"/>
      <w:lvlText w:val="•"/>
      <w:lvlJc w:val="left"/>
      <w:pPr>
        <w:ind w:left="4214" w:hanging="221"/>
      </w:pPr>
      <w:rPr>
        <w:rFonts w:hint="default"/>
        <w:lang w:val="en-US" w:eastAsia="en-US" w:bidi="ar-SA"/>
      </w:rPr>
    </w:lvl>
    <w:lvl w:ilvl="8" w:tplc="04FC9ED0">
      <w:numFmt w:val="bullet"/>
      <w:lvlText w:val="•"/>
      <w:lvlJc w:val="left"/>
      <w:pPr>
        <w:ind w:left="4536" w:hanging="221"/>
      </w:pPr>
      <w:rPr>
        <w:rFonts w:hint="default"/>
        <w:lang w:val="en-US" w:eastAsia="en-US" w:bidi="ar-SA"/>
      </w:rPr>
    </w:lvl>
  </w:abstractNum>
  <w:abstractNum w:abstractNumId="1" w15:restartNumberingAfterBreak="0">
    <w:nsid w:val="170F45B8"/>
    <w:multiLevelType w:val="hybridMultilevel"/>
    <w:tmpl w:val="C6CAB732"/>
    <w:lvl w:ilvl="0" w:tplc="AEF21AAA">
      <w:start w:val="1"/>
      <w:numFmt w:val="decimal"/>
      <w:lvlText w:val="[%1]"/>
      <w:lvlJc w:val="left"/>
      <w:pPr>
        <w:ind w:left="471" w:hanging="275"/>
        <w:jc w:val="right"/>
      </w:pPr>
      <w:rPr>
        <w:rFonts w:ascii="Times New Roman" w:eastAsia="Times New Roman" w:hAnsi="Times New Roman" w:cs="Times New Roman" w:hint="default"/>
        <w:w w:val="103"/>
        <w:sz w:val="14"/>
        <w:szCs w:val="14"/>
        <w:lang w:val="en-US" w:eastAsia="en-US" w:bidi="ar-SA"/>
      </w:rPr>
    </w:lvl>
    <w:lvl w:ilvl="1" w:tplc="49EC676E">
      <w:numFmt w:val="bullet"/>
      <w:lvlText w:val="•"/>
      <w:lvlJc w:val="left"/>
      <w:pPr>
        <w:ind w:left="957" w:hanging="275"/>
      </w:pPr>
      <w:rPr>
        <w:rFonts w:hint="default"/>
        <w:lang w:val="en-US" w:eastAsia="en-US" w:bidi="ar-SA"/>
      </w:rPr>
    </w:lvl>
    <w:lvl w:ilvl="2" w:tplc="653C3964">
      <w:numFmt w:val="bullet"/>
      <w:lvlText w:val="•"/>
      <w:lvlJc w:val="left"/>
      <w:pPr>
        <w:ind w:left="1435" w:hanging="275"/>
      </w:pPr>
      <w:rPr>
        <w:rFonts w:hint="default"/>
        <w:lang w:val="en-US" w:eastAsia="en-US" w:bidi="ar-SA"/>
      </w:rPr>
    </w:lvl>
    <w:lvl w:ilvl="3" w:tplc="1E76202A">
      <w:numFmt w:val="bullet"/>
      <w:lvlText w:val="•"/>
      <w:lvlJc w:val="left"/>
      <w:pPr>
        <w:ind w:left="1913" w:hanging="275"/>
      </w:pPr>
      <w:rPr>
        <w:rFonts w:hint="default"/>
        <w:lang w:val="en-US" w:eastAsia="en-US" w:bidi="ar-SA"/>
      </w:rPr>
    </w:lvl>
    <w:lvl w:ilvl="4" w:tplc="3740DCCA">
      <w:numFmt w:val="bullet"/>
      <w:lvlText w:val="•"/>
      <w:lvlJc w:val="left"/>
      <w:pPr>
        <w:ind w:left="2391" w:hanging="275"/>
      </w:pPr>
      <w:rPr>
        <w:rFonts w:hint="default"/>
        <w:lang w:val="en-US" w:eastAsia="en-US" w:bidi="ar-SA"/>
      </w:rPr>
    </w:lvl>
    <w:lvl w:ilvl="5" w:tplc="C0CA9D4C">
      <w:numFmt w:val="bullet"/>
      <w:lvlText w:val="•"/>
      <w:lvlJc w:val="left"/>
      <w:pPr>
        <w:ind w:left="2869" w:hanging="275"/>
      </w:pPr>
      <w:rPr>
        <w:rFonts w:hint="default"/>
        <w:lang w:val="en-US" w:eastAsia="en-US" w:bidi="ar-SA"/>
      </w:rPr>
    </w:lvl>
    <w:lvl w:ilvl="6" w:tplc="1A688770">
      <w:numFmt w:val="bullet"/>
      <w:lvlText w:val="•"/>
      <w:lvlJc w:val="left"/>
      <w:pPr>
        <w:ind w:left="3347" w:hanging="275"/>
      </w:pPr>
      <w:rPr>
        <w:rFonts w:hint="default"/>
        <w:lang w:val="en-US" w:eastAsia="en-US" w:bidi="ar-SA"/>
      </w:rPr>
    </w:lvl>
    <w:lvl w:ilvl="7" w:tplc="5EDC89F8">
      <w:numFmt w:val="bullet"/>
      <w:lvlText w:val="•"/>
      <w:lvlJc w:val="left"/>
      <w:pPr>
        <w:ind w:left="3825" w:hanging="275"/>
      </w:pPr>
      <w:rPr>
        <w:rFonts w:hint="default"/>
        <w:lang w:val="en-US" w:eastAsia="en-US" w:bidi="ar-SA"/>
      </w:rPr>
    </w:lvl>
    <w:lvl w:ilvl="8" w:tplc="6B1A4A86">
      <w:numFmt w:val="bullet"/>
      <w:lvlText w:val="•"/>
      <w:lvlJc w:val="left"/>
      <w:pPr>
        <w:ind w:left="4303" w:hanging="275"/>
      </w:pPr>
      <w:rPr>
        <w:rFonts w:hint="default"/>
        <w:lang w:val="en-US" w:eastAsia="en-US" w:bidi="ar-SA"/>
      </w:rPr>
    </w:lvl>
  </w:abstractNum>
  <w:abstractNum w:abstractNumId="2" w15:restartNumberingAfterBreak="0">
    <w:nsid w:val="1BE67BFE"/>
    <w:multiLevelType w:val="hybridMultilevel"/>
    <w:tmpl w:val="2826A076"/>
    <w:lvl w:ilvl="0" w:tplc="FFFFFFFF">
      <w:start w:val="1"/>
      <w:numFmt w:val="upperRoman"/>
      <w:lvlText w:val="%1."/>
      <w:lvlJc w:val="left"/>
      <w:pPr>
        <w:ind w:left="3764" w:hanging="221"/>
        <w:jc w:val="right"/>
      </w:pPr>
      <w:rPr>
        <w:rFonts w:ascii="Times New Roman" w:eastAsia="Times New Roman" w:hAnsi="Times New Roman" w:cs="Times New Roman" w:hint="default"/>
        <w:spacing w:val="0"/>
        <w:w w:val="106"/>
        <w:sz w:val="18"/>
        <w:szCs w:val="18"/>
        <w:lang w:val="en-US" w:eastAsia="en-US" w:bidi="ar-SA"/>
      </w:rPr>
    </w:lvl>
    <w:lvl w:ilvl="1" w:tplc="FFFFFFFF">
      <w:numFmt w:val="bullet"/>
      <w:lvlText w:val="•"/>
      <w:lvlJc w:val="left"/>
      <w:pPr>
        <w:ind w:left="2282" w:hanging="221"/>
      </w:pPr>
      <w:rPr>
        <w:rFonts w:hint="default"/>
        <w:lang w:val="en-US" w:eastAsia="en-US" w:bidi="ar-SA"/>
      </w:rPr>
    </w:lvl>
    <w:lvl w:ilvl="2" w:tplc="FFFFFFFF">
      <w:numFmt w:val="bullet"/>
      <w:lvlText w:val="•"/>
      <w:lvlJc w:val="left"/>
      <w:pPr>
        <w:ind w:left="2604" w:hanging="221"/>
      </w:pPr>
      <w:rPr>
        <w:rFonts w:hint="default"/>
        <w:lang w:val="en-US" w:eastAsia="en-US" w:bidi="ar-SA"/>
      </w:rPr>
    </w:lvl>
    <w:lvl w:ilvl="3" w:tplc="FFFFFFFF">
      <w:numFmt w:val="bullet"/>
      <w:lvlText w:val="•"/>
      <w:lvlJc w:val="left"/>
      <w:pPr>
        <w:ind w:left="2926" w:hanging="221"/>
      </w:pPr>
      <w:rPr>
        <w:rFonts w:hint="default"/>
        <w:lang w:val="en-US" w:eastAsia="en-US" w:bidi="ar-SA"/>
      </w:rPr>
    </w:lvl>
    <w:lvl w:ilvl="4" w:tplc="FFFFFFFF">
      <w:numFmt w:val="bullet"/>
      <w:lvlText w:val="•"/>
      <w:lvlJc w:val="left"/>
      <w:pPr>
        <w:ind w:left="3248" w:hanging="221"/>
      </w:pPr>
      <w:rPr>
        <w:rFonts w:hint="default"/>
        <w:lang w:val="en-US" w:eastAsia="en-US" w:bidi="ar-SA"/>
      </w:rPr>
    </w:lvl>
    <w:lvl w:ilvl="5" w:tplc="FFFFFFFF">
      <w:numFmt w:val="bullet"/>
      <w:lvlText w:val="•"/>
      <w:lvlJc w:val="left"/>
      <w:pPr>
        <w:ind w:left="3570" w:hanging="221"/>
      </w:pPr>
      <w:rPr>
        <w:rFonts w:hint="default"/>
        <w:lang w:val="en-US" w:eastAsia="en-US" w:bidi="ar-SA"/>
      </w:rPr>
    </w:lvl>
    <w:lvl w:ilvl="6" w:tplc="FFFFFFFF">
      <w:numFmt w:val="bullet"/>
      <w:lvlText w:val="•"/>
      <w:lvlJc w:val="left"/>
      <w:pPr>
        <w:ind w:left="3892" w:hanging="221"/>
      </w:pPr>
      <w:rPr>
        <w:rFonts w:hint="default"/>
        <w:lang w:val="en-US" w:eastAsia="en-US" w:bidi="ar-SA"/>
      </w:rPr>
    </w:lvl>
    <w:lvl w:ilvl="7" w:tplc="FFFFFFFF">
      <w:numFmt w:val="bullet"/>
      <w:lvlText w:val="•"/>
      <w:lvlJc w:val="left"/>
      <w:pPr>
        <w:ind w:left="4214" w:hanging="221"/>
      </w:pPr>
      <w:rPr>
        <w:rFonts w:hint="default"/>
        <w:lang w:val="en-US" w:eastAsia="en-US" w:bidi="ar-SA"/>
      </w:rPr>
    </w:lvl>
    <w:lvl w:ilvl="8" w:tplc="FFFFFFFF">
      <w:numFmt w:val="bullet"/>
      <w:lvlText w:val="•"/>
      <w:lvlJc w:val="left"/>
      <w:pPr>
        <w:ind w:left="4536" w:hanging="221"/>
      </w:pPr>
      <w:rPr>
        <w:rFonts w:hint="default"/>
        <w:lang w:val="en-US" w:eastAsia="en-US" w:bidi="ar-SA"/>
      </w:rPr>
    </w:lvl>
  </w:abstractNum>
  <w:abstractNum w:abstractNumId="3" w15:restartNumberingAfterBreak="0">
    <w:nsid w:val="45FF1490"/>
    <w:multiLevelType w:val="hybridMultilevel"/>
    <w:tmpl w:val="2826A076"/>
    <w:lvl w:ilvl="0" w:tplc="37A8B740">
      <w:start w:val="1"/>
      <w:numFmt w:val="upperRoman"/>
      <w:lvlText w:val="%1."/>
      <w:lvlJc w:val="left"/>
      <w:pPr>
        <w:ind w:left="3764" w:hanging="221"/>
        <w:jc w:val="right"/>
      </w:pPr>
      <w:rPr>
        <w:rFonts w:ascii="Times New Roman" w:eastAsia="Times New Roman" w:hAnsi="Times New Roman" w:cs="Times New Roman" w:hint="default"/>
        <w:spacing w:val="0"/>
        <w:w w:val="106"/>
        <w:sz w:val="18"/>
        <w:szCs w:val="18"/>
        <w:lang w:val="en-US" w:eastAsia="en-US" w:bidi="ar-SA"/>
      </w:rPr>
    </w:lvl>
    <w:lvl w:ilvl="1" w:tplc="800023FC">
      <w:numFmt w:val="bullet"/>
      <w:lvlText w:val="•"/>
      <w:lvlJc w:val="left"/>
      <w:pPr>
        <w:ind w:left="2282" w:hanging="221"/>
      </w:pPr>
      <w:rPr>
        <w:rFonts w:hint="default"/>
        <w:lang w:val="en-US" w:eastAsia="en-US" w:bidi="ar-SA"/>
      </w:rPr>
    </w:lvl>
    <w:lvl w:ilvl="2" w:tplc="FD761B82">
      <w:numFmt w:val="bullet"/>
      <w:lvlText w:val="•"/>
      <w:lvlJc w:val="left"/>
      <w:pPr>
        <w:ind w:left="2604" w:hanging="221"/>
      </w:pPr>
      <w:rPr>
        <w:rFonts w:hint="default"/>
        <w:lang w:val="en-US" w:eastAsia="en-US" w:bidi="ar-SA"/>
      </w:rPr>
    </w:lvl>
    <w:lvl w:ilvl="3" w:tplc="BA721B0E">
      <w:numFmt w:val="bullet"/>
      <w:lvlText w:val="•"/>
      <w:lvlJc w:val="left"/>
      <w:pPr>
        <w:ind w:left="2926" w:hanging="221"/>
      </w:pPr>
      <w:rPr>
        <w:rFonts w:hint="default"/>
        <w:lang w:val="en-US" w:eastAsia="en-US" w:bidi="ar-SA"/>
      </w:rPr>
    </w:lvl>
    <w:lvl w:ilvl="4" w:tplc="6EAEA020">
      <w:numFmt w:val="bullet"/>
      <w:lvlText w:val="•"/>
      <w:lvlJc w:val="left"/>
      <w:pPr>
        <w:ind w:left="3248" w:hanging="221"/>
      </w:pPr>
      <w:rPr>
        <w:rFonts w:hint="default"/>
        <w:lang w:val="en-US" w:eastAsia="en-US" w:bidi="ar-SA"/>
      </w:rPr>
    </w:lvl>
    <w:lvl w:ilvl="5" w:tplc="5BAAF0C2">
      <w:numFmt w:val="bullet"/>
      <w:lvlText w:val="•"/>
      <w:lvlJc w:val="left"/>
      <w:pPr>
        <w:ind w:left="3570" w:hanging="221"/>
      </w:pPr>
      <w:rPr>
        <w:rFonts w:hint="default"/>
        <w:lang w:val="en-US" w:eastAsia="en-US" w:bidi="ar-SA"/>
      </w:rPr>
    </w:lvl>
    <w:lvl w:ilvl="6" w:tplc="EC5657E4">
      <w:numFmt w:val="bullet"/>
      <w:lvlText w:val="•"/>
      <w:lvlJc w:val="left"/>
      <w:pPr>
        <w:ind w:left="3892" w:hanging="221"/>
      </w:pPr>
      <w:rPr>
        <w:rFonts w:hint="default"/>
        <w:lang w:val="en-US" w:eastAsia="en-US" w:bidi="ar-SA"/>
      </w:rPr>
    </w:lvl>
    <w:lvl w:ilvl="7" w:tplc="17128672">
      <w:numFmt w:val="bullet"/>
      <w:lvlText w:val="•"/>
      <w:lvlJc w:val="left"/>
      <w:pPr>
        <w:ind w:left="4214" w:hanging="221"/>
      </w:pPr>
      <w:rPr>
        <w:rFonts w:hint="default"/>
        <w:lang w:val="en-US" w:eastAsia="en-US" w:bidi="ar-SA"/>
      </w:rPr>
    </w:lvl>
    <w:lvl w:ilvl="8" w:tplc="333AA426">
      <w:numFmt w:val="bullet"/>
      <w:lvlText w:val="•"/>
      <w:lvlJc w:val="left"/>
      <w:pPr>
        <w:ind w:left="4536" w:hanging="221"/>
      </w:pPr>
      <w:rPr>
        <w:rFonts w:hint="default"/>
        <w:lang w:val="en-US" w:eastAsia="en-US" w:bidi="ar-SA"/>
      </w:rPr>
    </w:lvl>
  </w:abstractNum>
  <w:abstractNum w:abstractNumId="4" w15:restartNumberingAfterBreak="0">
    <w:nsid w:val="49323840"/>
    <w:multiLevelType w:val="multilevel"/>
    <w:tmpl w:val="49FC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63D3E"/>
    <w:multiLevelType w:val="multilevel"/>
    <w:tmpl w:val="5922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911CE"/>
    <w:multiLevelType w:val="hybridMultilevel"/>
    <w:tmpl w:val="793A468E"/>
    <w:lvl w:ilvl="0" w:tplc="37284F3A">
      <w:start w:val="1"/>
      <w:numFmt w:val="upperRoman"/>
      <w:lvlText w:val="%1."/>
      <w:lvlJc w:val="left"/>
      <w:pPr>
        <w:ind w:left="1961" w:hanging="221"/>
        <w:jc w:val="right"/>
      </w:pPr>
      <w:rPr>
        <w:rFonts w:ascii="Times New Roman" w:eastAsia="Times New Roman" w:hAnsi="Times New Roman" w:cs="Times New Roman" w:hint="default"/>
        <w:spacing w:val="0"/>
        <w:w w:val="106"/>
        <w:sz w:val="18"/>
        <w:szCs w:val="18"/>
        <w:lang w:val="en-US" w:eastAsia="en-US" w:bidi="ar-SA"/>
      </w:rPr>
    </w:lvl>
    <w:lvl w:ilvl="1" w:tplc="FCEC99E8">
      <w:numFmt w:val="bullet"/>
      <w:lvlText w:val="•"/>
      <w:lvlJc w:val="left"/>
      <w:pPr>
        <w:ind w:left="2282" w:hanging="221"/>
      </w:pPr>
      <w:rPr>
        <w:rFonts w:hint="default"/>
        <w:lang w:val="en-US" w:eastAsia="en-US" w:bidi="ar-SA"/>
      </w:rPr>
    </w:lvl>
    <w:lvl w:ilvl="2" w:tplc="053877BC">
      <w:numFmt w:val="bullet"/>
      <w:lvlText w:val="•"/>
      <w:lvlJc w:val="left"/>
      <w:pPr>
        <w:ind w:left="2604" w:hanging="221"/>
      </w:pPr>
      <w:rPr>
        <w:rFonts w:hint="default"/>
        <w:lang w:val="en-US" w:eastAsia="en-US" w:bidi="ar-SA"/>
      </w:rPr>
    </w:lvl>
    <w:lvl w:ilvl="3" w:tplc="F58A463C">
      <w:numFmt w:val="bullet"/>
      <w:lvlText w:val="•"/>
      <w:lvlJc w:val="left"/>
      <w:pPr>
        <w:ind w:left="2926" w:hanging="221"/>
      </w:pPr>
      <w:rPr>
        <w:rFonts w:hint="default"/>
        <w:lang w:val="en-US" w:eastAsia="en-US" w:bidi="ar-SA"/>
      </w:rPr>
    </w:lvl>
    <w:lvl w:ilvl="4" w:tplc="CF441736">
      <w:numFmt w:val="bullet"/>
      <w:lvlText w:val="•"/>
      <w:lvlJc w:val="left"/>
      <w:pPr>
        <w:ind w:left="3248" w:hanging="221"/>
      </w:pPr>
      <w:rPr>
        <w:rFonts w:hint="default"/>
        <w:lang w:val="en-US" w:eastAsia="en-US" w:bidi="ar-SA"/>
      </w:rPr>
    </w:lvl>
    <w:lvl w:ilvl="5" w:tplc="CA3CFA2A">
      <w:numFmt w:val="bullet"/>
      <w:lvlText w:val="•"/>
      <w:lvlJc w:val="left"/>
      <w:pPr>
        <w:ind w:left="3570" w:hanging="221"/>
      </w:pPr>
      <w:rPr>
        <w:rFonts w:hint="default"/>
        <w:lang w:val="en-US" w:eastAsia="en-US" w:bidi="ar-SA"/>
      </w:rPr>
    </w:lvl>
    <w:lvl w:ilvl="6" w:tplc="A6C68B20">
      <w:numFmt w:val="bullet"/>
      <w:lvlText w:val="•"/>
      <w:lvlJc w:val="left"/>
      <w:pPr>
        <w:ind w:left="3892" w:hanging="221"/>
      </w:pPr>
      <w:rPr>
        <w:rFonts w:hint="default"/>
        <w:lang w:val="en-US" w:eastAsia="en-US" w:bidi="ar-SA"/>
      </w:rPr>
    </w:lvl>
    <w:lvl w:ilvl="7" w:tplc="D6062DCC">
      <w:numFmt w:val="bullet"/>
      <w:lvlText w:val="•"/>
      <w:lvlJc w:val="left"/>
      <w:pPr>
        <w:ind w:left="4214" w:hanging="221"/>
      </w:pPr>
      <w:rPr>
        <w:rFonts w:hint="default"/>
        <w:lang w:val="en-US" w:eastAsia="en-US" w:bidi="ar-SA"/>
      </w:rPr>
    </w:lvl>
    <w:lvl w:ilvl="8" w:tplc="43220248">
      <w:numFmt w:val="bullet"/>
      <w:lvlText w:val="•"/>
      <w:lvlJc w:val="left"/>
      <w:pPr>
        <w:ind w:left="4536" w:hanging="221"/>
      </w:pPr>
      <w:rPr>
        <w:rFonts w:hint="default"/>
        <w:lang w:val="en-US" w:eastAsia="en-US" w:bidi="ar-SA"/>
      </w:rPr>
    </w:lvl>
  </w:abstractNum>
  <w:abstractNum w:abstractNumId="7" w15:restartNumberingAfterBreak="0">
    <w:nsid w:val="5CAB666C"/>
    <w:multiLevelType w:val="hybridMultilevel"/>
    <w:tmpl w:val="C1624880"/>
    <w:lvl w:ilvl="0" w:tplc="FFFFFFFF">
      <w:start w:val="1"/>
      <w:numFmt w:val="upperRoman"/>
      <w:lvlText w:val="%1."/>
      <w:lvlJc w:val="left"/>
      <w:pPr>
        <w:ind w:left="1961" w:hanging="221"/>
        <w:jc w:val="right"/>
      </w:pPr>
      <w:rPr>
        <w:rFonts w:ascii="Times New Roman" w:eastAsia="Times New Roman" w:hAnsi="Times New Roman" w:cs="Times New Roman" w:hint="default"/>
        <w:spacing w:val="0"/>
        <w:w w:val="106"/>
        <w:sz w:val="18"/>
        <w:szCs w:val="18"/>
        <w:lang w:val="en-US" w:eastAsia="en-US" w:bidi="ar-SA"/>
      </w:rPr>
    </w:lvl>
    <w:lvl w:ilvl="1" w:tplc="FFFFFFFF">
      <w:numFmt w:val="bullet"/>
      <w:lvlText w:val="•"/>
      <w:lvlJc w:val="left"/>
      <w:pPr>
        <w:ind w:left="2282" w:hanging="221"/>
      </w:pPr>
      <w:rPr>
        <w:rFonts w:hint="default"/>
        <w:lang w:val="en-US" w:eastAsia="en-US" w:bidi="ar-SA"/>
      </w:rPr>
    </w:lvl>
    <w:lvl w:ilvl="2" w:tplc="FFFFFFFF">
      <w:numFmt w:val="bullet"/>
      <w:lvlText w:val="•"/>
      <w:lvlJc w:val="left"/>
      <w:pPr>
        <w:ind w:left="2604" w:hanging="221"/>
      </w:pPr>
      <w:rPr>
        <w:rFonts w:hint="default"/>
        <w:lang w:val="en-US" w:eastAsia="en-US" w:bidi="ar-SA"/>
      </w:rPr>
    </w:lvl>
    <w:lvl w:ilvl="3" w:tplc="FFFFFFFF">
      <w:numFmt w:val="bullet"/>
      <w:lvlText w:val="•"/>
      <w:lvlJc w:val="left"/>
      <w:pPr>
        <w:ind w:left="2926" w:hanging="221"/>
      </w:pPr>
      <w:rPr>
        <w:rFonts w:hint="default"/>
        <w:lang w:val="en-US" w:eastAsia="en-US" w:bidi="ar-SA"/>
      </w:rPr>
    </w:lvl>
    <w:lvl w:ilvl="4" w:tplc="FFFFFFFF">
      <w:numFmt w:val="bullet"/>
      <w:lvlText w:val="•"/>
      <w:lvlJc w:val="left"/>
      <w:pPr>
        <w:ind w:left="3248" w:hanging="221"/>
      </w:pPr>
      <w:rPr>
        <w:rFonts w:hint="default"/>
        <w:lang w:val="en-US" w:eastAsia="en-US" w:bidi="ar-SA"/>
      </w:rPr>
    </w:lvl>
    <w:lvl w:ilvl="5" w:tplc="FFFFFFFF">
      <w:numFmt w:val="bullet"/>
      <w:lvlText w:val="•"/>
      <w:lvlJc w:val="left"/>
      <w:pPr>
        <w:ind w:left="3570" w:hanging="221"/>
      </w:pPr>
      <w:rPr>
        <w:rFonts w:hint="default"/>
        <w:lang w:val="en-US" w:eastAsia="en-US" w:bidi="ar-SA"/>
      </w:rPr>
    </w:lvl>
    <w:lvl w:ilvl="6" w:tplc="FFFFFFFF">
      <w:numFmt w:val="bullet"/>
      <w:lvlText w:val="•"/>
      <w:lvlJc w:val="left"/>
      <w:pPr>
        <w:ind w:left="3892" w:hanging="221"/>
      </w:pPr>
      <w:rPr>
        <w:rFonts w:hint="default"/>
        <w:lang w:val="en-US" w:eastAsia="en-US" w:bidi="ar-SA"/>
      </w:rPr>
    </w:lvl>
    <w:lvl w:ilvl="7" w:tplc="FFFFFFFF">
      <w:numFmt w:val="bullet"/>
      <w:lvlText w:val="•"/>
      <w:lvlJc w:val="left"/>
      <w:pPr>
        <w:ind w:left="4214" w:hanging="221"/>
      </w:pPr>
      <w:rPr>
        <w:rFonts w:hint="default"/>
        <w:lang w:val="en-US" w:eastAsia="en-US" w:bidi="ar-SA"/>
      </w:rPr>
    </w:lvl>
    <w:lvl w:ilvl="8" w:tplc="FFFFFFFF">
      <w:numFmt w:val="bullet"/>
      <w:lvlText w:val="•"/>
      <w:lvlJc w:val="left"/>
      <w:pPr>
        <w:ind w:left="4536" w:hanging="221"/>
      </w:pPr>
      <w:rPr>
        <w:rFonts w:hint="default"/>
        <w:lang w:val="en-US" w:eastAsia="en-US" w:bidi="ar-SA"/>
      </w:rPr>
    </w:lvl>
  </w:abstractNum>
  <w:num w:numId="1">
    <w:abstractNumId w:val="0"/>
  </w:num>
  <w:num w:numId="2">
    <w:abstractNumId w:val="7"/>
  </w:num>
  <w:num w:numId="3">
    <w:abstractNumId w:val="4"/>
  </w:num>
  <w:num w:numId="4">
    <w:abstractNumId w:val="6"/>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84"/>
    <w:rsid w:val="00082481"/>
    <w:rsid w:val="000945D7"/>
    <w:rsid w:val="000A6484"/>
    <w:rsid w:val="000B6162"/>
    <w:rsid w:val="001E6593"/>
    <w:rsid w:val="00224C1B"/>
    <w:rsid w:val="002478DB"/>
    <w:rsid w:val="00282BB1"/>
    <w:rsid w:val="002D5882"/>
    <w:rsid w:val="002E4FAF"/>
    <w:rsid w:val="003150F2"/>
    <w:rsid w:val="00390C9B"/>
    <w:rsid w:val="00422FFD"/>
    <w:rsid w:val="0048153B"/>
    <w:rsid w:val="004B0AE2"/>
    <w:rsid w:val="00546ABE"/>
    <w:rsid w:val="0061642C"/>
    <w:rsid w:val="00646140"/>
    <w:rsid w:val="00670C9C"/>
    <w:rsid w:val="00691FBB"/>
    <w:rsid w:val="007060C0"/>
    <w:rsid w:val="007103C2"/>
    <w:rsid w:val="00756DF9"/>
    <w:rsid w:val="007659AE"/>
    <w:rsid w:val="007A09A8"/>
    <w:rsid w:val="0081318D"/>
    <w:rsid w:val="00825833"/>
    <w:rsid w:val="00826689"/>
    <w:rsid w:val="008A35B2"/>
    <w:rsid w:val="008B76AD"/>
    <w:rsid w:val="008E6B30"/>
    <w:rsid w:val="009A65A1"/>
    <w:rsid w:val="009C4015"/>
    <w:rsid w:val="009F2490"/>
    <w:rsid w:val="009F7AE8"/>
    <w:rsid w:val="00A760B8"/>
    <w:rsid w:val="00AB3B87"/>
    <w:rsid w:val="00B1726F"/>
    <w:rsid w:val="00B3384A"/>
    <w:rsid w:val="00B453CB"/>
    <w:rsid w:val="00B5285D"/>
    <w:rsid w:val="00BB09A0"/>
    <w:rsid w:val="00C26576"/>
    <w:rsid w:val="00C43A4E"/>
    <w:rsid w:val="00C60147"/>
    <w:rsid w:val="00D93A8A"/>
    <w:rsid w:val="00E030A6"/>
    <w:rsid w:val="00E97E48"/>
    <w:rsid w:val="00EB02FC"/>
    <w:rsid w:val="00EC4631"/>
    <w:rsid w:val="00F06337"/>
    <w:rsid w:val="00F34837"/>
    <w:rsid w:val="00F968A3"/>
    <w:rsid w:val="00FA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C32D5"/>
  <w15:chartTrackingRefBased/>
  <w15:docId w15:val="{7EF3AE77-27DB-481D-A131-06BD1028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6484"/>
    <w:pPr>
      <w:ind w:left="119"/>
      <w:jc w:val="both"/>
    </w:pPr>
    <w:rPr>
      <w:sz w:val="18"/>
      <w:szCs w:val="18"/>
    </w:rPr>
  </w:style>
  <w:style w:type="character" w:customStyle="1" w:styleId="BodyTextChar">
    <w:name w:val="Body Text Char"/>
    <w:basedOn w:val="DefaultParagraphFont"/>
    <w:link w:val="BodyText"/>
    <w:uiPriority w:val="1"/>
    <w:rsid w:val="000A6484"/>
    <w:rPr>
      <w:rFonts w:ascii="Times New Roman" w:eastAsia="Times New Roman" w:hAnsi="Times New Roman" w:cs="Times New Roman"/>
      <w:kern w:val="0"/>
      <w:sz w:val="18"/>
      <w:szCs w:val="18"/>
      <w:lang w:val="en-US"/>
      <w14:ligatures w14:val="none"/>
    </w:rPr>
  </w:style>
  <w:style w:type="paragraph" w:styleId="Title">
    <w:name w:val="Title"/>
    <w:basedOn w:val="Normal"/>
    <w:link w:val="TitleChar"/>
    <w:uiPriority w:val="10"/>
    <w:qFormat/>
    <w:rsid w:val="000A6484"/>
    <w:pPr>
      <w:spacing w:before="67"/>
      <w:ind w:left="3407" w:right="684" w:hanging="2715"/>
    </w:pPr>
    <w:rPr>
      <w:rFonts w:ascii="Cambria" w:eastAsia="Cambria" w:hAnsi="Cambria" w:cs="Cambria"/>
      <w:b/>
      <w:bCs/>
      <w:sz w:val="36"/>
      <w:szCs w:val="36"/>
    </w:rPr>
  </w:style>
  <w:style w:type="character" w:customStyle="1" w:styleId="TitleChar">
    <w:name w:val="Title Char"/>
    <w:basedOn w:val="DefaultParagraphFont"/>
    <w:link w:val="Title"/>
    <w:uiPriority w:val="10"/>
    <w:rsid w:val="000A6484"/>
    <w:rPr>
      <w:rFonts w:ascii="Cambria" w:eastAsia="Cambria" w:hAnsi="Cambria" w:cs="Cambria"/>
      <w:b/>
      <w:bCs/>
      <w:kern w:val="0"/>
      <w:sz w:val="36"/>
      <w:szCs w:val="36"/>
      <w:lang w:val="en-US"/>
      <w14:ligatures w14:val="none"/>
    </w:rPr>
  </w:style>
  <w:style w:type="character" w:styleId="Hyperlink">
    <w:name w:val="Hyperlink"/>
    <w:basedOn w:val="DefaultParagraphFont"/>
    <w:uiPriority w:val="99"/>
    <w:unhideWhenUsed/>
    <w:rsid w:val="00224C1B"/>
    <w:rPr>
      <w:color w:val="0563C1" w:themeColor="hyperlink"/>
      <w:u w:val="single"/>
    </w:rPr>
  </w:style>
  <w:style w:type="character" w:customStyle="1" w:styleId="UnresolvedMention">
    <w:name w:val="Unresolved Mention"/>
    <w:basedOn w:val="DefaultParagraphFont"/>
    <w:uiPriority w:val="99"/>
    <w:semiHidden/>
    <w:unhideWhenUsed/>
    <w:rsid w:val="00224C1B"/>
    <w:rPr>
      <w:color w:val="605E5C"/>
      <w:shd w:val="clear" w:color="auto" w:fill="E1DFDD"/>
    </w:rPr>
  </w:style>
  <w:style w:type="paragraph" w:styleId="Header">
    <w:name w:val="header"/>
    <w:basedOn w:val="Normal"/>
    <w:link w:val="HeaderChar"/>
    <w:uiPriority w:val="99"/>
    <w:unhideWhenUsed/>
    <w:rsid w:val="00E030A6"/>
    <w:pPr>
      <w:tabs>
        <w:tab w:val="center" w:pos="4513"/>
        <w:tab w:val="right" w:pos="9026"/>
      </w:tabs>
    </w:pPr>
  </w:style>
  <w:style w:type="character" w:customStyle="1" w:styleId="HeaderChar">
    <w:name w:val="Header Char"/>
    <w:basedOn w:val="DefaultParagraphFont"/>
    <w:link w:val="Header"/>
    <w:uiPriority w:val="99"/>
    <w:rsid w:val="00E030A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030A6"/>
    <w:pPr>
      <w:tabs>
        <w:tab w:val="center" w:pos="4513"/>
        <w:tab w:val="right" w:pos="9026"/>
      </w:tabs>
    </w:pPr>
  </w:style>
  <w:style w:type="character" w:customStyle="1" w:styleId="FooterChar">
    <w:name w:val="Footer Char"/>
    <w:basedOn w:val="DefaultParagraphFont"/>
    <w:link w:val="Footer"/>
    <w:uiPriority w:val="99"/>
    <w:rsid w:val="00E030A6"/>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646140"/>
    <w:pPr>
      <w:spacing w:before="14"/>
      <w:ind w:left="471" w:right="117" w:hanging="353"/>
      <w:jc w:val="both"/>
    </w:pPr>
  </w:style>
  <w:style w:type="paragraph" w:styleId="NormalWeb">
    <w:name w:val="Normal (Web)"/>
    <w:basedOn w:val="Normal"/>
    <w:uiPriority w:val="99"/>
    <w:unhideWhenUsed/>
    <w:rsid w:val="002478D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103C2"/>
    <w:rPr>
      <w:b/>
      <w:bCs/>
    </w:rPr>
  </w:style>
  <w:style w:type="paragraph" w:styleId="z-TopofForm">
    <w:name w:val="HTML Top of Form"/>
    <w:basedOn w:val="Normal"/>
    <w:next w:val="Normal"/>
    <w:link w:val="z-TopofFormChar"/>
    <w:hidden/>
    <w:uiPriority w:val="99"/>
    <w:semiHidden/>
    <w:unhideWhenUsed/>
    <w:rsid w:val="000B616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B6162"/>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546ABE"/>
    <w:rPr>
      <w:i/>
      <w:iCs/>
    </w:rPr>
  </w:style>
  <w:style w:type="character" w:customStyle="1" w:styleId="citation-0">
    <w:name w:val="citation-0"/>
    <w:basedOn w:val="DefaultParagraphFont"/>
    <w:rsid w:val="00546ABE"/>
  </w:style>
  <w:style w:type="character" w:customStyle="1" w:styleId="citation-1">
    <w:name w:val="citation-1"/>
    <w:basedOn w:val="DefaultParagraphFont"/>
    <w:rsid w:val="00546ABE"/>
  </w:style>
  <w:style w:type="character" w:customStyle="1" w:styleId="animating">
    <w:name w:val="animating"/>
    <w:basedOn w:val="DefaultParagraphFont"/>
    <w:rsid w:val="00546ABE"/>
  </w:style>
  <w:style w:type="character" w:customStyle="1" w:styleId="citation-2">
    <w:name w:val="citation-2"/>
    <w:basedOn w:val="DefaultParagraphFont"/>
    <w:rsid w:val="0054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9961">
      <w:bodyDiv w:val="1"/>
      <w:marLeft w:val="0"/>
      <w:marRight w:val="0"/>
      <w:marTop w:val="0"/>
      <w:marBottom w:val="0"/>
      <w:divBdr>
        <w:top w:val="none" w:sz="0" w:space="0" w:color="auto"/>
        <w:left w:val="none" w:sz="0" w:space="0" w:color="auto"/>
        <w:bottom w:val="none" w:sz="0" w:space="0" w:color="auto"/>
        <w:right w:val="none" w:sz="0" w:space="0" w:color="auto"/>
      </w:divBdr>
    </w:div>
    <w:div w:id="118039261">
      <w:bodyDiv w:val="1"/>
      <w:marLeft w:val="0"/>
      <w:marRight w:val="0"/>
      <w:marTop w:val="0"/>
      <w:marBottom w:val="0"/>
      <w:divBdr>
        <w:top w:val="none" w:sz="0" w:space="0" w:color="auto"/>
        <w:left w:val="none" w:sz="0" w:space="0" w:color="auto"/>
        <w:bottom w:val="none" w:sz="0" w:space="0" w:color="auto"/>
        <w:right w:val="none" w:sz="0" w:space="0" w:color="auto"/>
      </w:divBdr>
    </w:div>
    <w:div w:id="166871461">
      <w:bodyDiv w:val="1"/>
      <w:marLeft w:val="0"/>
      <w:marRight w:val="0"/>
      <w:marTop w:val="0"/>
      <w:marBottom w:val="0"/>
      <w:divBdr>
        <w:top w:val="none" w:sz="0" w:space="0" w:color="auto"/>
        <w:left w:val="none" w:sz="0" w:space="0" w:color="auto"/>
        <w:bottom w:val="none" w:sz="0" w:space="0" w:color="auto"/>
        <w:right w:val="none" w:sz="0" w:space="0" w:color="auto"/>
      </w:divBdr>
    </w:div>
    <w:div w:id="189538269">
      <w:bodyDiv w:val="1"/>
      <w:marLeft w:val="0"/>
      <w:marRight w:val="0"/>
      <w:marTop w:val="0"/>
      <w:marBottom w:val="0"/>
      <w:divBdr>
        <w:top w:val="none" w:sz="0" w:space="0" w:color="auto"/>
        <w:left w:val="none" w:sz="0" w:space="0" w:color="auto"/>
        <w:bottom w:val="none" w:sz="0" w:space="0" w:color="auto"/>
        <w:right w:val="none" w:sz="0" w:space="0" w:color="auto"/>
      </w:divBdr>
    </w:div>
    <w:div w:id="341474864">
      <w:bodyDiv w:val="1"/>
      <w:marLeft w:val="0"/>
      <w:marRight w:val="0"/>
      <w:marTop w:val="0"/>
      <w:marBottom w:val="0"/>
      <w:divBdr>
        <w:top w:val="none" w:sz="0" w:space="0" w:color="auto"/>
        <w:left w:val="none" w:sz="0" w:space="0" w:color="auto"/>
        <w:bottom w:val="none" w:sz="0" w:space="0" w:color="auto"/>
        <w:right w:val="none" w:sz="0" w:space="0" w:color="auto"/>
      </w:divBdr>
    </w:div>
    <w:div w:id="539898517">
      <w:bodyDiv w:val="1"/>
      <w:marLeft w:val="0"/>
      <w:marRight w:val="0"/>
      <w:marTop w:val="0"/>
      <w:marBottom w:val="0"/>
      <w:divBdr>
        <w:top w:val="none" w:sz="0" w:space="0" w:color="auto"/>
        <w:left w:val="none" w:sz="0" w:space="0" w:color="auto"/>
        <w:bottom w:val="none" w:sz="0" w:space="0" w:color="auto"/>
        <w:right w:val="none" w:sz="0" w:space="0" w:color="auto"/>
      </w:divBdr>
    </w:div>
    <w:div w:id="714811358">
      <w:bodyDiv w:val="1"/>
      <w:marLeft w:val="0"/>
      <w:marRight w:val="0"/>
      <w:marTop w:val="0"/>
      <w:marBottom w:val="0"/>
      <w:divBdr>
        <w:top w:val="none" w:sz="0" w:space="0" w:color="auto"/>
        <w:left w:val="none" w:sz="0" w:space="0" w:color="auto"/>
        <w:bottom w:val="none" w:sz="0" w:space="0" w:color="auto"/>
        <w:right w:val="none" w:sz="0" w:space="0" w:color="auto"/>
      </w:divBdr>
    </w:div>
    <w:div w:id="993755121">
      <w:bodyDiv w:val="1"/>
      <w:marLeft w:val="0"/>
      <w:marRight w:val="0"/>
      <w:marTop w:val="0"/>
      <w:marBottom w:val="0"/>
      <w:divBdr>
        <w:top w:val="none" w:sz="0" w:space="0" w:color="auto"/>
        <w:left w:val="none" w:sz="0" w:space="0" w:color="auto"/>
        <w:bottom w:val="none" w:sz="0" w:space="0" w:color="auto"/>
        <w:right w:val="none" w:sz="0" w:space="0" w:color="auto"/>
      </w:divBdr>
      <w:divsChild>
        <w:div w:id="1163472929">
          <w:marLeft w:val="0"/>
          <w:marRight w:val="0"/>
          <w:marTop w:val="0"/>
          <w:marBottom w:val="0"/>
          <w:divBdr>
            <w:top w:val="single" w:sz="2" w:space="0" w:color="D9D9E3"/>
            <w:left w:val="single" w:sz="2" w:space="0" w:color="D9D9E3"/>
            <w:bottom w:val="single" w:sz="2" w:space="0" w:color="D9D9E3"/>
            <w:right w:val="single" w:sz="2" w:space="0" w:color="D9D9E3"/>
          </w:divBdr>
          <w:divsChild>
            <w:div w:id="1749957778">
              <w:marLeft w:val="0"/>
              <w:marRight w:val="0"/>
              <w:marTop w:val="0"/>
              <w:marBottom w:val="0"/>
              <w:divBdr>
                <w:top w:val="single" w:sz="2" w:space="0" w:color="D9D9E3"/>
                <w:left w:val="single" w:sz="2" w:space="0" w:color="D9D9E3"/>
                <w:bottom w:val="single" w:sz="2" w:space="0" w:color="D9D9E3"/>
                <w:right w:val="single" w:sz="2" w:space="0" w:color="D9D9E3"/>
              </w:divBdr>
              <w:divsChild>
                <w:div w:id="1819758984">
                  <w:marLeft w:val="0"/>
                  <w:marRight w:val="0"/>
                  <w:marTop w:val="0"/>
                  <w:marBottom w:val="0"/>
                  <w:divBdr>
                    <w:top w:val="single" w:sz="2" w:space="0" w:color="D9D9E3"/>
                    <w:left w:val="single" w:sz="2" w:space="0" w:color="D9D9E3"/>
                    <w:bottom w:val="single" w:sz="2" w:space="0" w:color="D9D9E3"/>
                    <w:right w:val="single" w:sz="2" w:space="0" w:color="D9D9E3"/>
                  </w:divBdr>
                  <w:divsChild>
                    <w:div w:id="256913197">
                      <w:marLeft w:val="0"/>
                      <w:marRight w:val="0"/>
                      <w:marTop w:val="0"/>
                      <w:marBottom w:val="0"/>
                      <w:divBdr>
                        <w:top w:val="single" w:sz="2" w:space="0" w:color="D9D9E3"/>
                        <w:left w:val="single" w:sz="2" w:space="0" w:color="D9D9E3"/>
                        <w:bottom w:val="single" w:sz="2" w:space="0" w:color="D9D9E3"/>
                        <w:right w:val="single" w:sz="2" w:space="0" w:color="D9D9E3"/>
                      </w:divBdr>
                      <w:divsChild>
                        <w:div w:id="201989496">
                          <w:marLeft w:val="0"/>
                          <w:marRight w:val="0"/>
                          <w:marTop w:val="0"/>
                          <w:marBottom w:val="0"/>
                          <w:divBdr>
                            <w:top w:val="single" w:sz="2" w:space="0" w:color="D9D9E3"/>
                            <w:left w:val="single" w:sz="2" w:space="0" w:color="D9D9E3"/>
                            <w:bottom w:val="single" w:sz="2" w:space="0" w:color="D9D9E3"/>
                            <w:right w:val="single" w:sz="2" w:space="0" w:color="D9D9E3"/>
                          </w:divBdr>
                          <w:divsChild>
                            <w:div w:id="102173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15432">
                                  <w:marLeft w:val="0"/>
                                  <w:marRight w:val="0"/>
                                  <w:marTop w:val="0"/>
                                  <w:marBottom w:val="0"/>
                                  <w:divBdr>
                                    <w:top w:val="single" w:sz="2" w:space="0" w:color="D9D9E3"/>
                                    <w:left w:val="single" w:sz="2" w:space="0" w:color="D9D9E3"/>
                                    <w:bottom w:val="single" w:sz="2" w:space="0" w:color="D9D9E3"/>
                                    <w:right w:val="single" w:sz="2" w:space="0" w:color="D9D9E3"/>
                                  </w:divBdr>
                                  <w:divsChild>
                                    <w:div w:id="67730368">
                                      <w:marLeft w:val="0"/>
                                      <w:marRight w:val="0"/>
                                      <w:marTop w:val="0"/>
                                      <w:marBottom w:val="0"/>
                                      <w:divBdr>
                                        <w:top w:val="single" w:sz="2" w:space="0" w:color="D9D9E3"/>
                                        <w:left w:val="single" w:sz="2" w:space="0" w:color="D9D9E3"/>
                                        <w:bottom w:val="single" w:sz="2" w:space="0" w:color="D9D9E3"/>
                                        <w:right w:val="single" w:sz="2" w:space="0" w:color="D9D9E3"/>
                                      </w:divBdr>
                                      <w:divsChild>
                                        <w:div w:id="1407804046">
                                          <w:marLeft w:val="0"/>
                                          <w:marRight w:val="0"/>
                                          <w:marTop w:val="0"/>
                                          <w:marBottom w:val="0"/>
                                          <w:divBdr>
                                            <w:top w:val="single" w:sz="2" w:space="0" w:color="D9D9E3"/>
                                            <w:left w:val="single" w:sz="2" w:space="0" w:color="D9D9E3"/>
                                            <w:bottom w:val="single" w:sz="2" w:space="0" w:color="D9D9E3"/>
                                            <w:right w:val="single" w:sz="2" w:space="0" w:color="D9D9E3"/>
                                          </w:divBdr>
                                          <w:divsChild>
                                            <w:div w:id="1043408707">
                                              <w:marLeft w:val="0"/>
                                              <w:marRight w:val="0"/>
                                              <w:marTop w:val="0"/>
                                              <w:marBottom w:val="0"/>
                                              <w:divBdr>
                                                <w:top w:val="single" w:sz="2" w:space="0" w:color="D9D9E3"/>
                                                <w:left w:val="single" w:sz="2" w:space="0" w:color="D9D9E3"/>
                                                <w:bottom w:val="single" w:sz="2" w:space="0" w:color="D9D9E3"/>
                                                <w:right w:val="single" w:sz="2" w:space="0" w:color="D9D9E3"/>
                                              </w:divBdr>
                                              <w:divsChild>
                                                <w:div w:id="315837277">
                                                  <w:marLeft w:val="0"/>
                                                  <w:marRight w:val="0"/>
                                                  <w:marTop w:val="0"/>
                                                  <w:marBottom w:val="0"/>
                                                  <w:divBdr>
                                                    <w:top w:val="single" w:sz="2" w:space="0" w:color="D9D9E3"/>
                                                    <w:left w:val="single" w:sz="2" w:space="0" w:color="D9D9E3"/>
                                                    <w:bottom w:val="single" w:sz="2" w:space="0" w:color="D9D9E3"/>
                                                    <w:right w:val="single" w:sz="2" w:space="0" w:color="D9D9E3"/>
                                                  </w:divBdr>
                                                  <w:divsChild>
                                                    <w:div w:id="43853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7125083">
          <w:marLeft w:val="0"/>
          <w:marRight w:val="0"/>
          <w:marTop w:val="0"/>
          <w:marBottom w:val="0"/>
          <w:divBdr>
            <w:top w:val="none" w:sz="0" w:space="0" w:color="auto"/>
            <w:left w:val="none" w:sz="0" w:space="0" w:color="auto"/>
            <w:bottom w:val="none" w:sz="0" w:space="0" w:color="auto"/>
            <w:right w:val="none" w:sz="0" w:space="0" w:color="auto"/>
          </w:divBdr>
        </w:div>
      </w:divsChild>
    </w:div>
    <w:div w:id="1241793741">
      <w:bodyDiv w:val="1"/>
      <w:marLeft w:val="0"/>
      <w:marRight w:val="0"/>
      <w:marTop w:val="0"/>
      <w:marBottom w:val="0"/>
      <w:divBdr>
        <w:top w:val="none" w:sz="0" w:space="0" w:color="auto"/>
        <w:left w:val="none" w:sz="0" w:space="0" w:color="auto"/>
        <w:bottom w:val="none" w:sz="0" w:space="0" w:color="auto"/>
        <w:right w:val="none" w:sz="0" w:space="0" w:color="auto"/>
      </w:divBdr>
    </w:div>
    <w:div w:id="1358002486">
      <w:bodyDiv w:val="1"/>
      <w:marLeft w:val="0"/>
      <w:marRight w:val="0"/>
      <w:marTop w:val="0"/>
      <w:marBottom w:val="0"/>
      <w:divBdr>
        <w:top w:val="none" w:sz="0" w:space="0" w:color="auto"/>
        <w:left w:val="none" w:sz="0" w:space="0" w:color="auto"/>
        <w:bottom w:val="none" w:sz="0" w:space="0" w:color="auto"/>
        <w:right w:val="none" w:sz="0" w:space="0" w:color="auto"/>
      </w:divBdr>
    </w:div>
    <w:div w:id="1553885620">
      <w:bodyDiv w:val="1"/>
      <w:marLeft w:val="0"/>
      <w:marRight w:val="0"/>
      <w:marTop w:val="0"/>
      <w:marBottom w:val="0"/>
      <w:divBdr>
        <w:top w:val="none" w:sz="0" w:space="0" w:color="auto"/>
        <w:left w:val="none" w:sz="0" w:space="0" w:color="auto"/>
        <w:bottom w:val="none" w:sz="0" w:space="0" w:color="auto"/>
        <w:right w:val="none" w:sz="0" w:space="0" w:color="auto"/>
      </w:divBdr>
    </w:div>
    <w:div w:id="21253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sharma20112002@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rabhjotKaur@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Nishant Kumar</cp:lastModifiedBy>
  <cp:revision>9</cp:revision>
  <dcterms:created xsi:type="dcterms:W3CDTF">2023-11-04T16:58:00Z</dcterms:created>
  <dcterms:modified xsi:type="dcterms:W3CDTF">2023-12-14T13:02:00Z</dcterms:modified>
</cp:coreProperties>
</file>