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4E79"/>
          <w:sz w:val="56"/>
          <w:szCs w:val="56"/>
        </w:rPr>
        <w:t xml:space="preserve">Search Keyword Revenue Pipeline</w:t>
      </w:r>
    </w:p>
    <w:p>
      <w:pPr>
        <w:spacing w:before="0" w:after="80"/>
      </w:pPr>
      <w:r>
        <w:rPr>
          <w:rFonts w:ascii="Arial" w:cs="Arial" w:eastAsia="Arial" w:hAnsi="Arial"/>
          <w:color w:val="2E75B6"/>
          <w:sz w:val="36"/>
          <w:szCs w:val="36"/>
        </w:rPr>
        <w:t xml:space="preserve">Technical Documentation</w:t>
      </w:r>
    </w:p>
    <w:p>
      <w:pPr>
        <w:pBdr>
          <w:bottom w:val="single" w:color="2E75B6" w:sz="12" w:space="8"/>
        </w:pBd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3.10 / PySpark 3.3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Runtime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AWS Glue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S3 (analytics-hitdata-s3)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Source File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glue_job.py  +  metadata_profiler.py  +  metadata_config.json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Last Updated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2026-03-13</w:t>
            </w:r>
          </w:p>
        </w:tc>
      </w:tr>
    </w:tbl>
    <w:p>
      <w:pPr>
        <w:spacing w:before="0" w:after="480"/>
      </w:pP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1. Purpose</w:t>
      </w:r>
    </w:p>
    <w:p>
      <w:pPr>
        <w:spacing w:before="80" w:after="120"/>
      </w:pPr>
      <w:r>
        <w:rPr>
          <w:rFonts w:ascii="Arial" w:cs="Arial" w:eastAsia="Arial" w:hAnsi="Arial"/>
          <w:color w:val="1A1A1A"/>
          <w:sz w:val="22"/>
          <w:szCs w:val="22"/>
        </w:rPr>
        <w:t xml:space="preserve">This document provides a complete technical reference for the Search Keyword Revenue Pipeline. It covers the business problem the pipeline solves, the design of each component, all configuration options, the data model, known limitations, and guidance for extending the system.</w:t>
      </w:r>
    </w:p>
    <w:p>
      <w:pPr>
        <w:spacing w:before="0" w:after="160"/>
      </w:pPr>
    </w:p>
    <w:p>
      <w:pPr>
        <w:pStyle w:val="Heading1"/>
        <w:pBdr>
          <w:bottom w:val="single" w:color="2E75B6" w:sz="6" w:space="4"/>
        </w:pBdr>
        <w:spacing w:before="360" w:after="120"/>
      </w:pPr>
      <w:r>
        <w:rPr>
          <w:rFonts w:ascii="Arial" w:cs="Arial" w:eastAsia="Arial" w:hAnsi="Arial"/>
          <w:b/>
          <w:bCs/>
          <w:color w:val="1F4E79"/>
          <w:sz w:val="36"/>
          <w:szCs w:val="36"/>
        </w:rPr>
        <w:t xml:space="preserve">2. Business Problem</w:t>
      </w:r>
    </w:p>
    <w:p>
      <w:pPr>
        <w:spacing w:before="80" w:after="120"/>
      </w:pPr>
      <w:r>
        <w:rPr>
          <w:rFonts w:ascii="Arial" w:cs="Arial" w:eastAsia="Arial" w:hAnsi="Arial"/>
          <w:color w:val="1A1A1A"/>
          <w:sz w:val="22"/>
          <w:szCs w:val="22"/>
        </w:rPr>
        <w:t xml:space="preserve">The client (esshopzilla.com) runs Adobe Analytics on their e-commerce site. Hit-level data is exported as tab-delimited files to S3. The client wants to know:</w:t>
      </w:r>
    </w:p>
    <w:p>
      <w:pPr>
        <w:pStyle w:val="ListParagraph"/>
        <w:numPr>
          <w:ilvl w:val="0"/>
          <w:numId w:val="2"/>
        </w:numPr>
        <w:spacing w:before="60" w:after="60"/>
      </w:pPr>
      <w:r>
        <w:rPr>
          <w:rFonts w:ascii="Arial" w:cs="Arial" w:eastAsia="Arial" w:hAnsi="Arial"/>
          <w:color w:val="1A1A1A"/>
          <w:sz w:val="22"/>
          <w:szCs w:val="22"/>
        </w:rPr>
        <w:t xml:space="preserve">How much revenue is being driven by external search engines such as Google, Yahoo, and Bing?</w:t>
      </w:r>
    </w:p>
    <w:p>
      <w:pPr>
        <w:pStyle w:val="ListParagraph"/>
        <w:numPr>
          <w:ilvl w:val="0"/>
          <w:numId w:val="2"/>
        </w:numPr>
        <w:spacing w:before="60" w:after="60"/>
      </w:pPr>
      <w:r>
        <w:rPr>
          <w:rFonts w:ascii="Arial" w:cs="Arial" w:eastAsia="Arial" w:hAnsi="Arial"/>
          <w:color w:val="1A1A1A"/>
          <w:sz w:val="22"/>
          <w:szCs w:val="22"/>
        </w:rPr>
        <w:t xml:space="preserve">Which specific search keywords are delivering the highest revenue?</w:t>
      </w:r>
    </w:p>
    <w:p>
      <w:pPr>
        <w:spacing w:before="0" w:after="160"/>
      </w:pPr>
    </w:p>
    <w:p>
      <w:pPr>
        <w:spacing w:before="80" w:after="120"/>
      </w:pPr>
      <w:r>
        <w:rPr>
          <w:rFonts w:ascii="Arial" w:cs="Arial" w:eastAsia="Arial" w:hAnsi="Arial"/>
          <w:color w:val="1A1A1A"/>
          <w:sz w:val="22"/>
          <w:szCs w:val="22"/>
        </w:rPr>
        <w:t xml:space="preserve">The pipeline answers this by attributing each purchase to the most recent external search engine referral from the same visitor IP (last-touch attribution model) and aggregating total revenue by search engine domain and keyword.</w:t>
      </w:r>
    </w:p>
    <w:p>
      <w:pPr>
        <w:spacing w:before="0" w:after="200"/>
      </w:pPr>
    </w:p>
    <w:p>
      <w:pPr>
        <w:pStyle w:val="Heading1"/>
        <w:pBdr>
          <w:bottom w:val="single" w:color="2E75B6" w:sz="6" w:space="4"/>
        </w:pBdr>
        <w:spacing w:before="360" w:after="120"/>
      </w:pPr>
      <w:r>
        <w:rPr>
          <w:rFonts w:ascii="Arial" w:cs="Arial" w:eastAsia="Arial" w:hAnsi="Arial"/>
          <w:b/>
          <w:bCs/>
          <w:color w:val="1F4E79"/>
          <w:sz w:val="36"/>
          <w:szCs w:val="36"/>
        </w:rPr>
        <w:t xml:space="preserve">3. Source Data Format</w:t>
      </w:r>
    </w:p>
    <w:p>
      <w:pPr>
        <w:spacing w:before="80" w:after="120"/>
      </w:pPr>
      <w:r>
        <w:rPr>
          <w:rFonts w:ascii="Arial" w:cs="Arial" w:eastAsia="Arial" w:hAnsi="Arial"/>
          <w:color w:val="1A1A1A"/>
          <w:sz w:val="22"/>
          <w:szCs w:val="22"/>
        </w:rPr>
        <w:t xml:space="preserve">Source files are tab-delimited text files with a header row. Each row represents a single hit (page view, product view, purchase event, etc.) from a visitor on the client site.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hit_time_gmt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Unix timestamp of the hit.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date_time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datetime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Human-readable timestamp in the report suite timezone.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User-Agent string. May contain commas — fields are quoted in the source 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Visitor IP address. Used as the session proxy for last-touch attribution.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geo_city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City derived from IP geolocation.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geo_country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Country abbreviation derived from 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geo_region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or region derived from IP.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pagename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Page name dimension. Falls back to page_url if empty.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 of the hit.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product_list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Comma-delimited products. Each product: category;name;qty;revenue;events;evar. Revenue is the 4th semicolon-delimited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referrer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Referring URL. Used to detect external search engine and extract keyword.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event_list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Comma-separated event codes. Code 1 = Purchase. Code 2 = Product View. Code 12 = Cart Add, etc. Revenue is only counted when event 1 is present.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2"/>
              <w:bottom w:val="single" w:color="F0C040" w:sz="1"/>
              <w:right w:val="single" w:color="F0C040" w:sz="1"/>
            </w:tcBorders>
            <w:shd w:fill="FFF9E6" w:val="clear"/>
            <w:tcMar>
              <w:top w:type="dxa" w:w="100"/>
              <w:left w:type="dxa" w:w="180"/>
              <w:bottom w:type="dxa" w:w="100"/>
              <w:right w:type="dxa" w:w="180"/>
            </w:tcMar>
          </w:tcPr>
          <w:p>
            <w:pPr>
              <w:spacing w:before="0" w:after="60"/>
            </w:pPr>
            <w:r>
              <w:rPr>
                <w:rFonts w:ascii="Arial" w:cs="Arial" w:eastAsia="Arial" w:hAnsi="Arial"/>
                <w:b/>
                <w:bCs/>
                <w:color w:val="806000"/>
                <w:sz w:val="20"/>
                <w:szCs w:val="20"/>
              </w:rPr>
              <w:t xml:space="preserve">NOTE</w:t>
            </w:r>
          </w:p>
          <w:p>
            <w:pPr>
              <w:spacing w:before="40" w:after="40"/>
            </w:pPr>
            <w:r>
              <w:rPr>
                <w:rFonts w:ascii="Arial" w:cs="Arial" w:eastAsia="Arial" w:hAnsi="Arial"/>
                <w:color w:val="1A1A1A"/>
                <w:sz w:val="20"/>
                <w:szCs w:val="20"/>
              </w:rPr>
              <w:t xml:space="preserve">Source files are read as all-string DataFrames. No type casting is applied during ingestion. Type expectations are recorded in metadata_config.json for profiling purposes only.</w:t>
            </w:r>
          </w:p>
        </w:tc>
      </w:tr>
    </w:tbl>
    <w:p>
      <w:pPr>
        <w:spacing w:before="0" w:after="200"/>
      </w:pP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4. Component Reference</w:t>
      </w:r>
    </w:p>
    <w:p>
      <w:pPr>
        <w:pStyle w:val="Heading2"/>
        <w:spacing w:before="240" w:after="120"/>
      </w:pPr>
      <w:r>
        <w:rPr>
          <w:rFonts w:ascii="Arial" w:cs="Arial" w:eastAsia="Arial" w:hAnsi="Arial"/>
          <w:b/>
          <w:bCs/>
          <w:color w:val="2E75B6"/>
          <w:sz w:val="28"/>
          <w:szCs w:val="28"/>
        </w:rPr>
        <w:t xml:space="preserve">4.1  glue_job.py</w:t>
      </w:r>
    </w:p>
    <w:p>
      <w:pPr>
        <w:spacing w:before="80" w:after="120"/>
      </w:pPr>
      <w:r>
        <w:rPr>
          <w:rFonts w:ascii="Arial" w:cs="Arial" w:eastAsia="Arial" w:hAnsi="Arial"/>
          <w:color w:val="1A1A1A"/>
          <w:sz w:val="22"/>
          <w:szCs w:val="22"/>
        </w:rPr>
        <w:t xml:space="preserve">The main entry point. Orchestrates all pipeline steps and contains three primary components:</w:t>
      </w:r>
    </w:p>
    <w:p>
      <w:pPr>
        <w:spacing w:before="0" w:after="80"/>
      </w:pPr>
    </w:p>
    <w:p>
      <w:pPr>
        <w:pStyle w:val="Heading3"/>
        <w:spacing w:before="240" w:after="120"/>
      </w:pPr>
      <w:r>
        <w:rPr>
          <w:rFonts w:ascii="Arial" w:cs="Arial" w:eastAsia="Arial" w:hAnsi="Arial"/>
          <w:b/>
          <w:bCs/>
          <w:color w:val="1A1A1A"/>
          <w:sz w:val="24"/>
          <w:szCs w:val="24"/>
        </w:rPr>
        <w:t xml:space="preserve">Module-Level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S3 bucket name. Change here to deploy to a different bucket.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PROCESSED_PREFIX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S3 prefix for analysis output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METADATA_PREFIX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S3 prefix for schema profiling JSON reports.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LOGS_PREFIX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S3 prefix for run summaries and pipeline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CHECKSUMS_PREFIX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S3 prefix for idempotency checksum registry.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CONFIG_FILE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Local filename for metadata config (copied from S3 via --extra-files at job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SEARCH_ENGINE_PATTERNS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of domain substrings used to identify external search engines. Add entries to extend coverage.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KEYWORD_PARAMS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Maps engine family to query-string parameter: Yahoo uses p=, all others use q=.</w:t>
            </w:r>
          </w:p>
        </w:tc>
      </w:tr>
    </w:tbl>
    <w:p>
      <w:pPr>
        <w:spacing w:before="0" w:after="160"/>
      </w:pPr>
    </w:p>
    <w:p>
      <w:pPr>
        <w:pStyle w:val="Heading3"/>
        <w:spacing w:before="240" w:after="120"/>
      </w:pPr>
      <w:r>
        <w:rPr>
          <w:rFonts w:ascii="Arial" w:cs="Arial" w:eastAsia="Arial" w:hAnsi="Arial"/>
          <w:b/>
          <w:bCs/>
          <w:color w:val="1A1A1A"/>
          <w:sz w:val="24"/>
          <w:szCs w:val="24"/>
        </w:rPr>
        <w:t xml:space="preserve">MetadataProfiler Class</w:t>
      </w:r>
    </w:p>
    <w:p>
      <w:pPr>
        <w:spacing w:before="80" w:after="120"/>
      </w:pPr>
      <w:r>
        <w:rPr>
          <w:rFonts w:ascii="Arial" w:cs="Arial" w:eastAsia="Arial" w:hAnsi="Arial"/>
          <w:color w:val="1A1A1A"/>
          <w:sz w:val="22"/>
          <w:szCs w:val="22"/>
        </w:rPr>
        <w:t xml:space="preserve">Validates and profiles the source DataFrame against the expected schema defined in metadata_config.json.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__init__(expected_columns)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Parses expected column definitions. Accepts both plain string lists and dict lists with name/type keys.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_detect_mismatches(columns)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Compares actual columns to expected. Returns list of mismatch dicts: missing_columns, extra_columns, column_count_mismatch, column_order_mismatch.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profile(df, source_key)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two distributed aggregation passes over df. Pass 1: min/max/null counts for all columns in one action. Pass 2: countDistinct for all columns. Returns a complete metadata report dict. Safe to call on any size DataFrame — collect() is only called on the single-row aggregation result.</w:t>
            </w:r>
          </w:p>
        </w:tc>
      </w:tr>
    </w:tbl>
    <w:p>
      <w:pPr>
        <w:spacing w:before="0" w:after="160"/>
      </w:pPr>
    </w:p>
    <w:p>
      <w:pPr>
        <w:pStyle w:val="Heading3"/>
        <w:spacing w:before="240" w:after="120"/>
      </w:pPr>
      <w:r>
        <w:rPr>
          <w:rFonts w:ascii="Arial" w:cs="Arial" w:eastAsia="Arial" w:hAnsi="Arial"/>
          <w:b/>
          <w:bCs/>
          <w:color w:val="1A1A1A"/>
          <w:sz w:val="24"/>
          <w:szCs w:val="24"/>
        </w:rPr>
        <w:t xml:space="preserve">SearchKeywordRevenueProcessor Class</w:t>
      </w:r>
    </w:p>
    <w:p>
      <w:pPr>
        <w:spacing w:before="80" w:after="120"/>
      </w:pPr>
      <w:r>
        <w:rPr>
          <w:rFonts w:ascii="Arial" w:cs="Arial" w:eastAsia="Arial" w:hAnsi="Arial"/>
          <w:color w:val="1A1A1A"/>
          <w:sz w:val="22"/>
          <w:szCs w:val="22"/>
        </w:rPr>
        <w:t xml:space="preserve">Implements the business logic for search keyword revenue attribution.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_build_search_engine_column(df)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Applies SEARCH_ENGINE_PATTERNS against the lowercased referrer domain using a chained F.when() expression. Returns null for non-search referrers. No Python UDF — runs in JVM.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_build_keyword_column(df)</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Extracts search keyword from the referrer query string. Yahoo: matches p=[^&amp;]+. All others: matches q=[^&amp;]+. URL-encoded + characters are replaced with spaces. Lowercased.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_build_revenue_column(df)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Uses Spark's aggregate() higher-order function to sum revenue across all products in product_list. Revenue is the 4th semicolon-delimited token per product (1-indexed). try_cast handles non-numeric values gracefully.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transform(df)</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attribution pipeline: (1) enrich df with engine/keyword/purchase/revenue columns, (2) split into search_touchpoints and purchases DataFrames, (3) left-join purchases to all preceding touchpoints from the same IP, (4) pick most recent touchpoint per purchase using row_number() Window, (5) groupBy + sum revenue, (6) sort descending. Unpersists enriched cache in finally block.</w:t>
            </w:r>
          </w:p>
        </w:tc>
      </w:tr>
    </w:tbl>
    <w:p>
      <w:pPr>
        <w:spacing w:before="0" w:after="160"/>
      </w:pPr>
    </w:p>
    <w:p>
      <w:pPr>
        <w:pStyle w:val="Heading2"/>
        <w:spacing w:before="240" w:after="120"/>
      </w:pPr>
      <w:r>
        <w:rPr>
          <w:rFonts w:ascii="Arial" w:cs="Arial" w:eastAsia="Arial" w:hAnsi="Arial"/>
          <w:b/>
          <w:bCs/>
          <w:color w:val="2E75B6"/>
          <w:sz w:val="28"/>
          <w:szCs w:val="28"/>
        </w:rPr>
        <w:t xml:space="preserve">4.2  metadata_profiler.py</w:t>
      </w:r>
    </w:p>
    <w:p>
      <w:pPr>
        <w:spacing w:before="80" w:after="120"/>
      </w:pPr>
      <w:r>
        <w:rPr>
          <w:rFonts w:ascii="Arial" w:cs="Arial" w:eastAsia="Arial" w:hAnsi="Arial"/>
          <w:color w:val="1A1A1A"/>
          <w:sz w:val="22"/>
          <w:szCs w:val="22"/>
        </w:rPr>
        <w:t xml:space="preserve">A standalone version of MetadataProfiler that reads directly from a local file using Python's csv.DictReader. Intended for local development and testing. The Glue job uses the Spark-native version embedded in glue_job.py.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Memory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Row-by-row streaming via csv.DictReader. Memory usage is O(unique values per column), not O(total rows).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 handling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NULL_SENTINELS class constant: empty string, 'null', 'none', 'na', 'n/a' (case-insensitive).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profile(source_bucket, source_key) returns the same report structure as the Spark version.</w:t>
            </w:r>
          </w:p>
        </w:tc>
      </w:tr>
    </w:tbl>
    <w:p>
      <w:pPr>
        <w:spacing w:before="0" w:after="160"/>
      </w:pPr>
    </w:p>
    <w:p>
      <w:pPr>
        <w:pStyle w:val="Heading2"/>
        <w:spacing w:before="240" w:after="120"/>
      </w:pPr>
      <w:r>
        <w:rPr>
          <w:rFonts w:ascii="Arial" w:cs="Arial" w:eastAsia="Arial" w:hAnsi="Arial"/>
          <w:b/>
          <w:bCs/>
          <w:color w:val="2E75B6"/>
          <w:sz w:val="28"/>
          <w:szCs w:val="28"/>
        </w:rPr>
        <w:t xml:space="preserve">4.3  metadata_config.json</w:t>
      </w:r>
    </w:p>
    <w:p>
      <w:pPr>
        <w:spacing w:before="80" w:after="120"/>
      </w:pPr>
      <w:r>
        <w:rPr>
          <w:rFonts w:ascii="Arial" w:cs="Arial" w:eastAsia="Arial" w:hAnsi="Arial"/>
          <w:color w:val="1A1A1A"/>
          <w:sz w:val="22"/>
          <w:szCs w:val="22"/>
        </w:rPr>
        <w:t xml:space="preserve">JSON configuration file that defines the expected schema for source hit-level files.</w:t>
      </w:r>
    </w:p>
    <w:p>
      <w:pPr>
        <w:spacing w:before="0" w:after="80"/>
      </w:pPr>
    </w:p>
    <w:p>
      <w:pPr>
        <w:shd w:fill="1E1E1E" w:val="clear"/>
        <w:spacing w:before="40" w:after="40"/>
        <w:ind w:left="360"/>
      </w:pPr>
      <w:r>
        <w:rPr>
          <w:rFonts w:ascii="Courier New" w:cs="Courier New" w:eastAsia="Courier New" w:hAnsi="Courier New"/>
          <w:color w:val="D4D4D4"/>
          <w:sz w:val="18"/>
          <w:szCs w:val="18"/>
        </w:rPr>
        <w:t xml:space="preserve">{</w:t>
      </w:r>
    </w:p>
    <w:p>
      <w:pPr>
        <w:shd w:fill="1E1E1E" w:val="clear"/>
        <w:spacing w:before="40" w:after="40"/>
        <w:ind w:left="360"/>
      </w:pPr>
      <w:r>
        <w:rPr>
          <w:rFonts w:ascii="Courier New" w:cs="Courier New" w:eastAsia="Courier New" w:hAnsi="Courier New"/>
          <w:color w:val="D4D4D4"/>
          <w:sz w:val="18"/>
          <w:szCs w:val="18"/>
        </w:rPr>
        <w:t xml:space="preserve">  "file_type": "delimited_text",</w:t>
      </w:r>
    </w:p>
    <w:p>
      <w:pPr>
        <w:shd w:fill="1E1E1E" w:val="clear"/>
        <w:spacing w:before="40" w:after="40"/>
        <w:ind w:left="360"/>
      </w:pPr>
      <w:r>
        <w:rPr>
          <w:rFonts w:ascii="Courier New" w:cs="Courier New" w:eastAsia="Courier New" w:hAnsi="Courier New"/>
          <w:color w:val="D4D4D4"/>
          <w:sz w:val="18"/>
          <w:szCs w:val="18"/>
        </w:rPr>
        <w:t xml:space="preserve">  "delimiter": "\t",</w:t>
      </w:r>
    </w:p>
    <w:p>
      <w:pPr>
        <w:shd w:fill="1E1E1E" w:val="clear"/>
        <w:spacing w:before="40" w:after="40"/>
        <w:ind w:left="360"/>
      </w:pPr>
      <w:r>
        <w:rPr>
          <w:rFonts w:ascii="Courier New" w:cs="Courier New" w:eastAsia="Courier New" w:hAnsi="Courier New"/>
          <w:color w:val="D4D4D4"/>
          <w:sz w:val="18"/>
          <w:szCs w:val="18"/>
        </w:rPr>
        <w:t xml:space="preserve">  "expected_columns": [</w:t>
      </w:r>
    </w:p>
    <w:p>
      <w:pPr>
        <w:shd w:fill="1E1E1E" w:val="clear"/>
        <w:spacing w:before="40" w:after="40"/>
        <w:ind w:left="360"/>
      </w:pPr>
      <w:r>
        <w:rPr>
          <w:rFonts w:ascii="Courier New" w:cs="Courier New" w:eastAsia="Courier New" w:hAnsi="Courier New"/>
          <w:color w:val="D4D4D4"/>
          <w:sz w:val="18"/>
          <w:szCs w:val="18"/>
        </w:rPr>
        <w:t xml:space="preserve">    {"name": "hit_time_gmt", "type": "int"},</w:t>
      </w:r>
    </w:p>
    <w:p>
      <w:pPr>
        <w:shd w:fill="1E1E1E" w:val="clear"/>
        <w:spacing w:before="40" w:after="40"/>
        <w:ind w:left="360"/>
      </w:pPr>
      <w:r>
        <w:rPr>
          <w:rFonts w:ascii="Courier New" w:cs="Courier New" w:eastAsia="Courier New" w:hAnsi="Courier New"/>
          <w:color w:val="D4D4D4"/>
          <w:sz w:val="18"/>
          <w:szCs w:val="18"/>
        </w:rPr>
        <w:t xml:space="preserve">    {"name": "date_time",    "type": "datetime"},</w:t>
      </w:r>
    </w:p>
    <w:p>
      <w:pPr>
        <w:shd w:fill="1E1E1E" w:val="clear"/>
        <w:spacing w:before="40" w:after="40"/>
        <w:ind w:left="360"/>
      </w:pPr>
      <w:r>
        <w:rPr>
          <w:rFonts w:ascii="Courier New" w:cs="Courier New" w:eastAsia="Courier New" w:hAnsi="Courier New"/>
          <w:color w:val="D4D4D4"/>
          <w:sz w:val="18"/>
          <w:szCs w:val="18"/>
        </w:rPr>
        <w:t xml:space="preserve">    ...</w:t>
      </w:r>
    </w:p>
    <w:p>
      <w:pPr>
        <w:shd w:fill="1E1E1E" w:val="clear"/>
        <w:spacing w:before="40" w:after="40"/>
        <w:ind w:left="360"/>
      </w:pPr>
      <w:r>
        <w:rPr>
          <w:rFonts w:ascii="Courier New" w:cs="Courier New" w:eastAsia="Courier New" w:hAnsi="Courier New"/>
          <w:color w:val="D4D4D4"/>
          <w:sz w:val="18"/>
          <w:szCs w:val="18"/>
        </w:rPr>
        <w:t xml:space="preserve">  ]</w:t>
      </w:r>
    </w:p>
    <w:p>
      <w:pPr>
        <w:shd w:fill="1E1E1E" w:val="clear"/>
        <w:spacing w:before="40" w:after="40"/>
        <w:ind w:left="360"/>
      </w:pPr>
      <w:r>
        <w:rPr>
          <w:rFonts w:ascii="Courier New" w:cs="Courier New" w:eastAsia="Courier New" w:hAnsi="Courier New"/>
          <w:color w:val="D4D4D4"/>
          <w:sz w:val="18"/>
          <w:szCs w:val="18"/>
        </w:rPr>
        <w:t xml:space="preserv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2"/>
              <w:bottom w:val="single" w:color="F0C040" w:sz="1"/>
              <w:right w:val="single" w:color="F0C040" w:sz="1"/>
            </w:tcBorders>
            <w:shd w:fill="FFF9E6" w:val="clear"/>
            <w:tcMar>
              <w:top w:type="dxa" w:w="100"/>
              <w:left w:type="dxa" w:w="180"/>
              <w:bottom w:type="dxa" w:w="100"/>
              <w:right w:type="dxa" w:w="180"/>
            </w:tcMar>
          </w:tcPr>
          <w:p>
            <w:pPr>
              <w:spacing w:before="0" w:after="60"/>
            </w:pPr>
            <w:r>
              <w:rPr>
                <w:rFonts w:ascii="Arial" w:cs="Arial" w:eastAsia="Arial" w:hAnsi="Arial"/>
                <w:b/>
                <w:bCs/>
                <w:color w:val="806000"/>
                <w:sz w:val="20"/>
                <w:szCs w:val="20"/>
              </w:rPr>
              <w:t xml:space="preserve">NOTE</w:t>
            </w:r>
          </w:p>
          <w:p>
            <w:pPr>
              <w:spacing w:before="40" w:after="40"/>
            </w:pPr>
            <w:r>
              <w:rPr>
                <w:rFonts w:ascii="Arial" w:cs="Arial" w:eastAsia="Arial" w:hAnsi="Arial"/>
                <w:color w:val="1A1A1A"/>
                <w:sz w:val="20"/>
                <w:szCs w:val="20"/>
              </w:rPr>
              <w:t xml:space="preserve">Supported expected_columns formats: (1) plain string list ["col1", "col2"], (2) dict list [{"name":"col1","type":"int"}]. Type information is recorded in the metadata report but does not affect parsing — all values are read as strings.</w:t>
            </w:r>
          </w:p>
        </w:tc>
      </w:tr>
    </w:tbl>
    <w:p>
      <w:pPr>
        <w:spacing w:before="0" w:after="200"/>
      </w:pP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5. Revenue Attribution Model</w:t>
      </w:r>
    </w:p>
    <w:p>
      <w:pPr>
        <w:spacing w:before="80" w:after="120"/>
      </w:pPr>
      <w:r>
        <w:rPr>
          <w:rFonts w:ascii="Arial" w:cs="Arial" w:eastAsia="Arial" w:hAnsi="Arial"/>
          <w:color w:val="1A1A1A"/>
          <w:sz w:val="22"/>
          <w:szCs w:val="22"/>
        </w:rPr>
        <w:t xml:space="preserve">The pipeline uses a last-touch attribution model scoped to visitor IP address:</w:t>
      </w:r>
    </w:p>
    <w:p>
      <w:pPr>
        <w:spacing w:before="0" w:after="80"/>
      </w:pPr>
    </w:p>
    <w:p>
      <w:pPr>
        <w:pStyle w:val="ListParagraph"/>
        <w:numPr>
          <w:ilvl w:val="0"/>
          <w:numId w:val="3"/>
        </w:numPr>
        <w:spacing w:before="60" w:after="60"/>
      </w:pPr>
      <w:r>
        <w:rPr>
          <w:rFonts w:ascii="Arial" w:cs="Arial" w:eastAsia="Arial" w:hAnsi="Arial"/>
          <w:color w:val="1A1A1A"/>
          <w:sz w:val="22"/>
          <w:szCs w:val="22"/>
        </w:rPr>
        <w:t xml:space="preserve">All rows where the referrer is a recognised external search engine are identified as search touchpoints. The search engine domain and keyword are extracted from the referrer URL.</w:t>
      </w:r>
    </w:p>
    <w:p>
      <w:pPr>
        <w:pStyle w:val="ListParagraph"/>
        <w:numPr>
          <w:ilvl w:val="0"/>
          <w:numId w:val="3"/>
        </w:numPr>
        <w:spacing w:before="60" w:after="60"/>
      </w:pPr>
      <w:r>
        <w:rPr>
          <w:rFonts w:ascii="Arial" w:cs="Arial" w:eastAsia="Arial" w:hAnsi="Arial"/>
          <w:color w:val="1A1A1A"/>
          <w:sz w:val="22"/>
          <w:szCs w:val="22"/>
        </w:rPr>
        <w:t xml:space="preserve">All rows where event_list contains the purchase event code '1' and product_list revenue &gt; 0 are identified as purchase events.</w:t>
      </w:r>
    </w:p>
    <w:p>
      <w:pPr>
        <w:pStyle w:val="ListParagraph"/>
        <w:numPr>
          <w:ilvl w:val="0"/>
          <w:numId w:val="3"/>
        </w:numPr>
        <w:spacing w:before="60" w:after="60"/>
      </w:pPr>
      <w:r>
        <w:rPr>
          <w:rFonts w:ascii="Arial" w:cs="Arial" w:eastAsia="Arial" w:hAnsi="Arial"/>
          <w:color w:val="1A1A1A"/>
          <w:sz w:val="22"/>
          <w:szCs w:val="22"/>
        </w:rPr>
        <w:t xml:space="preserve">Each purchase is joined to all search touchpoints from the same IP address that occurred at or before the purchase timestamp.</w:t>
      </w:r>
    </w:p>
    <w:p>
      <w:pPr>
        <w:pStyle w:val="ListParagraph"/>
        <w:numPr>
          <w:ilvl w:val="0"/>
          <w:numId w:val="3"/>
        </w:numPr>
        <w:spacing w:before="60" w:after="60"/>
      </w:pPr>
      <w:r>
        <w:rPr>
          <w:rFonts w:ascii="Arial" w:cs="Arial" w:eastAsia="Arial" w:hAnsi="Arial"/>
          <w:color w:val="1A1A1A"/>
          <w:sz w:val="22"/>
          <w:szCs w:val="22"/>
        </w:rPr>
        <w:t xml:space="preserve">A Window function (row_number, partitioned by IP + purchase time + revenue, ordered by touchpoint time descending) selects the most recent search touchpoint as the attributed referrer.</w:t>
      </w:r>
    </w:p>
    <w:p>
      <w:pPr>
        <w:pStyle w:val="ListParagraph"/>
        <w:numPr>
          <w:ilvl w:val="0"/>
          <w:numId w:val="3"/>
        </w:numPr>
        <w:spacing w:before="60" w:after="60"/>
      </w:pPr>
      <w:r>
        <w:rPr>
          <w:rFonts w:ascii="Arial" w:cs="Arial" w:eastAsia="Arial" w:hAnsi="Arial"/>
          <w:color w:val="1A1A1A"/>
          <w:sz w:val="22"/>
          <w:szCs w:val="22"/>
        </w:rPr>
        <w:t xml:space="preserve">Purchases with no preceding search touchpoint are excluded from the output.</w:t>
      </w:r>
    </w:p>
    <w:p>
      <w:pPr>
        <w:pStyle w:val="ListParagraph"/>
        <w:numPr>
          <w:ilvl w:val="0"/>
          <w:numId w:val="3"/>
        </w:numPr>
        <w:spacing w:before="60" w:after="60"/>
      </w:pPr>
      <w:r>
        <w:rPr>
          <w:rFonts w:ascii="Arial" w:cs="Arial" w:eastAsia="Arial" w:hAnsi="Arial"/>
          <w:color w:val="1A1A1A"/>
          <w:sz w:val="22"/>
          <w:szCs w:val="22"/>
        </w:rPr>
        <w:t xml:space="preserve">Revenue is aggregated by (search_engine_domain, search_keyword) and rounded to 2 decimal places.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2"/>
              <w:bottom w:val="single" w:color="F0C040" w:sz="1"/>
              <w:right w:val="single" w:color="F0C040" w:sz="1"/>
            </w:tcBorders>
            <w:shd w:fill="FFF9E6" w:val="clear"/>
            <w:tcMar>
              <w:top w:type="dxa" w:w="100"/>
              <w:left w:type="dxa" w:w="180"/>
              <w:bottom w:type="dxa" w:w="100"/>
              <w:right w:type="dxa" w:w="180"/>
            </w:tcMar>
          </w:tcPr>
          <w:p>
            <w:pPr>
              <w:spacing w:before="0" w:after="60"/>
            </w:pPr>
            <w:r>
              <w:rPr>
                <w:rFonts w:ascii="Arial" w:cs="Arial" w:eastAsia="Arial" w:hAnsi="Arial"/>
                <w:b/>
                <w:bCs/>
                <w:color w:val="806000"/>
                <w:sz w:val="20"/>
                <w:szCs w:val="20"/>
              </w:rPr>
              <w:t xml:space="preserve">NOTE</w:t>
            </w:r>
          </w:p>
          <w:p>
            <w:pPr>
              <w:spacing w:before="40" w:after="40"/>
            </w:pPr>
            <w:r>
              <w:rPr>
                <w:rFonts w:ascii="Arial" w:cs="Arial" w:eastAsia="Arial" w:hAnsi="Arial"/>
                <w:color w:val="1A1A1A"/>
                <w:sz w:val="20"/>
                <w:szCs w:val="20"/>
              </w:rPr>
              <w:t xml:space="preserve">IP address is used as a session proxy because the sample data has no explicit session or visitor ID column.</w:t>
            </w:r>
          </w:p>
          <w:p>
            <w:pPr>
              <w:spacing w:before="40" w:after="40"/>
            </w:pPr>
            <w:r>
              <w:rPr>
                <w:rFonts w:ascii="Arial" w:cs="Arial" w:eastAsia="Arial" w:hAnsi="Arial"/>
                <w:color w:val="1A1A1A"/>
                <w:sz w:val="20"/>
                <w:szCs w:val="20"/>
              </w:rPr>
              <w:t xml:space="preserve">Last-touch attribution means the most recent search click before a purchase gets 100% of the revenue credit.</w:t>
            </w:r>
          </w:p>
          <w:p>
            <w:pPr>
              <w:spacing w:before="40" w:after="40"/>
            </w:pPr>
            <w:r>
              <w:rPr>
                <w:rFonts w:ascii="Arial" w:cs="Arial" w:eastAsia="Arial" w:hAnsi="Arial"/>
                <w:color w:val="1A1A1A"/>
                <w:sz w:val="20"/>
                <w:szCs w:val="20"/>
              </w:rPr>
              <w:t xml:space="preserve">If a visitor performs multiple purchases in one session, each purchase is attributed independently to its own most recent search touchpoint.</w:t>
            </w:r>
          </w:p>
        </w:tc>
      </w:tr>
    </w:tbl>
    <w:p>
      <w:pPr>
        <w:spacing w:before="0" w:after="200"/>
      </w:pPr>
    </w:p>
    <w:p>
      <w:pPr>
        <w:pStyle w:val="Heading1"/>
        <w:pBdr>
          <w:bottom w:val="single" w:color="2E75B6" w:sz="6" w:space="4"/>
        </w:pBdr>
        <w:spacing w:before="360" w:after="120"/>
      </w:pPr>
      <w:r>
        <w:rPr>
          <w:rFonts w:ascii="Arial" w:cs="Arial" w:eastAsia="Arial" w:hAnsi="Arial"/>
          <w:b/>
          <w:bCs/>
          <w:color w:val="1F4E79"/>
          <w:sz w:val="36"/>
          <w:szCs w:val="36"/>
        </w:rPr>
        <w:t xml:space="preserve">6. Output File Format</w:t>
      </w:r>
    </w:p>
    <w:p>
      <w:pPr>
        <w:spacing w:before="80" w:after="120"/>
      </w:pPr>
      <w:r>
        <w:rPr>
          <w:rFonts w:ascii="Arial" w:cs="Arial" w:eastAsia="Arial" w:hAnsi="Arial"/>
          <w:color w:val="1A1A1A"/>
          <w:sz w:val="22"/>
          <w:szCs w:val="22"/>
        </w:rPr>
        <w:t xml:space="preserve">The output is a UTF-8 tab-delimited file with a header row, sorted descending by Revenue: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Engine 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Lowercased domain extracted from referrer. Example: google.com, bing.com, search.yahoo.com.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Search Keyword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Lowercased keyword extracted from the referrer query string (q= or p= parameter). URL-encoded '+' replaced with spaces.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revenue in dollars, summed across all attributed purchases for this domain+keyword combination. Rounded to 2 decimal places.</w:t>
            </w:r>
          </w:p>
        </w:tc>
      </w:tr>
    </w:tbl>
    <w:p>
      <w:pPr>
        <w:spacing w:before="0" w:after="160"/>
      </w:pPr>
    </w:p>
    <w:p>
      <w:pPr>
        <w:spacing w:before="80" w:after="120"/>
      </w:pPr>
      <w:r>
        <w:rPr>
          <w:rFonts w:ascii="Arial" w:cs="Arial" w:eastAsia="Arial" w:hAnsi="Arial"/>
          <w:color w:val="1A1A1A"/>
          <w:sz w:val="22"/>
          <w:szCs w:val="22"/>
        </w:rPr>
        <w:t xml:space="preserve">Example output (with sample data from this exercise):</w:t>
      </w:r>
    </w:p>
    <w:p>
      <w:pPr>
        <w:spacing w:before="0" w:after="40"/>
      </w:pPr>
    </w:p>
    <w:p>
      <w:pPr>
        <w:shd w:fill="1E1E1E" w:val="clear"/>
        <w:spacing w:before="40" w:after="40"/>
        <w:ind w:left="360"/>
      </w:pPr>
      <w:r>
        <w:rPr>
          <w:rFonts w:ascii="Courier New" w:cs="Courier New" w:eastAsia="Courier New" w:hAnsi="Courier New"/>
          <w:color w:val="D4D4D4"/>
          <w:sz w:val="18"/>
          <w:szCs w:val="18"/>
        </w:rPr>
        <w:t xml:space="preserve">Search Engine Domain	Search Keyword	Revenue</w:t>
      </w:r>
    </w:p>
    <w:p>
      <w:pPr>
        <w:shd w:fill="1E1E1E" w:val="clear"/>
        <w:spacing w:before="40" w:after="40"/>
        <w:ind w:left="360"/>
      </w:pPr>
      <w:r>
        <w:rPr>
          <w:rFonts w:ascii="Courier New" w:cs="Courier New" w:eastAsia="Courier New" w:hAnsi="Courier New"/>
          <w:color w:val="D4D4D4"/>
          <w:sz w:val="18"/>
          <w:szCs w:val="18"/>
        </w:rPr>
        <w:t xml:space="preserve">www.google.com      	ipod           	540.00</w:t>
      </w:r>
    </w:p>
    <w:p>
      <w:pPr>
        <w:shd w:fill="1E1E1E" w:val="clear"/>
        <w:spacing w:before="40" w:after="40"/>
        <w:ind w:left="360"/>
      </w:pPr>
      <w:r>
        <w:rPr>
          <w:rFonts w:ascii="Courier New" w:cs="Courier New" w:eastAsia="Courier New" w:hAnsi="Courier New"/>
          <w:color w:val="D4D4D4"/>
          <w:sz w:val="18"/>
          <w:szCs w:val="18"/>
        </w:rPr>
        <w:t xml:space="preserve">www.bing.com        	zune           	250.00</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040" w:sz="1"/>
              <w:left w:val="single" w:color="F0C040" w:sz="12"/>
              <w:bottom w:val="single" w:color="F0C040" w:sz="1"/>
              <w:right w:val="single" w:color="F0C040" w:sz="1"/>
            </w:tcBorders>
            <w:shd w:fill="FFF9E6" w:val="clear"/>
            <w:tcMar>
              <w:top w:type="dxa" w:w="100"/>
              <w:left w:type="dxa" w:w="180"/>
              <w:bottom w:type="dxa" w:w="100"/>
              <w:right w:type="dxa" w:w="180"/>
            </w:tcMar>
          </w:tcPr>
          <w:p>
            <w:pPr>
              <w:spacing w:before="0" w:after="60"/>
            </w:pPr>
            <w:r>
              <w:rPr>
                <w:rFonts w:ascii="Arial" w:cs="Arial" w:eastAsia="Arial" w:hAnsi="Arial"/>
                <w:b/>
                <w:bCs/>
                <w:color w:val="806000"/>
                <w:sz w:val="20"/>
                <w:szCs w:val="20"/>
              </w:rPr>
              <w:t xml:space="preserve">NOTE</w:t>
            </w:r>
          </w:p>
          <w:p>
            <w:pPr>
              <w:spacing w:before="40" w:after="40"/>
            </w:pPr>
            <w:r>
              <w:rPr>
                <w:rFonts w:ascii="Arial" w:cs="Arial" w:eastAsia="Arial" w:hAnsi="Arial"/>
                <w:color w:val="1A1A1A"/>
                <w:sz w:val="20"/>
                <w:szCs w:val="20"/>
              </w:rPr>
              <w:t xml:space="preserve">Revenue figures only include purchases where event code '1' is present in event_list. Product views (event 2) and other events do not contribute to revenue.</w:t>
            </w:r>
          </w:p>
        </w:tc>
      </w:tr>
    </w:tbl>
    <w:p>
      <w:pPr>
        <w:spacing w:before="0" w:after="200"/>
      </w:pP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7. Idempotency Design</w:t>
      </w:r>
    </w:p>
    <w:p>
      <w:pPr>
        <w:spacing w:before="80" w:after="120"/>
      </w:pPr>
      <w:r>
        <w:rPr>
          <w:rFonts w:ascii="Arial" w:cs="Arial" w:eastAsia="Arial" w:hAnsi="Arial"/>
          <w:color w:val="1A1A1A"/>
          <w:sz w:val="22"/>
          <w:szCs w:val="22"/>
        </w:rPr>
        <w:t xml:space="preserve">The pipeline uses a SHA-256 content checksum registry in S3 to prevent reprocessing the same source file multiple times. This is important because:</w:t>
      </w:r>
    </w:p>
    <w:p>
      <w:pPr>
        <w:pStyle w:val="ListParagraph"/>
        <w:numPr>
          <w:ilvl w:val="0"/>
          <w:numId w:val="2"/>
        </w:numPr>
        <w:spacing w:before="60" w:after="60"/>
      </w:pPr>
      <w:r>
        <w:rPr>
          <w:rFonts w:ascii="Arial" w:cs="Arial" w:eastAsia="Arial" w:hAnsi="Arial"/>
          <w:color w:val="1A1A1A"/>
          <w:sz w:val="22"/>
          <w:szCs w:val="22"/>
        </w:rPr>
        <w:t xml:space="preserve">The pipeline may be triggered multiple times by automated schedulers or retry logic.</w:t>
      </w:r>
    </w:p>
    <w:p>
      <w:pPr>
        <w:pStyle w:val="ListParagraph"/>
        <w:numPr>
          <w:ilvl w:val="0"/>
          <w:numId w:val="2"/>
        </w:numPr>
        <w:spacing w:before="60" w:after="60"/>
      </w:pPr>
      <w:r>
        <w:rPr>
          <w:rFonts w:ascii="Arial" w:cs="Arial" w:eastAsia="Arial" w:hAnsi="Arial"/>
          <w:color w:val="1A1A1A"/>
          <w:sz w:val="22"/>
          <w:szCs w:val="22"/>
        </w:rPr>
        <w:t xml:space="preserve">Running it twice on the same file would not produce incorrect results, but would waste Glue DPU compute costs.</w:t>
      </w:r>
    </w:p>
    <w:p>
      <w:pPr>
        <w:spacing w:before="0" w:after="160"/>
      </w:pPr>
    </w:p>
    <w:p>
      <w:pPr>
        <w:spacing w:before="80" w:after="120"/>
      </w:pPr>
      <w:r>
        <w:rPr>
          <w:rFonts w:ascii="Arial" w:cs="Arial" w:eastAsia="Arial" w:hAnsi="Arial"/>
          <w:color w:val="1A1A1A"/>
          <w:sz w:val="22"/>
          <w:szCs w:val="22"/>
        </w:rPr>
        <w:t xml:space="preserve">The checksum is computed by streaming the source file in 8 MB chunks via boto3 — it does not load the entire file into memory. This makes it safe for files well beyond 10 GB.</w:t>
      </w:r>
    </w:p>
    <w:p>
      <w:pPr>
        <w:spacing w:before="0" w:after="160"/>
      </w:pPr>
    </w:p>
    <w:p>
      <w:pPr>
        <w:spacing w:before="80" w:after="120"/>
      </w:pPr>
      <w:r>
        <w:rPr>
          <w:rFonts w:ascii="Arial" w:cs="Arial" w:eastAsia="Arial" w:hAnsi="Arial"/>
          <w:color w:val="1A1A1A"/>
          <w:sz w:val="22"/>
          <w:szCs w:val="22"/>
        </w:rPr>
        <w:t xml:space="preserve">The --force true argument bypasses this check when a forced reprocess is needed. The checksum registry entry is overwritten by the new run in this case.</w:t>
      </w:r>
    </w:p>
    <w:p>
      <w:pPr>
        <w:spacing w:before="0" w:after="200"/>
      </w:pPr>
    </w:p>
    <w:p>
      <w:pPr>
        <w:pStyle w:val="Heading1"/>
        <w:pBdr>
          <w:bottom w:val="single" w:color="2E75B6" w:sz="6" w:space="4"/>
        </w:pBdr>
        <w:spacing w:before="360" w:after="120"/>
      </w:pPr>
      <w:r>
        <w:rPr>
          <w:rFonts w:ascii="Arial" w:cs="Arial" w:eastAsia="Arial" w:hAnsi="Arial"/>
          <w:b/>
          <w:bCs/>
          <w:color w:val="1F4E79"/>
          <w:sz w:val="36"/>
          <w:szCs w:val="36"/>
        </w:rPr>
        <w:t xml:space="preserve">8. Error Handling</w:t>
      </w:r>
    </w:p>
    <w:p>
      <w:pPr>
        <w:spacing w:before="80" w:after="120"/>
      </w:pPr>
      <w:r>
        <w:rPr>
          <w:rFonts w:ascii="Arial" w:cs="Arial" w:eastAsia="Arial" w:hAnsi="Arial"/>
          <w:color w:val="1A1A1A"/>
          <w:sz w:val="22"/>
          <w:szCs w:val="22"/>
        </w:rPr>
        <w:t xml:space="preserve">The top-level try/except block wraps the entire main() call. On any unhandled exception:</w:t>
      </w:r>
    </w:p>
    <w:p>
      <w:pPr>
        <w:pStyle w:val="ListParagraph"/>
        <w:numPr>
          <w:ilvl w:val="0"/>
          <w:numId w:val="3"/>
        </w:numPr>
        <w:spacing w:before="60" w:after="60"/>
      </w:pPr>
      <w:r>
        <w:rPr>
          <w:rFonts w:ascii="Arial" w:cs="Arial" w:eastAsia="Arial" w:hAnsi="Arial"/>
          <w:color w:val="1A1A1A"/>
          <w:sz w:val="22"/>
          <w:szCs w:val="22"/>
        </w:rPr>
        <w:t xml:space="preserve">The error message is captured and logged.</w:t>
      </w:r>
    </w:p>
    <w:p>
      <w:pPr>
        <w:pStyle w:val="ListParagraph"/>
        <w:numPr>
          <w:ilvl w:val="0"/>
          <w:numId w:val="3"/>
        </w:numPr>
        <w:spacing w:before="60" w:after="60"/>
      </w:pPr>
      <w:r>
        <w:rPr>
          <w:rFonts w:ascii="Arial" w:cs="Arial" w:eastAsia="Arial" w:hAnsi="Arial"/>
          <w:color w:val="1A1A1A"/>
          <w:sz w:val="22"/>
          <w:szCs w:val="22"/>
        </w:rPr>
        <w:t xml:space="preserve">A FAILED run summary JSON is written to logs/YYYY/MM/DD/run-summary-&lt;ts&gt;.json.</w:t>
      </w:r>
    </w:p>
    <w:p>
      <w:pPr>
        <w:pStyle w:val="ListParagraph"/>
        <w:numPr>
          <w:ilvl w:val="0"/>
          <w:numId w:val="3"/>
        </w:numPr>
        <w:spacing w:before="60" w:after="60"/>
      </w:pPr>
      <w:r>
        <w:rPr>
          <w:rFonts w:ascii="Arial" w:cs="Arial" w:eastAsia="Arial" w:hAnsi="Arial"/>
          <w:color w:val="1A1A1A"/>
          <w:sz w:val="22"/>
          <w:szCs w:val="22"/>
        </w:rPr>
        <w:t xml:space="preserve">The accumulated pipeline log is written to logs/YYYY/MM/DD/pipeline-&lt;ts&gt;.log.</w:t>
      </w:r>
    </w:p>
    <w:p>
      <w:pPr>
        <w:pStyle w:val="ListParagraph"/>
        <w:numPr>
          <w:ilvl w:val="0"/>
          <w:numId w:val="3"/>
        </w:numPr>
        <w:spacing w:before="60" w:after="60"/>
      </w:pPr>
      <w:r>
        <w:rPr>
          <w:rFonts w:ascii="Arial" w:cs="Arial" w:eastAsia="Arial" w:hAnsi="Arial"/>
          <w:color w:val="1A1A1A"/>
          <w:sz w:val="22"/>
          <w:szCs w:val="22"/>
        </w:rPr>
        <w:t xml:space="preserve">The original exception is re-raised so AWS Glue marks the job run as FAILED.</w:t>
      </w:r>
    </w:p>
    <w:p>
      <w:pPr>
        <w:spacing w:before="0" w:after="160"/>
      </w:pPr>
    </w:p>
    <w:p>
      <w:pPr>
        <w:spacing w:before="80" w:after="120"/>
      </w:pPr>
      <w:r>
        <w:rPr>
          <w:rFonts w:ascii="Arial" w:cs="Arial" w:eastAsia="Arial" w:hAnsi="Arial"/>
          <w:color w:val="1A1A1A"/>
          <w:sz w:val="22"/>
          <w:szCs w:val="22"/>
        </w:rPr>
        <w:t xml:space="preserve">S3 keys are constructed once before main() is called. This ensures the FAILED summary and log are always written to the same timestamped paths that the successful run would have used — not to a new set of paths generated at the time of the exception.</w:t>
      </w:r>
    </w:p>
    <w:p>
      <w:pPr>
        <w:spacing w:before="0" w:after="200"/>
      </w:pPr>
    </w:p>
    <w:p>
      <w:pPr>
        <w:pStyle w:val="Heading1"/>
        <w:pBdr>
          <w:bottom w:val="single" w:color="2E75B6" w:sz="6" w:space="4"/>
        </w:pBdr>
        <w:spacing w:before="360" w:after="120"/>
      </w:pPr>
      <w:r>
        <w:rPr>
          <w:rFonts w:ascii="Arial" w:cs="Arial" w:eastAsia="Arial" w:hAnsi="Arial"/>
          <w:b/>
          <w:bCs/>
          <w:color w:val="1F4E79"/>
          <w:sz w:val="36"/>
          <w:szCs w:val="36"/>
        </w:rPr>
        <w:t xml:space="preserve">9.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Constant / Argument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glue_job.py line 28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the constant in glue_job.py and re-upload the script.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SEARCH_ENGINE_PATTERNS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glue_job.py line 37</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 or remove domain substrings from the list. No business logic changes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Expected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metadata_config.json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the file and re-upload to S3. The Glue job reads it via --extra-files on next run.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Job argument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Pass at job invocation. Not persisted between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spark.sql.shuffle.partitions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glue_job.py line 98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Increase for very large files (default 200). Rule of thumb: 2-4x the number of vCPUs.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coalesce(1)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glue_job.py Step 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Remove for 10 GB+ files. Write partitioned output and use S3 Batch Ops to rename. See Scalability.</w:t>
            </w:r>
          </w:p>
        </w:tc>
      </w:tr>
    </w:tbl>
    <w:p>
      <w:pPr>
        <w:spacing w:before="0" w:after="200"/>
      </w:pPr>
    </w:p>
    <w:p>
      <w:r>
        <w:br w:type="page"/>
      </w:r>
    </w:p>
    <w:p>
      <w:pPr>
        <w:pStyle w:val="Heading1"/>
        <w:pBdr>
          <w:bottom w:val="single" w:color="2E75B6" w:sz="6" w:space="4"/>
        </w:pBdr>
        <w:spacing w:before="360" w:after="120"/>
      </w:pPr>
      <w:r>
        <w:rPr>
          <w:rFonts w:ascii="Arial" w:cs="Arial" w:eastAsia="Arial" w:hAnsi="Arial"/>
          <w:b/>
          <w:bCs/>
          <w:color w:val="1F4E79"/>
          <w:sz w:val="36"/>
          <w:szCs w:val="36"/>
        </w:rPr>
        <w:t xml:space="preserve">10. Local Testing</w:t>
      </w:r>
    </w:p>
    <w:p>
      <w:pPr>
        <w:spacing w:before="80" w:after="120"/>
      </w:pPr>
      <w:r>
        <w:rPr>
          <w:rFonts w:ascii="Arial" w:cs="Arial" w:eastAsia="Arial" w:hAnsi="Arial"/>
          <w:color w:val="1A1A1A"/>
          <w:sz w:val="22"/>
          <w:szCs w:val="22"/>
        </w:rPr>
        <w:t xml:space="preserve">The standalone metadata_profiler.py can be run locally against any tab-delimited file without an AWS connection:</w:t>
      </w:r>
    </w:p>
    <w:p>
      <w:pPr>
        <w:spacing w:before="0" w:after="80"/>
      </w:pPr>
    </w:p>
    <w:p>
      <w:pPr>
        <w:shd w:fill="1E1E1E" w:val="clear"/>
        <w:spacing w:before="40" w:after="40"/>
        <w:ind w:left="360"/>
      </w:pPr>
      <w:r>
        <w:rPr>
          <w:rFonts w:ascii="Courier New" w:cs="Courier New" w:eastAsia="Courier New" w:hAnsi="Courier New"/>
          <w:color w:val="D4D4D4"/>
          <w:sz w:val="18"/>
          <w:szCs w:val="18"/>
        </w:rPr>
        <w:t xml:space="preserve">from metadata_profiler import MetadataProfiler</w:t>
      </w:r>
    </w:p>
    <w:p>
      <w:pPr>
        <w:shd w:fill="1E1E1E" w:val="clear"/>
        <w:spacing w:before="40" w:after="40"/>
        <w:ind w:left="360"/>
      </w:pPr>
      <w:r>
        <w:rPr>
          <w:rFonts w:ascii="Courier New" w:cs="Courier New" w:eastAsia="Courier New" w:hAnsi="Courier New"/>
          <w:color w:val="D4D4D4"/>
          <w:sz w:val="18"/>
          <w:szCs w:val="18"/>
        </w:rPr>
        <w:t xml:space="preserve">import json</w:t>
      </w:r>
    </w:p>
    <w:p>
      <w:pPr>
        <w:shd w:fill="1E1E1E" w:val="clear"/>
        <w:spacing w:before="40" w:after="40"/>
        <w:ind w:left="360"/>
      </w:pPr>
      <w:r>
        <w:rPr>
          <w:rFonts w:ascii="Courier New" w:cs="Courier New" w:eastAsia="Courier New" w:hAnsi="Courier New"/>
          <w:color w:val="D4D4D4"/>
          <w:sz w:val="18"/>
          <w:szCs w:val="18"/>
        </w:rPr>
        <w:t xml:space="preserve"/>
      </w:r>
    </w:p>
    <w:p>
      <w:pPr>
        <w:shd w:fill="1E1E1E" w:val="clear"/>
        <w:spacing w:before="40" w:after="40"/>
        <w:ind w:left="360"/>
      </w:pPr>
      <w:r>
        <w:rPr>
          <w:rFonts w:ascii="Courier New" w:cs="Courier New" w:eastAsia="Courier New" w:hAnsi="Courier New"/>
          <w:color w:val="D4D4D4"/>
          <w:sz w:val="18"/>
          <w:szCs w:val="18"/>
        </w:rPr>
        <w:t xml:space="preserve">profiler = MetadataProfiler(</w:t>
      </w:r>
    </w:p>
    <w:p>
      <w:pPr>
        <w:shd w:fill="1E1E1E" w:val="clear"/>
        <w:spacing w:before="40" w:after="40"/>
        <w:ind w:left="360"/>
      </w:pPr>
      <w:r>
        <w:rPr>
          <w:rFonts w:ascii="Courier New" w:cs="Courier New" w:eastAsia="Courier New" w:hAnsi="Courier New"/>
          <w:color w:val="D4D4D4"/>
          <w:sz w:val="18"/>
          <w:szCs w:val="18"/>
        </w:rPr>
        <w:t xml:space="preserve">    input_file='sample_data.sql',</w:t>
      </w:r>
    </w:p>
    <w:p>
      <w:pPr>
        <w:shd w:fill="1E1E1E" w:val="clear"/>
        <w:spacing w:before="40" w:after="40"/>
        <w:ind w:left="360"/>
      </w:pPr>
      <w:r>
        <w:rPr>
          <w:rFonts w:ascii="Courier New" w:cs="Courier New" w:eastAsia="Courier New" w:hAnsi="Courier New"/>
          <w:color w:val="D4D4D4"/>
          <w:sz w:val="18"/>
          <w:szCs w:val="18"/>
        </w:rPr>
        <w:t xml:space="preserve">    delimiter='\t',</w:t>
      </w:r>
    </w:p>
    <w:p>
      <w:pPr>
        <w:shd w:fill="1E1E1E" w:val="clear"/>
        <w:spacing w:before="40" w:after="40"/>
        <w:ind w:left="360"/>
      </w:pPr>
      <w:r>
        <w:rPr>
          <w:rFonts w:ascii="Courier New" w:cs="Courier New" w:eastAsia="Courier New" w:hAnsi="Courier New"/>
          <w:color w:val="D4D4D4"/>
          <w:sz w:val="18"/>
          <w:szCs w:val="18"/>
        </w:rPr>
        <w:t xml:space="preserve">    expected_columns=[</w:t>
      </w:r>
    </w:p>
    <w:p>
      <w:pPr>
        <w:shd w:fill="1E1E1E" w:val="clear"/>
        <w:spacing w:before="40" w:after="40"/>
        <w:ind w:left="360"/>
      </w:pPr>
      <w:r>
        <w:rPr>
          <w:rFonts w:ascii="Courier New" w:cs="Courier New" w:eastAsia="Courier New" w:hAnsi="Courier New"/>
          <w:color w:val="D4D4D4"/>
          <w:sz w:val="18"/>
          <w:szCs w:val="18"/>
        </w:rPr>
        <w:t xml:space="preserve">        {"name": "hit_time_gmt", "type": "int"},</w:t>
      </w:r>
    </w:p>
    <w:p>
      <w:pPr>
        <w:shd w:fill="1E1E1E" w:val="clear"/>
        <w:spacing w:before="40" w:after="40"/>
        <w:ind w:left="360"/>
      </w:pPr>
      <w:r>
        <w:rPr>
          <w:rFonts w:ascii="Courier New" w:cs="Courier New" w:eastAsia="Courier New" w:hAnsi="Courier New"/>
          <w:color w:val="D4D4D4"/>
          <w:sz w:val="18"/>
          <w:szCs w:val="18"/>
        </w:rPr>
        <w:t xml:space="preserve">        {"name": "date_time",    "type": "datetime"}</w:t>
      </w:r>
    </w:p>
    <w:p>
      <w:pPr>
        <w:shd w:fill="1E1E1E" w:val="clear"/>
        <w:spacing w:before="40" w:after="40"/>
        <w:ind w:left="360"/>
      </w:pPr>
      <w:r>
        <w:rPr>
          <w:rFonts w:ascii="Courier New" w:cs="Courier New" w:eastAsia="Courier New" w:hAnsi="Courier New"/>
          <w:color w:val="D4D4D4"/>
          <w:sz w:val="18"/>
          <w:szCs w:val="18"/>
        </w:rPr>
        <w:t xml:space="preserve">    ]</w:t>
      </w:r>
    </w:p>
    <w:p>
      <w:pPr>
        <w:shd w:fill="1E1E1E" w:val="clear"/>
        <w:spacing w:before="40" w:after="40"/>
        <w:ind w:left="360"/>
      </w:pPr>
      <w:r>
        <w:rPr>
          <w:rFonts w:ascii="Courier New" w:cs="Courier New" w:eastAsia="Courier New" w:hAnsi="Courier New"/>
          <w:color w:val="D4D4D4"/>
          <w:sz w:val="18"/>
          <w:szCs w:val="18"/>
        </w:rPr>
        <w:t xml:space="preserve">)</w:t>
      </w:r>
    </w:p>
    <w:p>
      <w:pPr>
        <w:shd w:fill="1E1E1E" w:val="clear"/>
        <w:spacing w:before="40" w:after="40"/>
        <w:ind w:left="360"/>
      </w:pPr>
      <w:r>
        <w:rPr>
          <w:rFonts w:ascii="Courier New" w:cs="Courier New" w:eastAsia="Courier New" w:hAnsi="Courier New"/>
          <w:color w:val="D4D4D4"/>
          <w:sz w:val="18"/>
          <w:szCs w:val="18"/>
        </w:rPr>
        <w:t xml:space="preserve">report = profiler.profile('local', 'sample_data.sql')</w:t>
      </w:r>
    </w:p>
    <w:p>
      <w:pPr>
        <w:shd w:fill="1E1E1E" w:val="clear"/>
        <w:spacing w:before="40" w:after="40"/>
        <w:ind w:left="360"/>
      </w:pPr>
      <w:r>
        <w:rPr>
          <w:rFonts w:ascii="Courier New" w:cs="Courier New" w:eastAsia="Courier New" w:hAnsi="Courier New"/>
          <w:color w:val="D4D4D4"/>
          <w:sz w:val="18"/>
          <w:szCs w:val="18"/>
        </w:rPr>
        <w:t xml:space="preserve">print(json.dumps(report, indent=2))</w:t>
      </w:r>
    </w:p>
    <w:p>
      <w:pPr>
        <w:spacing w:before="0" w:after="160"/>
      </w:pPr>
    </w:p>
    <w:p>
      <w:pPr>
        <w:spacing w:before="80" w:after="120"/>
      </w:pPr>
      <w:r>
        <w:rPr>
          <w:rFonts w:ascii="Arial" w:cs="Arial" w:eastAsia="Arial" w:hAnsi="Arial"/>
          <w:color w:val="1A1A1A"/>
          <w:sz w:val="22"/>
          <w:szCs w:val="22"/>
        </w:rPr>
        <w:t xml:space="preserve">To test the full business logic locally, use PySpark in local mode:</w:t>
      </w:r>
    </w:p>
    <w:p>
      <w:pPr>
        <w:spacing w:before="0" w:after="80"/>
      </w:pPr>
    </w:p>
    <w:p>
      <w:pPr>
        <w:shd w:fill="1E1E1E" w:val="clear"/>
        <w:spacing w:before="40" w:after="40"/>
        <w:ind w:left="360"/>
      </w:pPr>
      <w:r>
        <w:rPr>
          <w:rFonts w:ascii="Courier New" w:cs="Courier New" w:eastAsia="Courier New" w:hAnsi="Courier New"/>
          <w:color w:val="D4D4D4"/>
          <w:sz w:val="18"/>
          <w:szCs w:val="18"/>
        </w:rPr>
        <w:t xml:space="preserve">export PYSPARK_PYTHON=python3</w:t>
      </w:r>
    </w:p>
    <w:p>
      <w:pPr>
        <w:shd w:fill="1E1E1E" w:val="clear"/>
        <w:spacing w:before="40" w:after="40"/>
        <w:ind w:left="360"/>
      </w:pPr>
      <w:r>
        <w:rPr>
          <w:rFonts w:ascii="Courier New" w:cs="Courier New" w:eastAsia="Courier New" w:hAnsi="Courier New"/>
          <w:color w:val="D4D4D4"/>
          <w:sz w:val="18"/>
          <w:szCs w:val="18"/>
        </w:rPr>
        <w:t xml:space="preserve">pyspark --master local[*]</w:t>
      </w:r>
    </w:p>
    <w:p>
      <w:pPr>
        <w:spacing w:before="0" w:after="200"/>
      </w:pPr>
    </w:p>
    <w:p>
      <w:pPr>
        <w:pStyle w:val="Heading1"/>
        <w:pBdr>
          <w:bottom w:val="single" w:color="2E75B6" w:sz="6" w:space="4"/>
        </w:pBdr>
        <w:spacing w:before="360" w:after="120"/>
      </w:pPr>
      <w:r>
        <w:rPr>
          <w:rFonts w:ascii="Arial" w:cs="Arial" w:eastAsia="Arial" w:hAnsi="Arial"/>
          <w:b/>
          <w:bCs/>
          <w:color w:val="1F4E79"/>
          <w:sz w:val="36"/>
          <w:szCs w:val="36"/>
        </w:rPr>
        <w:t xml:space="preserve">11.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5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 / Mitigation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coalesce(1) bottleneck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Single-executor write is safe up to ~2 GB. For 10 GB+: remove coalesce(1) and implement S3 Batch Operations rename.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IP as session proxy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Multiple visitors behind the same NAT/proxy IP may have their sessions conflated. A proper visitor ID column would improve attribution accuracy.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Last-touch only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model gives 100% credit to the most recent search click. First-touch, linear, or data-driven models would require a more complex attribution calculation.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Keyword URL-decoding partial</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Only + is replaced with space. Full URL percent-decoding (%20, %2B, etc.) is not applied. A UDF or regex could extend this.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Hardcoded search engines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Patterns are in SEARCH_ENGINE_PATTERNS constant. Any engine not in the list is ignored. Adding entries requires a code change and re-deploy.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Output overwrites same day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Re-running with --force on the same calendar day overwrites the processed output .tab file. Logs and metadata files are always timestamped and never overwritten.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rFonts w:ascii="Arial" w:cs="Arial" w:eastAsia="Arial" w:hAnsi="Arial"/>
        <w:color w:val="888888"/>
        <w:sz w:val="16"/>
        <w:szCs w:val="16"/>
      </w:rPr>
      <w:t xml:space="preserve">ACS Data Engineering</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2E75B6"/>
        <w:sz w:val="18"/>
        <w:szCs w:val="18"/>
      </w:rPr>
      <w:t xml:space="preserve">Search Keyword Revenue Pipeline  |  Technical Documentation</w:t>
    </w:r>
    <w:r>
      <w:rPr>
        <w:rFonts w:ascii="Arial" w:cs="Arial" w:eastAsia="Arial" w:hAnsi="Arial"/>
        <w:color w:val="595959"/>
        <w:sz w:val="18"/>
        <w:szCs w:val="18"/>
      </w:rPr>
      <w:t xml:space="preserve">	v2.0  2026-03-13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2026-03-13T06:44:17.246Z</dcterms:created>
  <dcterms:modified xsi:type="dcterms:W3CDTF">2026-03-13T06:44:17.246Z</dcterms:modified>
</cp:coreProperties>
</file>

<file path=docProps/custom.xml><?xml version="1.0" encoding="utf-8"?>
<Properties xmlns="http://schemas.openxmlformats.org/officeDocument/2006/custom-properties" xmlns:vt="http://schemas.openxmlformats.org/officeDocument/2006/docPropsVTypes"/>
</file>