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20"/>
      </w:pPr>
      <w:r>
        <w:rPr>
          <w:rFonts w:ascii="Calibri" w:cs="Calibri" w:eastAsia="Calibri" w:hAnsi="Calibri"/>
          <w:b/>
          <w:bCs/>
          <w:color w:val="000000"/>
          <w:sz w:val="28"/>
          <w:szCs w:val="28"/>
        </w:rPr>
        <w:t xml:space="preserve">MATERIALS AND METHODOLOGY</w:t>
      </w:r>
    </w:p>
    <w:p>
      <w:pPr>
        <w:pStyle w:val="Heading2"/>
        <w:spacing w:after="120" w:before="260"/>
      </w:pPr>
      <w:r>
        <w:rPr>
          <w:rFonts w:ascii="Calibri" w:cs="Calibri" w:eastAsia="Calibri" w:hAnsi="Calibri"/>
          <w:b/>
          <w:bCs/>
          <w:color w:val="000000"/>
          <w:sz w:val="24"/>
          <w:szCs w:val="24"/>
        </w:rPr>
        <w:t xml:space="preserve">2.1 Study Area: Dhaka City, Bangladesh</w:t>
      </w:r>
    </w:p>
    <w:p>
      <w:pPr>
        <w:spacing w:after="160" w:line="276"/>
        <w:jc w:val="both"/>
      </w:pPr>
      <w:r>
        <w:rPr>
          <w:rFonts w:ascii="Calibri" w:cs="Calibri" w:eastAsia="Calibri" w:hAnsi="Calibri"/>
          <w:b w:val="false"/>
          <w:bCs w:val="false"/>
          <w:i w:val="false"/>
          <w:iCs w:val="false"/>
          <w:color w:val="000000"/>
          <w:sz w:val="21"/>
          <w:szCs w:val="21"/>
        </w:rPr>
        <w:t xml:space="preserve">Dhaka City — the capital of the People's Republic of Bangladesh — is situated in the central Bengal delta at approximately 23°42′N latitude and 90°22′E longitude, within a low-lying alluvial floodplain traversed by the Buriganga, Turag, Balu, and Shitalakshya rivers. The Dhaka City Corporation (DCC) — administratively divided into the Dhaka North City Corporation (DNCC) and Dhaka South City Corporation (DSCC) — encompasses approximately 306 km² of administrative area, while the broader Dhaka Metropolitan Area (DMA) extends across approximately 1,528 km². The study domain for this investigation is defined by the bounding coordinates [Insert: e.g., 23.60°N–23.90°N, 90.28°E–90.55°E], encompassing both city corporations and their immediate peri-urban transition zones, totalling approximately 306 km².</w:t>
      </w:r>
    </w:p>
    <w:p>
      <w:pPr>
        <w:spacing w:after="160" w:line="276"/>
        <w:jc w:val="both"/>
      </w:pPr>
      <w:r>
        <w:rPr>
          <w:rFonts w:ascii="Calibri" w:cs="Calibri" w:eastAsia="Calibri" w:hAnsi="Calibri"/>
          <w:b w:val="false"/>
          <w:bCs w:val="false"/>
          <w:i w:val="false"/>
          <w:iCs w:val="false"/>
          <w:color w:val="000000"/>
          <w:sz w:val="21"/>
          <w:szCs w:val="21"/>
        </w:rPr>
        <w:t xml:space="preserve">Demographically, Dhaka's population has expanded from an estimated [Insert, e.g., 3.5 million] in 1985 to approximately [Insert, e.g., 22 million] by 2025 — a [Insert, e.g., 6.3×] multiplication within the 50-year study window — driven by sustained rural-to-urban migration, climate-induced displacement from coastal and riverine hazard zones, and natural population growth. Climatically, Dhaka falls within the tropical monsoon classification (Köppen Aw/Am boundary zone), characterised by a pronounced wet monsoon season (June–October), a brief cool-dry season (November–February), and a hot pre-monsoon period (March–May) during which UHI effects reach their annual maximum intensity. Remote sensing imagery for all five epochs was preferentially acquired during the November–February dry-season window to minimise cloud contamination and ensure spectral and thermal comparability of NDBI, NDVI, NDMI, and LST across sensor generations.</w:t>
      </w:r>
    </w:p>
    <w:p>
      <w:pPr>
        <w:pStyle w:val="Heading2"/>
        <w:spacing w:after="120" w:before="260"/>
      </w:pPr>
      <w:r>
        <w:rPr>
          <w:rFonts w:ascii="Calibri" w:cs="Calibri" w:eastAsia="Calibri" w:hAnsi="Calibri"/>
          <w:b/>
          <w:bCs/>
          <w:color w:val="000000"/>
          <w:sz w:val="24"/>
          <w:szCs w:val="24"/>
        </w:rPr>
        <w:t xml:space="preserve">2.2 Module M1: Data Acquisition</w:t>
      </w:r>
    </w:p>
    <w:p>
      <w:pPr>
        <w:pStyle w:val="Heading3"/>
        <w:spacing w:after="100" w:before="200"/>
      </w:pPr>
      <w:r>
        <w:rPr>
          <w:rFonts w:ascii="Calibri" w:cs="Calibri" w:eastAsia="Calibri" w:hAnsi="Calibri"/>
          <w:b/>
          <w:bCs/>
          <w:i/>
          <w:iCs/>
          <w:color w:val="000000"/>
          <w:sz w:val="22"/>
          <w:szCs w:val="22"/>
        </w:rPr>
        <w:t xml:space="preserve">2.2.1 Landsat Multi-Sensor Remote Sensing Archive</w:t>
      </w:r>
    </w:p>
    <w:p>
      <w:pPr>
        <w:spacing w:after="160" w:line="276"/>
        <w:jc w:val="both"/>
      </w:pPr>
      <w:r>
        <w:rPr>
          <w:rFonts w:ascii="Calibri" w:cs="Calibri" w:eastAsia="Calibri" w:hAnsi="Calibri"/>
          <w:b w:val="false"/>
          <w:bCs w:val="false"/>
          <w:i w:val="false"/>
          <w:iCs w:val="false"/>
          <w:color w:val="000000"/>
          <w:sz w:val="21"/>
          <w:szCs w:val="21"/>
        </w:rPr>
        <w:t xml:space="preserve">The primary remote sensing data source for all index computation (NDBI, NDVI, NDMI, LST) and LULC classification is the USGS Landsat Collection 2 archive, accessed via USGS EarthExplorer and the Google Earth Engine (GEE) cloud computing platform (U.S. Geological Survey, 2020). Five Landsat scenes — one per temporal epoch — were acquired under the following constraints: (i) dry-season acquisition window (November–February); (ii) cloud cover ≤ 10% within the study domain boundary (assessed from the CFmask QA_PIXEL quality band); (iii) availability of matched Collection 2 Level-2 Surface Reflectance (SR) and Surface Temperature (ST) products; (iv) minimal aerosol loading based on visual inspection of the panchromatic band. Where cloud cover exceeded the threshold, the nearest temporally adjacent acceptable scene within the same dry season was substituted.</w:t>
      </w:r>
    </w:p>
    <w:p>
      <w:pPr>
        <w:spacing w:after="80" w:before="120"/>
        <w:jc w:val="center"/>
      </w:pPr>
      <w:r>
        <w:rPr>
          <w:rFonts w:ascii="Calibri" w:cs="Calibri" w:eastAsia="Calibri" w:hAnsi="Calibri"/>
          <w:i/>
          <w:iCs/>
          <w:color w:val="000000"/>
          <w:sz w:val="19"/>
          <w:szCs w:val="19"/>
        </w:rPr>
        <w:t xml:space="preserve">Table 1. Multi-sensor Landsat data acquisition summary for the five temporal benchmarks (1985–2025).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800"/>
        <w:gridCol w:w="1800"/>
        <w:gridCol w:w="1200"/>
        <w:gridCol w:w="1400"/>
        <w:gridCol w:w="1638"/>
      </w:tblGrid>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Calibri" w:cs="Calibri" w:eastAsia="Calibri" w:hAnsi="Calibri"/>
                <w:b/>
                <w:bCs/>
                <w:i w:val="false"/>
                <w:iCs w:val="false"/>
                <w:color w:val="000000"/>
                <w:sz w:val="18"/>
                <w:szCs w:val="18"/>
              </w:rPr>
              <w:t xml:space="preserve">Epoch</w:t>
            </w: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Calibri" w:cs="Calibri" w:eastAsia="Calibri" w:hAnsi="Calibri"/>
                <w:b/>
                <w:bCs/>
                <w:i w:val="false"/>
                <w:iCs w:val="false"/>
                <w:color w:val="000000"/>
                <w:sz w:val="18"/>
                <w:szCs w:val="18"/>
              </w:rPr>
              <w:t xml:space="preserve">Year</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Calibri" w:cs="Calibri" w:eastAsia="Calibri" w:hAnsi="Calibri"/>
                <w:b/>
                <w:bCs/>
                <w:i w:val="false"/>
                <w:iCs w:val="false"/>
                <w:color w:val="000000"/>
                <w:sz w:val="18"/>
                <w:szCs w:val="18"/>
              </w:rPr>
              <w:t xml:space="preserve">Sensor</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Calibri" w:cs="Calibri" w:eastAsia="Calibri" w:hAnsi="Calibri"/>
                <w:b/>
                <w:bCs/>
                <w:i w:val="false"/>
                <w:iCs w:val="false"/>
                <w:color w:val="000000"/>
                <w:sz w:val="18"/>
                <w:szCs w:val="18"/>
              </w:rPr>
              <w:t xml:space="preserve">Acquisition Target</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Calibri" w:cs="Calibri" w:eastAsia="Calibri" w:hAnsi="Calibri"/>
                <w:b/>
                <w:bCs/>
                <w:i w:val="false"/>
                <w:iCs w:val="false"/>
                <w:color w:val="000000"/>
                <w:sz w:val="18"/>
                <w:szCs w:val="18"/>
              </w:rPr>
              <w:t xml:space="preserve">Opt. Res.</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Calibri" w:cs="Calibri" w:eastAsia="Calibri" w:hAnsi="Calibri"/>
                <w:b/>
                <w:bCs/>
                <w:i w:val="false"/>
                <w:iCs w:val="false"/>
                <w:color w:val="000000"/>
                <w:sz w:val="18"/>
                <w:szCs w:val="18"/>
              </w:rPr>
              <w:t xml:space="preserve">TIR Res.</w:t>
            </w:r>
          </w:p>
        </w:tc>
        <w:tc>
          <w:tcPr>
            <w:tcW w:type="dxa" w:w="16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Calibri" w:cs="Calibri" w:eastAsia="Calibri" w:hAnsi="Calibri"/>
                <w:b/>
                <w:bCs/>
                <w:i w:val="false"/>
                <w:iCs w:val="false"/>
                <w:color w:val="000000"/>
                <w:sz w:val="18"/>
                <w:szCs w:val="18"/>
              </w:rPr>
              <w:t xml:space="preserve">Source</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Calibri" w:cs="Calibri" w:eastAsia="Calibri" w:hAnsi="Calibri"/>
                <w:b w:val="false"/>
                <w:bCs w:val="false"/>
                <w:i w:val="false"/>
                <w:iCs w:val="false"/>
                <w:color w:val="000000"/>
                <w:sz w:val="18"/>
                <w:szCs w:val="18"/>
              </w:rPr>
              <w:t xml:space="preserve">1</w:t>
            </w: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Calibri" w:cs="Calibri" w:eastAsia="Calibri" w:hAnsi="Calibri"/>
                <w:b w:val="false"/>
                <w:bCs w:val="false"/>
                <w:i w:val="false"/>
                <w:iCs w:val="false"/>
                <w:color w:val="000000"/>
                <w:sz w:val="18"/>
                <w:szCs w:val="18"/>
              </w:rPr>
              <w:t xml:space="preserve">1985</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18"/>
                <w:szCs w:val="18"/>
              </w:rPr>
              <w:t xml:space="preserve">Landsat 5 TM</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18"/>
                <w:szCs w:val="18"/>
              </w:rPr>
              <w:t xml:space="preserve">[Jan–Feb 1985]</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Calibri" w:cs="Calibri" w:eastAsia="Calibri" w:hAnsi="Calibri"/>
                <w:b w:val="false"/>
                <w:bCs w:val="false"/>
                <w:i w:val="false"/>
                <w:iCs w:val="false"/>
                <w:color w:val="000000"/>
                <w:sz w:val="18"/>
                <w:szCs w:val="18"/>
              </w:rPr>
              <w:t xml:space="preserve">30 m</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Calibri" w:cs="Calibri" w:eastAsia="Calibri" w:hAnsi="Calibri"/>
                <w:b w:val="false"/>
                <w:bCs w:val="false"/>
                <w:i w:val="false"/>
                <w:iCs w:val="false"/>
                <w:color w:val="000000"/>
                <w:sz w:val="18"/>
                <w:szCs w:val="18"/>
              </w:rPr>
              <w:t xml:space="preserve">120 m → 30 m</w:t>
            </w:r>
          </w:p>
        </w:tc>
        <w:tc>
          <w:tcPr>
            <w:tcW w:type="dxa" w:w="16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18"/>
                <w:szCs w:val="18"/>
              </w:rPr>
              <w:t xml:space="preserve">USGS EE</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Calibri" w:cs="Calibri" w:eastAsia="Calibri" w:hAnsi="Calibri"/>
                <w:b w:val="false"/>
                <w:bCs w:val="false"/>
                <w:i w:val="false"/>
                <w:iCs w:val="false"/>
                <w:color w:val="000000"/>
                <w:sz w:val="18"/>
                <w:szCs w:val="18"/>
              </w:rPr>
              <w:t xml:space="preserve">2</w:t>
            </w: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Calibri" w:cs="Calibri" w:eastAsia="Calibri" w:hAnsi="Calibri"/>
                <w:b w:val="false"/>
                <w:bCs w:val="false"/>
                <w:i w:val="false"/>
                <w:iCs w:val="false"/>
                <w:color w:val="000000"/>
                <w:sz w:val="18"/>
                <w:szCs w:val="18"/>
              </w:rPr>
              <w:t xml:space="preserve">1995</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18"/>
                <w:szCs w:val="18"/>
              </w:rPr>
              <w:t xml:space="preserve">Landsat 5 TM</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18"/>
                <w:szCs w:val="18"/>
              </w:rPr>
              <w:t xml:space="preserve">[Dec 1994–Feb 1995]</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Calibri" w:cs="Calibri" w:eastAsia="Calibri" w:hAnsi="Calibri"/>
                <w:b w:val="false"/>
                <w:bCs w:val="false"/>
                <w:i w:val="false"/>
                <w:iCs w:val="false"/>
                <w:color w:val="000000"/>
                <w:sz w:val="18"/>
                <w:szCs w:val="18"/>
              </w:rPr>
              <w:t xml:space="preserve">30 m</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Calibri" w:cs="Calibri" w:eastAsia="Calibri" w:hAnsi="Calibri"/>
                <w:b w:val="false"/>
                <w:bCs w:val="false"/>
                <w:i w:val="false"/>
                <w:iCs w:val="false"/>
                <w:color w:val="000000"/>
                <w:sz w:val="18"/>
                <w:szCs w:val="18"/>
              </w:rPr>
              <w:t xml:space="preserve">120 m → 30 m</w:t>
            </w:r>
          </w:p>
        </w:tc>
        <w:tc>
          <w:tcPr>
            <w:tcW w:type="dxa" w:w="16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18"/>
                <w:szCs w:val="18"/>
              </w:rPr>
              <w:t xml:space="preserve">USGS EE</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Calibri" w:cs="Calibri" w:eastAsia="Calibri" w:hAnsi="Calibri"/>
                <w:b w:val="false"/>
                <w:bCs w:val="false"/>
                <w:i w:val="false"/>
                <w:iCs w:val="false"/>
                <w:color w:val="000000"/>
                <w:sz w:val="18"/>
                <w:szCs w:val="18"/>
              </w:rPr>
              <w:t xml:space="preserve">3</w:t>
            </w: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Calibri" w:cs="Calibri" w:eastAsia="Calibri" w:hAnsi="Calibri"/>
                <w:b w:val="false"/>
                <w:bCs w:val="false"/>
                <w:i w:val="false"/>
                <w:iCs w:val="false"/>
                <w:color w:val="000000"/>
                <w:sz w:val="18"/>
                <w:szCs w:val="18"/>
              </w:rPr>
              <w:t xml:space="preserve">2005</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18"/>
                <w:szCs w:val="18"/>
              </w:rPr>
              <w:t xml:space="preserve">Landsat 7 ETM+</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18"/>
                <w:szCs w:val="18"/>
              </w:rPr>
              <w:t xml:space="preserve">[Jan 2005]</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Calibri" w:cs="Calibri" w:eastAsia="Calibri" w:hAnsi="Calibri"/>
                <w:b w:val="false"/>
                <w:bCs w:val="false"/>
                <w:i w:val="false"/>
                <w:iCs w:val="false"/>
                <w:color w:val="000000"/>
                <w:sz w:val="18"/>
                <w:szCs w:val="18"/>
              </w:rPr>
              <w:t xml:space="preserve">30 m</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Calibri" w:cs="Calibri" w:eastAsia="Calibri" w:hAnsi="Calibri"/>
                <w:b w:val="false"/>
                <w:bCs w:val="false"/>
                <w:i w:val="false"/>
                <w:iCs w:val="false"/>
                <w:color w:val="000000"/>
                <w:sz w:val="18"/>
                <w:szCs w:val="18"/>
              </w:rPr>
              <w:t xml:space="preserve">60 m → 30 m</w:t>
            </w:r>
          </w:p>
        </w:tc>
        <w:tc>
          <w:tcPr>
            <w:tcW w:type="dxa" w:w="16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18"/>
                <w:szCs w:val="18"/>
              </w:rPr>
              <w:t xml:space="preserve">USGS EE</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Calibri" w:cs="Calibri" w:eastAsia="Calibri" w:hAnsi="Calibri"/>
                <w:b w:val="false"/>
                <w:bCs w:val="false"/>
                <w:i w:val="false"/>
                <w:iCs w:val="false"/>
                <w:color w:val="000000"/>
                <w:sz w:val="18"/>
                <w:szCs w:val="18"/>
              </w:rPr>
              <w:t xml:space="preserve">4</w:t>
            </w: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Calibri" w:cs="Calibri" w:eastAsia="Calibri" w:hAnsi="Calibri"/>
                <w:b w:val="false"/>
                <w:bCs w:val="false"/>
                <w:i w:val="false"/>
                <w:iCs w:val="false"/>
                <w:color w:val="000000"/>
                <w:sz w:val="18"/>
                <w:szCs w:val="18"/>
              </w:rPr>
              <w:t xml:space="preserve">2015</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18"/>
                <w:szCs w:val="18"/>
              </w:rPr>
              <w:t xml:space="preserve">Landsat 8 OLI/TIRS</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18"/>
                <w:szCs w:val="18"/>
              </w:rPr>
              <w:t xml:space="preserve">[Dec 2014–Feb 2015]</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Calibri" w:cs="Calibri" w:eastAsia="Calibri" w:hAnsi="Calibri"/>
                <w:b w:val="false"/>
                <w:bCs w:val="false"/>
                <w:i w:val="false"/>
                <w:iCs w:val="false"/>
                <w:color w:val="000000"/>
                <w:sz w:val="18"/>
                <w:szCs w:val="18"/>
              </w:rPr>
              <w:t xml:space="preserve">30 m</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Calibri" w:cs="Calibri" w:eastAsia="Calibri" w:hAnsi="Calibri"/>
                <w:b w:val="false"/>
                <w:bCs w:val="false"/>
                <w:i w:val="false"/>
                <w:iCs w:val="false"/>
                <w:color w:val="000000"/>
                <w:sz w:val="18"/>
                <w:szCs w:val="18"/>
              </w:rPr>
              <w:t xml:space="preserve">100 m → 30 m</w:t>
            </w:r>
          </w:p>
        </w:tc>
        <w:tc>
          <w:tcPr>
            <w:tcW w:type="dxa" w:w="16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18"/>
                <w:szCs w:val="18"/>
              </w:rPr>
              <w:t xml:space="preserve">USGS EE</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Calibri" w:cs="Calibri" w:eastAsia="Calibri" w:hAnsi="Calibri"/>
                <w:b w:val="false"/>
                <w:bCs w:val="false"/>
                <w:i w:val="false"/>
                <w:iCs w:val="false"/>
                <w:color w:val="000000"/>
                <w:sz w:val="18"/>
                <w:szCs w:val="18"/>
              </w:rPr>
              <w:t xml:space="preserve">5</w:t>
            </w:r>
          </w:p>
        </w:tc>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Calibri" w:cs="Calibri" w:eastAsia="Calibri" w:hAnsi="Calibri"/>
                <w:b w:val="false"/>
                <w:bCs w:val="false"/>
                <w:i w:val="false"/>
                <w:iCs w:val="false"/>
                <w:color w:val="000000"/>
                <w:sz w:val="18"/>
                <w:szCs w:val="18"/>
              </w:rPr>
              <w:t xml:space="preserve">2025</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18"/>
                <w:szCs w:val="18"/>
              </w:rPr>
              <w:t xml:space="preserve">Landsat 9 OLI-2/TIRS-2</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18"/>
                <w:szCs w:val="18"/>
              </w:rPr>
              <w:t xml:space="preserve">[Jan–Feb 2025]</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Calibri" w:cs="Calibri" w:eastAsia="Calibri" w:hAnsi="Calibri"/>
                <w:b w:val="false"/>
                <w:bCs w:val="false"/>
                <w:i w:val="false"/>
                <w:iCs w:val="false"/>
                <w:color w:val="000000"/>
                <w:sz w:val="18"/>
                <w:szCs w:val="18"/>
              </w:rPr>
              <w:t xml:space="preserve">30 m</w:t>
            </w:r>
          </w:p>
        </w:tc>
        <w:tc>
          <w:tcPr>
            <w:tcW w:type="dxa" w:w="1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Calibri" w:cs="Calibri" w:eastAsia="Calibri" w:hAnsi="Calibri"/>
                <w:b w:val="false"/>
                <w:bCs w:val="false"/>
                <w:i w:val="false"/>
                <w:iCs w:val="false"/>
                <w:color w:val="000000"/>
                <w:sz w:val="18"/>
                <w:szCs w:val="18"/>
              </w:rPr>
              <w:t xml:space="preserve">100 m → 30 m</w:t>
            </w:r>
          </w:p>
        </w:tc>
        <w:tc>
          <w:tcPr>
            <w:tcW w:type="dxa" w:w="16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18"/>
                <w:szCs w:val="18"/>
              </w:rPr>
              <w:t xml:space="preserve">USGS EE</w:t>
            </w:r>
          </w:p>
        </w:tc>
      </w:tr>
    </w:tbl>
    <w:p>
      <w:pPr>
        <w:spacing w:after="160" w:line="276"/>
        <w:jc w:val="both"/>
      </w:pPr>
      <w:r>
        <w:rPr>
          <w:rFonts w:ascii="Calibri" w:cs="Calibri" w:eastAsia="Calibri" w:hAnsi="Calibri"/>
          <w:b w:val="false"/>
          <w:bCs w:val="false"/>
          <w:i w:val="false"/>
          <w:iCs w:val="false"/>
          <w:color w:val="000000"/>
          <w:sz w:val="21"/>
          <w:szCs w:val="21"/>
        </w:rPr>
        <w:t xml:space="preserve"/>
      </w:r>
    </w:p>
    <w:p>
      <w:pPr>
        <w:pStyle w:val="Heading3"/>
        <w:spacing w:after="100" w:before="200"/>
      </w:pPr>
      <w:r>
        <w:rPr>
          <w:rFonts w:ascii="Calibri" w:cs="Calibri" w:eastAsia="Calibri" w:hAnsi="Calibri"/>
          <w:b/>
          <w:bCs/>
          <w:i/>
          <w:iCs/>
          <w:color w:val="000000"/>
          <w:sz w:val="22"/>
          <w:szCs w:val="22"/>
        </w:rPr>
        <w:t xml:space="preserve">2.2.2 Ancillary and Socioeconomic Datasets</w:t>
      </w:r>
    </w:p>
    <w:p>
      <w:pPr>
        <w:spacing w:after="160" w:line="276"/>
        <w:jc w:val="both"/>
      </w:pPr>
      <w:r>
        <w:rPr>
          <w:rFonts w:ascii="Calibri" w:cs="Calibri" w:eastAsia="Calibri" w:hAnsi="Calibri"/>
          <w:b w:val="false"/>
          <w:bCs w:val="false"/>
          <w:i w:val="false"/>
          <w:iCs w:val="false"/>
          <w:color w:val="000000"/>
          <w:sz w:val="21"/>
          <w:szCs w:val="21"/>
        </w:rPr>
        <w:t xml:space="preserve">The following ancillary datasets are incorporated at specific pipeline stages:</w:t>
      </w:r>
    </w:p>
    <w:p>
      <w:pPr>
        <w:pStyle w:val="ListParagraph"/>
        <w:numPr>
          <w:ilvl w:val="0"/>
          <w:numId w:val="2"/>
        </w:numPr>
        <w:spacing w:after="100" w:line="276"/>
      </w:pPr>
      <w:r>
        <w:rPr>
          <w:rFonts w:ascii="Calibri" w:cs="Calibri" w:eastAsia="Calibri" w:hAnsi="Calibri"/>
          <w:color w:val="000000"/>
          <w:sz w:val="21"/>
          <w:szCs w:val="21"/>
        </w:rPr>
        <w:t xml:space="preserve">SRTM Digital Elevation Model (DEM), 30 m resolution (NASA EarthData) — used in the ML feature matrix (Module M6) to account for topographic control on thermal drainage.</w:t>
      </w:r>
    </w:p>
    <w:p>
      <w:pPr>
        <w:pStyle w:val="ListParagraph"/>
        <w:numPr>
          <w:ilvl w:val="0"/>
          <w:numId w:val="2"/>
        </w:numPr>
        <w:spacing w:after="100" w:line="276"/>
      </w:pPr>
      <w:r>
        <w:rPr>
          <w:rFonts w:ascii="Calibri" w:cs="Calibri" w:eastAsia="Calibri" w:hAnsi="Calibri"/>
          <w:color w:val="000000"/>
          <w:sz w:val="21"/>
          <w:szCs w:val="21"/>
        </w:rPr>
        <w:t xml:space="preserve">WorldPop Population Density Grids (100 m resolution) — used in the ML feature matrix (M6) as a proxy for heat load intensity and in EJC Index construction.</w:t>
      </w:r>
    </w:p>
    <w:p>
      <w:pPr>
        <w:pStyle w:val="ListParagraph"/>
        <w:numPr>
          <w:ilvl w:val="0"/>
          <w:numId w:val="2"/>
        </w:numPr>
        <w:spacing w:after="100" w:line="276"/>
      </w:pPr>
      <w:r>
        <w:rPr>
          <w:rFonts w:ascii="Calibri" w:cs="Calibri" w:eastAsia="Calibri" w:hAnsi="Calibri"/>
          <w:color w:val="000000"/>
          <w:sz w:val="21"/>
          <w:szCs w:val="21"/>
        </w:rPr>
        <w:t xml:space="preserve">Microsoft Building Footprints Bangladesh — used to compute building footprint density in the ML feature matrix (M6).</w:t>
      </w:r>
    </w:p>
    <w:p>
      <w:pPr>
        <w:pStyle w:val="ListParagraph"/>
        <w:numPr>
          <w:ilvl w:val="0"/>
          <w:numId w:val="2"/>
        </w:numPr>
        <w:spacing w:after="100" w:line="276"/>
      </w:pPr>
      <w:r>
        <w:rPr>
          <w:rFonts w:ascii="Calibri" w:cs="Calibri" w:eastAsia="Calibri" w:hAnsi="Calibri"/>
          <w:color w:val="000000"/>
          <w:sz w:val="21"/>
          <w:szCs w:val="21"/>
        </w:rPr>
        <w:t xml:space="preserve">Bangladesh Bureau of Statistics (BBS) Population &amp; Housing Census, ward-level data — used in Environmental Justice Composite (EJC) Index construction (Module M5).</w:t>
      </w:r>
    </w:p>
    <w:p>
      <w:pPr>
        <w:pStyle w:val="ListParagraph"/>
        <w:numPr>
          <w:ilvl w:val="0"/>
          <w:numId w:val="2"/>
        </w:numPr>
        <w:spacing w:after="100" w:line="276"/>
      </w:pPr>
      <w:r>
        <w:rPr>
          <w:rFonts w:ascii="Calibri" w:cs="Calibri" w:eastAsia="Calibri" w:hAnsi="Calibri"/>
          <w:color w:val="000000"/>
          <w:sz w:val="21"/>
          <w:szCs w:val="21"/>
        </w:rPr>
        <w:t xml:space="preserve">BRAC Urban Poverty Dataset (ward-level) — supplementary socioeconomic vulnerability layer for the EJC Index (M5).</w:t>
      </w:r>
    </w:p>
    <w:p>
      <w:pPr>
        <w:pStyle w:val="ListParagraph"/>
        <w:numPr>
          <w:ilvl w:val="0"/>
          <w:numId w:val="2"/>
        </w:numPr>
        <w:spacing w:after="100" w:line="276"/>
      </w:pPr>
      <w:r>
        <w:rPr>
          <w:rFonts w:ascii="Calibri" w:cs="Calibri" w:eastAsia="Calibri" w:hAnsi="Calibri"/>
          <w:color w:val="000000"/>
          <w:sz w:val="21"/>
          <w:szCs w:val="21"/>
        </w:rPr>
        <w:t xml:space="preserve">Google Earth Historical Imagery (1985–2015) and Planet Labs Basemap (2015–2025) — used as visual reference for cluster-to-class labelling in LULC classification (Module M3).</w:t>
      </w:r>
    </w:p>
    <w:p>
      <w:pPr>
        <w:pStyle w:val="ListParagraph"/>
        <w:numPr>
          <w:ilvl w:val="0"/>
          <w:numId w:val="2"/>
        </w:numPr>
        <w:spacing w:after="100" w:line="276"/>
      </w:pPr>
      <w:r>
        <w:rPr>
          <w:rFonts w:ascii="Calibri" w:cs="Calibri" w:eastAsia="Calibri" w:hAnsi="Calibri"/>
          <w:color w:val="000000"/>
          <w:sz w:val="21"/>
          <w:szCs w:val="21"/>
        </w:rPr>
        <w:t xml:space="preserve">Dhaka ward boundary shapefile — used for ward-level zonal statistics and LISA spatial autocorrelation analysis (Module M5).</w:t>
      </w:r>
    </w:p>
    <w:p>
      <w:pPr>
        <w:pStyle w:val="Heading2"/>
        <w:spacing w:after="120" w:before="260"/>
      </w:pPr>
      <w:r>
        <w:rPr>
          <w:rFonts w:ascii="Calibri" w:cs="Calibri" w:eastAsia="Calibri" w:hAnsi="Calibri"/>
          <w:b/>
          <w:bCs/>
          <w:color w:val="000000"/>
          <w:sz w:val="24"/>
          <w:szCs w:val="24"/>
        </w:rPr>
        <w:t xml:space="preserve">2.3 Module M2: Preprocessing</w:t>
      </w:r>
    </w:p>
    <w:p>
      <w:pPr>
        <w:pStyle w:val="Heading3"/>
        <w:spacing w:after="100" w:before="200"/>
      </w:pPr>
      <w:r>
        <w:rPr>
          <w:rFonts w:ascii="Calibri" w:cs="Calibri" w:eastAsia="Calibri" w:hAnsi="Calibri"/>
          <w:b/>
          <w:bCs/>
          <w:i/>
          <w:iCs/>
          <w:color w:val="000000"/>
          <w:sz w:val="22"/>
          <w:szCs w:val="22"/>
        </w:rPr>
        <w:t xml:space="preserve">2.3.1 Atmospheric Correction and Surface Reflectance</w:t>
      </w:r>
    </w:p>
    <w:p>
      <w:pPr>
        <w:spacing w:after="160" w:line="276"/>
        <w:jc w:val="both"/>
      </w:pPr>
      <w:r>
        <w:rPr>
          <w:rFonts w:ascii="Calibri" w:cs="Calibri" w:eastAsia="Calibri" w:hAnsi="Calibri"/>
          <w:color w:val="000000"/>
          <w:sz w:val="21"/>
          <w:szCs w:val="21"/>
        </w:rPr>
        <w:t xml:space="preserve">All five Landsat scenes are processed to surface reflectance using sensor-appropriate algorithms within the USGS Collection 2 pipeline: LEDAPS (Landsat Ecosystem Disturbance Adaptive Processing System) for Landsat 5 TM (1985, 1995) and Landsat 7 ETM+ (2005) </w:t>
      </w:r>
      <w:r>
        <w:rPr>
          <w:rFonts w:ascii="Calibri" w:cs="Calibri" w:eastAsia="Calibri" w:hAnsi="Calibri"/>
          <w:b w:val="false"/>
          <w:bCs w:val="false"/>
          <w:i w:val="false"/>
          <w:iCs w:val="false"/>
          <w:color w:val="000000"/>
          <w:sz w:val="21"/>
          <w:szCs w:val="21"/>
        </w:rPr>
        <w:t xml:space="preserve">(Masek et al., 2006)</w:t>
      </w:r>
      <w:r>
        <w:rPr>
          <w:rFonts w:ascii="Calibri" w:cs="Calibri" w:eastAsia="Calibri" w:hAnsi="Calibri"/>
          <w:color w:val="000000"/>
          <w:sz w:val="21"/>
          <w:szCs w:val="21"/>
        </w:rPr>
        <w:t xml:space="preserve">, and LaSRC (Land Surface Reflectance Code) for Landsat 8 OLI/TIRS (2015) and Landsat 9 OLI-2/TIRS-2 (2025) </w:t>
      </w:r>
      <w:r>
        <w:rPr>
          <w:rFonts w:ascii="Calibri" w:cs="Calibri" w:eastAsia="Calibri" w:hAnsi="Calibri"/>
          <w:b w:val="false"/>
          <w:bCs w:val="false"/>
          <w:i w:val="false"/>
          <w:iCs w:val="false"/>
          <w:color w:val="000000"/>
          <w:sz w:val="21"/>
          <w:szCs w:val="21"/>
        </w:rPr>
        <w:t xml:space="preserve">(Vermote et al., 2016)</w:t>
      </w:r>
      <w:r>
        <w:rPr>
          <w:rFonts w:ascii="Calibri" w:cs="Calibri" w:eastAsia="Calibri" w:hAnsi="Calibri"/>
          <w:color w:val="000000"/>
          <w:sz w:val="21"/>
          <w:szCs w:val="21"/>
        </w:rPr>
        <w:t xml:space="preserve">. Cloud and cloud-shadow masking is applied using the CFmask-derived QA_PIXEL band (bit flags 1, 3, and 4). Scenes are accepted only if &lt;10% of study-domain pixels are flagged.</w:t>
      </w:r>
    </w:p>
    <w:p>
      <w:pPr>
        <w:pStyle w:val="Heading3"/>
        <w:spacing w:after="100" w:before="200"/>
      </w:pPr>
      <w:r>
        <w:rPr>
          <w:rFonts w:ascii="Calibri" w:cs="Calibri" w:eastAsia="Calibri" w:hAnsi="Calibri"/>
          <w:b/>
          <w:bCs/>
          <w:i/>
          <w:iCs/>
          <w:color w:val="000000"/>
          <w:sz w:val="22"/>
          <w:szCs w:val="22"/>
        </w:rPr>
        <w:t xml:space="preserve">2.3.2 Cross-Sensor Radiometric Normalisation (RRN)</w:t>
      </w:r>
    </w:p>
    <w:p>
      <w:pPr>
        <w:spacing w:after="160" w:line="276"/>
        <w:jc w:val="both"/>
      </w:pPr>
      <w:r>
        <w:rPr>
          <w:rFonts w:ascii="Calibri" w:cs="Calibri" w:eastAsia="Calibri" w:hAnsi="Calibri"/>
          <w:color w:val="000000"/>
          <w:sz w:val="21"/>
          <w:szCs w:val="21"/>
        </w:rPr>
        <w:t xml:space="preserve">To ensure temporal comparability of NDBI, NDVI, and NDMI across sensor generations, Relative Radiometric Normalisation using the Pseudo-Invariant Feature (PIF) method is applied </w:t>
      </w:r>
      <w:r>
        <w:rPr>
          <w:rFonts w:ascii="Calibri" w:cs="Calibri" w:eastAsia="Calibri" w:hAnsi="Calibri"/>
          <w:b w:val="false"/>
          <w:bCs w:val="false"/>
          <w:i w:val="false"/>
          <w:iCs w:val="false"/>
          <w:color w:val="000000"/>
          <w:sz w:val="21"/>
          <w:szCs w:val="21"/>
        </w:rPr>
        <w:t xml:space="preserve">(Schott, Salvaggio, &amp; Volchok, 1988)</w:t>
      </w:r>
      <w:r>
        <w:rPr>
          <w:rFonts w:ascii="Calibri" w:cs="Calibri" w:eastAsia="Calibri" w:hAnsi="Calibri"/>
          <w:color w:val="000000"/>
          <w:sz w:val="21"/>
          <w:szCs w:val="21"/>
        </w:rPr>
        <w:t xml:space="preserve">. Spectrally stable, cloud-free, non-vegetated urban features (concrete rooftops, asphalt surfaces, deep clear-water bodies) exhibiting &lt;2% inter-epoch reflectance variability are identified as PIF targets in each epoch image. A linear regression gain–offset model,</w:t>
      </w:r>
    </w:p>
    <w:p>
      <w:pPr>
        <w:spacing w:after="160" w:line="276"/>
        <w:jc w:val="center"/>
      </w:pPr>
      <w:r>
        <w:rPr>
          <w:rFonts w:ascii="Calibri" w:cs="Calibri" w:eastAsia="Calibri" w:hAnsi="Calibri"/>
          <w:color w:val="000000"/>
          <w:sz w:val="21"/>
          <w:szCs w:val="21"/>
        </w:rPr>
        <w:t xml:space="preserve">Reflectance</w:t>
      </w:r>
      <w:r>
        <w:rPr>
          <w:rFonts w:ascii="Calibri" w:cs="Calibri" w:eastAsia="Calibri" w:hAnsi="Calibri"/>
          <w:b w:val="false"/>
          <w:bCs w:val="false"/>
          <w:i w:val="false"/>
          <w:iCs w:val="false"/>
          <w:color w:val="000000"/>
          <w:sz w:val="21"/>
          <w:szCs w:val="21"/>
          <w:vertAlign w:val="subscript"/>
        </w:rPr>
        <w:t xml:space="preserve">normalised</w:t>
      </w:r>
      <w:r>
        <w:rPr>
          <w:rFonts w:ascii="Calibri" w:cs="Calibri" w:eastAsia="Calibri" w:hAnsi="Calibri"/>
          <w:color w:val="000000"/>
          <w:sz w:val="21"/>
          <w:szCs w:val="21"/>
        </w:rPr>
        <w:t xml:space="preserve"> = Gain × Reflectance</w:t>
      </w:r>
      <w:r>
        <w:rPr>
          <w:rFonts w:ascii="Calibri" w:cs="Calibri" w:eastAsia="Calibri" w:hAnsi="Calibri"/>
          <w:b w:val="false"/>
          <w:bCs w:val="false"/>
          <w:i w:val="false"/>
          <w:iCs w:val="false"/>
          <w:color w:val="000000"/>
          <w:sz w:val="21"/>
          <w:szCs w:val="21"/>
          <w:vertAlign w:val="subscript"/>
        </w:rPr>
        <w:t xml:space="preserve">raw</w:t>
      </w:r>
      <w:r>
        <w:rPr>
          <w:rFonts w:ascii="Calibri" w:cs="Calibri" w:eastAsia="Calibri" w:hAnsi="Calibri"/>
          <w:color w:val="000000"/>
          <w:sz w:val="21"/>
          <w:szCs w:val="21"/>
        </w:rPr>
        <w:t xml:space="preserve"> + Offset</w:t>
      </w:r>
    </w:p>
    <w:p>
      <w:pPr>
        <w:spacing w:after="160" w:line="276"/>
        <w:jc w:val="both"/>
      </w:pPr>
      <w:r>
        <w:rPr>
          <w:rFonts w:ascii="Calibri" w:cs="Calibri" w:eastAsia="Calibri" w:hAnsi="Calibri"/>
          <w:color w:val="000000"/>
          <w:sz w:val="21"/>
          <w:szCs w:val="21"/>
        </w:rPr>
        <w:t xml:space="preserve">is fitted per optical band using PIF target reflectance values, with the Landsat 9 (2025) epoch designated as the radiometric reference. This step precedes NDBI, NDVI, and NDMI computation to ensure comparability across the 40-year archive.</w:t>
      </w:r>
    </w:p>
    <w:p>
      <w:pPr>
        <w:pStyle w:val="Heading3"/>
        <w:spacing w:after="100" w:before="200"/>
      </w:pPr>
      <w:r>
        <w:rPr>
          <w:rFonts w:ascii="Calibri" w:cs="Calibri" w:eastAsia="Calibri" w:hAnsi="Calibri"/>
          <w:b/>
          <w:bCs/>
          <w:i/>
          <w:iCs/>
          <w:color w:val="000000"/>
          <w:sz w:val="22"/>
          <w:szCs w:val="22"/>
        </w:rPr>
        <w:t xml:space="preserve">2.3.3 Geometric Co-registration</w:t>
      </w:r>
    </w:p>
    <w:p>
      <w:pPr>
        <w:spacing w:after="160" w:line="276"/>
        <w:jc w:val="both"/>
      </w:pPr>
      <w:r>
        <w:rPr>
          <w:rFonts w:ascii="Calibri" w:cs="Calibri" w:eastAsia="Calibri" w:hAnsi="Calibri"/>
          <w:b w:val="false"/>
          <w:bCs w:val="false"/>
          <w:i w:val="false"/>
          <w:iCs w:val="false"/>
          <w:color w:val="000000"/>
          <w:sz w:val="21"/>
          <w:szCs w:val="21"/>
        </w:rPr>
        <w:t xml:space="preserve">All five Landsat scenes are co-registered to a common spatial reference (UTM Zone 45N, WGS84 datum) at 30 m resolution using GEE reproject and resample functions. Co-registration accuracy is verified by computing root-mean-square error (RMSE) on ≥20 spatially distributed ground control points (GCPs). Epoch pairs exhibiting RMSE &gt; 0.5 pixels (15 m) are re-registered using a polynomial spatial transformation prior to change detection.</w:t>
      </w:r>
    </w:p>
    <w:p>
      <w:pPr>
        <w:pStyle w:val="Heading2"/>
        <w:spacing w:after="120" w:before="260"/>
      </w:pPr>
      <w:r>
        <w:rPr>
          <w:rFonts w:ascii="Calibri" w:cs="Calibri" w:eastAsia="Calibri" w:hAnsi="Calibri"/>
          <w:b/>
          <w:bCs/>
          <w:color w:val="000000"/>
          <w:sz w:val="24"/>
          <w:szCs w:val="24"/>
        </w:rPr>
        <w:t xml:space="preserve">2.4 Module M3: LULC Classification</w:t>
      </w:r>
    </w:p>
    <w:p>
      <w:pPr>
        <w:pStyle w:val="Heading3"/>
        <w:spacing w:after="100" w:before="200"/>
      </w:pPr>
      <w:r>
        <w:rPr>
          <w:rFonts w:ascii="Calibri" w:cs="Calibri" w:eastAsia="Calibri" w:hAnsi="Calibri"/>
          <w:b/>
          <w:bCs/>
          <w:i/>
          <w:iCs/>
          <w:color w:val="000000"/>
          <w:sz w:val="22"/>
          <w:szCs w:val="22"/>
        </w:rPr>
        <w:t xml:space="preserve">2.4.1 Classification Scheme</w:t>
      </w:r>
    </w:p>
    <w:p>
      <w:pPr>
        <w:spacing w:after="160" w:line="276"/>
        <w:jc w:val="both"/>
      </w:pPr>
      <w:r>
        <w:rPr>
          <w:rFonts w:ascii="Calibri" w:cs="Calibri" w:eastAsia="Calibri" w:hAnsi="Calibri"/>
          <w:b w:val="false"/>
          <w:bCs w:val="false"/>
          <w:i w:val="false"/>
          <w:iCs w:val="false"/>
          <w:color w:val="000000"/>
          <w:sz w:val="21"/>
          <w:szCs w:val="21"/>
        </w:rPr>
        <w:t xml:space="preserve">LULC classification is constrained to exactly five thematic classes that together comprehensively partition the Dhaka urban landscape:</w:t>
      </w:r>
    </w:p>
    <w:p>
      <w:pPr>
        <w:spacing w:after="80" w:before="120"/>
        <w:jc w:val="center"/>
      </w:pPr>
      <w:r>
        <w:rPr>
          <w:rFonts w:ascii="Calibri" w:cs="Calibri" w:eastAsia="Calibri" w:hAnsi="Calibri"/>
          <w:i/>
          <w:iCs/>
          <w:color w:val="000000"/>
          <w:sz w:val="19"/>
          <w:szCs w:val="19"/>
        </w:rPr>
        <w:t xml:space="preserve">Table 2. LULC classification scheme: class definitions.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Calibri" w:cs="Calibri" w:eastAsia="Calibri" w:hAnsi="Calibri"/>
                <w:b/>
                <w:bCs/>
                <w:i w:val="false"/>
                <w:iCs w:val="false"/>
                <w:color w:val="000000"/>
                <w:sz w:val="18"/>
                <w:szCs w:val="18"/>
              </w:rPr>
              <w:t xml:space="preserve">LULC Class</w:t>
            </w:r>
          </w:p>
        </w:tc>
        <w:tc>
          <w:tcPr>
            <w:tcW w:type="dxa" w:w="72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Calibri" w:cs="Calibri" w:eastAsia="Calibri" w:hAnsi="Calibri"/>
                <w:b/>
                <w:bCs/>
                <w:i w:val="false"/>
                <w:iCs w:val="false"/>
                <w:color w:val="000000"/>
                <w:sz w:val="18"/>
                <w:szCs w:val="18"/>
              </w:rPr>
              <w:t xml:space="preserve">Definition &amp; Examples</w:t>
            </w:r>
          </w:p>
        </w:tc>
      </w:tr>
      <w:t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bCs/>
                <w:i w:val="false"/>
                <w:iCs w:val="false"/>
                <w:color w:val="000000"/>
                <w:sz w:val="18"/>
                <w:szCs w:val="18"/>
              </w:rPr>
              <w:t xml:space="preserve">Settlement</w:t>
            </w:r>
          </w:p>
        </w:tc>
        <w:tc>
          <w:tcPr>
            <w:tcW w:type="dxa" w:w="72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18"/>
                <w:szCs w:val="18"/>
              </w:rPr>
              <w:t xml:space="preserve">Urban built-up land: buildings, roads, concrete/asphalt surfaces, rooftops, industrial areas.</w:t>
            </w:r>
          </w:p>
        </w:tc>
      </w:tr>
      <w:t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bCs/>
                <w:i w:val="false"/>
                <w:iCs w:val="false"/>
                <w:color w:val="000000"/>
                <w:sz w:val="18"/>
                <w:szCs w:val="18"/>
              </w:rPr>
              <w:t xml:space="preserve">Vegetation</w:t>
            </w:r>
          </w:p>
        </w:tc>
        <w:tc>
          <w:tcPr>
            <w:tcW w:type="dxa" w:w="72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18"/>
                <w:szCs w:val="18"/>
              </w:rPr>
              <w:t xml:space="preserve">Tree canopy, parks, urban forest, grass patches.</w:t>
            </w:r>
          </w:p>
        </w:tc>
      </w:tr>
      <w:t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bCs/>
                <w:i w:val="false"/>
                <w:iCs w:val="false"/>
                <w:color w:val="000000"/>
                <w:sz w:val="18"/>
                <w:szCs w:val="18"/>
              </w:rPr>
              <w:t xml:space="preserve">Water body</w:t>
            </w:r>
          </w:p>
        </w:tc>
        <w:tc>
          <w:tcPr>
            <w:tcW w:type="dxa" w:w="72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18"/>
                <w:szCs w:val="18"/>
              </w:rPr>
              <w:t xml:space="preserve">Rivers, canals, ponds, wetlands.</w:t>
            </w:r>
          </w:p>
        </w:tc>
      </w:tr>
      <w:t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bCs/>
                <w:i w:val="false"/>
                <w:iCs w:val="false"/>
                <w:color w:val="000000"/>
                <w:sz w:val="18"/>
                <w:szCs w:val="18"/>
              </w:rPr>
              <w:t xml:space="preserve">Barren Land</w:t>
            </w:r>
          </w:p>
        </w:tc>
        <w:tc>
          <w:tcPr>
            <w:tcW w:type="dxa" w:w="72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18"/>
                <w:szCs w:val="18"/>
              </w:rPr>
              <w:t xml:space="preserve">Exposed soil, construction sites, bare ground.</w:t>
            </w:r>
          </w:p>
        </w:tc>
      </w:tr>
      <w:tr>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bCs/>
                <w:i w:val="false"/>
                <w:iCs w:val="false"/>
                <w:color w:val="000000"/>
                <w:sz w:val="18"/>
                <w:szCs w:val="18"/>
              </w:rPr>
              <w:t xml:space="preserve">Agriculture</w:t>
            </w:r>
          </w:p>
        </w:tc>
        <w:tc>
          <w:tcPr>
            <w:tcW w:type="dxa" w:w="72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18"/>
                <w:szCs w:val="18"/>
              </w:rPr>
              <w:t xml:space="preserve">Cultivated fields with seasonal spectral variation.</w:t>
            </w:r>
          </w:p>
        </w:tc>
      </w:tr>
    </w:tbl>
    <w:p>
      <w:pPr>
        <w:spacing w:after="160" w:line="276"/>
        <w:jc w:val="both"/>
      </w:pPr>
      <w:r>
        <w:rPr>
          <w:rFonts w:ascii="Calibri" w:cs="Calibri" w:eastAsia="Calibri" w:hAnsi="Calibri"/>
          <w:b w:val="false"/>
          <w:bCs w:val="false"/>
          <w:i w:val="false"/>
          <w:iCs w:val="false"/>
          <w:color w:val="000000"/>
          <w:sz w:val="21"/>
          <w:szCs w:val="21"/>
        </w:rPr>
        <w:t xml:space="preserve"/>
      </w:r>
    </w:p>
    <w:p>
      <w:pPr>
        <w:pStyle w:val="Heading3"/>
        <w:spacing w:after="100" w:before="200"/>
      </w:pPr>
      <w:r>
        <w:rPr>
          <w:rFonts w:ascii="Calibri" w:cs="Calibri" w:eastAsia="Calibri" w:hAnsi="Calibri"/>
          <w:b/>
          <w:bCs/>
          <w:i/>
          <w:iCs/>
          <w:color w:val="000000"/>
          <w:sz w:val="22"/>
          <w:szCs w:val="22"/>
        </w:rPr>
        <w:t xml:space="preserve">2.4.2 Classification Algorithm: Unsupervised ISODATA Clustering with Maximum Likelihood Classification</w:t>
      </w:r>
    </w:p>
    <w:p>
      <w:pPr>
        <w:spacing w:after="160" w:line="276"/>
        <w:jc w:val="both"/>
      </w:pPr>
      <w:r>
        <w:rPr>
          <w:rFonts w:ascii="Calibri" w:cs="Calibri" w:eastAsia="Calibri" w:hAnsi="Calibri"/>
          <w:color w:val="000000"/>
          <w:sz w:val="21"/>
          <w:szCs w:val="21"/>
        </w:rPr>
        <w:t xml:space="preserve">LULC classification is performed using an unsupervised approach in two linked steps: (i) unsupervised spectral clustering to partition each Landsat scene into its natural spectral groupings without any prior training data, followed by (ii) a Maximum Likelihood Classifier (MLC) applied to the resulting cluster statistics to assign every pixel to its most probable class.</w:t>
      </w:r>
    </w:p>
    <w:p>
      <w:pPr>
        <w:spacing w:after="160" w:line="276"/>
        <w:jc w:val="both"/>
      </w:pPr>
      <w:r>
        <w:rPr>
          <w:rFonts w:ascii="Calibri" w:cs="Calibri" w:eastAsia="Calibri" w:hAnsi="Calibri"/>
          <w:color w:val="000000"/>
          <w:sz w:val="21"/>
          <w:szCs w:val="21"/>
        </w:rPr>
        <w:t xml:space="preserve">STEP 1 — UNSUPERVISED CLUSTERING (ISODATA): The Iterative Self-Organizing Data Analysis Technique (ISODATA) </w:t>
      </w:r>
      <w:r>
        <w:rPr>
          <w:rFonts w:ascii="Calibri" w:cs="Calibri" w:eastAsia="Calibri" w:hAnsi="Calibri"/>
          <w:b w:val="false"/>
          <w:bCs w:val="false"/>
          <w:i w:val="false"/>
          <w:iCs w:val="false"/>
          <w:color w:val="000000"/>
          <w:sz w:val="21"/>
          <w:szCs w:val="21"/>
        </w:rPr>
        <w:t xml:space="preserve">(Ball &amp; Hall, 1965)</w:t>
      </w:r>
      <w:r>
        <w:rPr>
          <w:rFonts w:ascii="Calibri" w:cs="Calibri" w:eastAsia="Calibri" w:hAnsi="Calibri"/>
          <w:color w:val="000000"/>
          <w:sz w:val="21"/>
          <w:szCs w:val="21"/>
        </w:rPr>
        <w:t xml:space="preserve"> is applied to each atmospherically corrected, radiometrically normalised Landsat scene. ISODATA iteratively partitions pixels into spectral clusters by minimising within-cluster spectral distance, without reference to predefined training samples. An initial parameterisation of 15–20 candidate clusters is used to capture the full spectral heterogeneity of the scene, with a maximum of 20 iterations and a convergence threshold of 95% pixel-class stability between successive iterations.</w:t>
      </w:r>
    </w:p>
    <w:p>
      <w:pPr>
        <w:spacing w:after="160" w:line="276"/>
        <w:jc w:val="both"/>
      </w:pPr>
      <w:r>
        <w:rPr>
          <w:rFonts w:ascii="Calibri" w:cs="Calibri" w:eastAsia="Calibri" w:hAnsi="Calibri"/>
          <w:color w:val="000000"/>
          <w:sz w:val="21"/>
          <w:szCs w:val="21"/>
        </w:rPr>
        <w:t xml:space="preserve">STEP 2 — MAXIMUM LIKELIHOOD CLASSIFICATION (MLC): The mean vector and covariance matrix of each spectral cluster generated in Step 1 are used as the class statistics input to the Maximum Likelihood discriminant function </w:t>
      </w:r>
      <w:r>
        <w:rPr>
          <w:rFonts w:ascii="Calibri" w:cs="Calibri" w:eastAsia="Calibri" w:hAnsi="Calibri"/>
          <w:b w:val="false"/>
          <w:bCs w:val="false"/>
          <w:i w:val="false"/>
          <w:iCs w:val="false"/>
          <w:color w:val="000000"/>
          <w:sz w:val="21"/>
          <w:szCs w:val="21"/>
        </w:rPr>
        <w:t xml:space="preserve">(Strahler, 1980)</w:t>
      </w:r>
      <w:r>
        <w:rPr>
          <w:rFonts w:ascii="Calibri" w:cs="Calibri" w:eastAsia="Calibri" w:hAnsi="Calibri"/>
          <w:color w:val="000000"/>
          <w:sz w:val="21"/>
          <w:szCs w:val="21"/>
        </w:rPr>
        <w:t xml:space="preserve">, which assigns each pixel x to the class ωᵢ with the highest posterior probability under the assumption of a multivariate Gaussian distribution of reflectance values within each class:</w:t>
      </w:r>
    </w:p>
    <w:p>
      <w:pPr>
        <w:spacing w:after="160" w:line="276"/>
        <w:jc w:val="center"/>
      </w:pPr>
      <w:r>
        <w:rPr>
          <w:rFonts w:ascii="Calibri" w:cs="Calibri" w:eastAsia="Calibri" w:hAnsi="Calibri"/>
          <w:color w:val="000000"/>
          <w:sz w:val="21"/>
          <w:szCs w:val="21"/>
        </w:rPr>
        <w:t xml:space="preserve">gᵢ(x) = ln P(ωᵢ) − ½ ln|Σᵢ| − ½ (x − mᵢ)ᵀ Σᵢ⁻¹ (x − mᵢ)</w:t>
      </w:r>
    </w:p>
    <w:p>
      <w:pPr>
        <w:spacing w:after="160" w:line="276"/>
        <w:jc w:val="both"/>
      </w:pPr>
      <w:r>
        <w:rPr>
          <w:rFonts w:ascii="Calibri" w:cs="Calibri" w:eastAsia="Calibri" w:hAnsi="Calibri"/>
          <w:color w:val="000000"/>
          <w:sz w:val="21"/>
          <w:szCs w:val="21"/>
        </w:rPr>
        <w:t xml:space="preserve">where gᵢ(x) is the discriminant score for class i, P(ωᵢ) is the prior probability of class i (set proportional to the relative cluster pixel count), Σᵢ and mᵢ are the covariance matrix and mean spectral vector of class i, and x is the spectral vector of the pixel under evaluation. The pixel is assigned to the class for which gᵢ(x) is maximised.</w:t>
      </w:r>
    </w:p>
    <w:p>
      <w:pPr>
        <w:spacing w:after="160" w:line="276"/>
        <w:jc w:val="both"/>
      </w:pPr>
      <w:r>
        <w:rPr>
          <w:rFonts w:ascii="Calibri" w:cs="Calibri" w:eastAsia="Calibri" w:hAnsi="Calibri"/>
          <w:color w:val="000000"/>
          <w:sz w:val="21"/>
          <w:szCs w:val="21"/>
        </w:rPr>
        <w:t xml:space="preserve">STEP 3 — CLUSTER-TO-CLASS LABELLING: Each ISODATA-derived spectral cluster is manually labelled into one of the five thematic LULC classes (Table 2) through visual interpretation against high-resolution reference imagery — Google Earth Historical Imagery for 1985–2005 and Planet Labs Basemap for 2015–2025 — supported by comparison of cluster-mean NDBI, NDVI, and NDMI values against known class spectral behaviour.</w:t>
      </w:r>
    </w:p>
    <w:p>
      <w:pPr>
        <w:spacing w:after="160" w:line="276"/>
        <w:jc w:val="both"/>
      </w:pPr>
      <w:r>
        <w:rPr>
          <w:rFonts w:ascii="Calibri" w:cs="Calibri" w:eastAsia="Calibri" w:hAnsi="Calibri"/>
          <w:b w:val="false"/>
          <w:bCs w:val="false"/>
          <w:i w:val="false"/>
          <w:iCs w:val="false"/>
          <w:color w:val="000000"/>
          <w:sz w:val="21"/>
          <w:szCs w:val="21"/>
        </w:rPr>
        <w:t xml:space="preserve">POST-CLASSIFICATION FILTERING: A 3×3 majority filter is applied to remove isolated single-pixel classification noise, consistent with standard post-classification smoothing practice.</w:t>
      </w:r>
    </w:p>
    <w:p>
      <w:pPr>
        <w:pStyle w:val="Heading3"/>
        <w:spacing w:after="100" w:before="200"/>
      </w:pPr>
      <w:r>
        <w:rPr>
          <w:rFonts w:ascii="Calibri" w:cs="Calibri" w:eastAsia="Calibri" w:hAnsi="Calibri"/>
          <w:b/>
          <w:bCs/>
          <w:i/>
          <w:iCs/>
          <w:color w:val="000000"/>
          <w:sz w:val="22"/>
          <w:szCs w:val="22"/>
        </w:rPr>
        <w:t xml:space="preserve">2.4.3 Accuracy Assessment Protocol</w:t>
      </w:r>
    </w:p>
    <w:p>
      <w:pPr>
        <w:spacing w:after="160" w:line="276"/>
        <w:jc w:val="both"/>
      </w:pPr>
      <w:r>
        <w:rPr>
          <w:rFonts w:ascii="Calibri" w:cs="Calibri" w:eastAsia="Calibri" w:hAnsi="Calibri"/>
          <w:color w:val="000000"/>
          <w:sz w:val="21"/>
          <w:szCs w:val="21"/>
        </w:rPr>
        <w:t xml:space="preserve">Accuracy assessment is performed independently for each epoch using a stratified random reference-point sample (minimum 50 points per class, proportionally allocated), verified against high-resolution reference imagery. Metrics reported are Overall Accuracy (OA, %), Producer's Accuracy (PA, %), User's Accuracy (UA, %), and the Kappa coefficient of agreement (κ) </w:t>
      </w:r>
      <w:r>
        <w:rPr>
          <w:rFonts w:ascii="Calibri" w:cs="Calibri" w:eastAsia="Calibri" w:hAnsi="Calibri"/>
          <w:b w:val="false"/>
          <w:bCs w:val="false"/>
          <w:i w:val="false"/>
          <w:iCs w:val="false"/>
          <w:color w:val="000000"/>
          <w:sz w:val="21"/>
          <w:szCs w:val="21"/>
        </w:rPr>
        <w:t xml:space="preserve">(Cohen, 1960)</w:t>
      </w:r>
      <w:r>
        <w:rPr>
          <w:rFonts w:ascii="Calibri" w:cs="Calibri" w:eastAsia="Calibri" w:hAnsi="Calibri"/>
          <w:color w:val="000000"/>
          <w:sz w:val="21"/>
          <w:szCs w:val="21"/>
        </w:rPr>
        <w:t xml:space="preserve">, computed and reported following standard remote sensing accuracy assessment protocol </w:t>
      </w:r>
      <w:r>
        <w:rPr>
          <w:rFonts w:ascii="Calibri" w:cs="Calibri" w:eastAsia="Calibri" w:hAnsi="Calibri"/>
          <w:b w:val="false"/>
          <w:bCs w:val="false"/>
          <w:i w:val="false"/>
          <w:iCs w:val="false"/>
          <w:color w:val="000000"/>
          <w:sz w:val="21"/>
          <w:szCs w:val="21"/>
        </w:rPr>
        <w:t xml:space="preserve">(Congalton, 1991)</w:t>
      </w:r>
      <w:r>
        <w:rPr>
          <w:rFonts w:ascii="Calibri" w:cs="Calibri" w:eastAsia="Calibri" w:hAnsi="Calibri"/>
          <w:color w:val="000000"/>
          <w:sz w:val="21"/>
          <w:szCs w:val="21"/>
        </w:rPr>
        <w:t xml:space="preserve">:</w:t>
      </w:r>
    </w:p>
    <w:p>
      <w:pPr>
        <w:spacing w:after="160" w:line="276"/>
        <w:jc w:val="center"/>
      </w:pPr>
      <w:r>
        <w:rPr>
          <w:rFonts w:ascii="Calibri" w:cs="Calibri" w:eastAsia="Calibri" w:hAnsi="Calibri"/>
          <w:color w:val="000000"/>
          <w:sz w:val="21"/>
          <w:szCs w:val="21"/>
        </w:rPr>
        <w:t xml:space="preserve">κ = (pₒ − pₑ) / (1 − pₑ)</w:t>
      </w:r>
    </w:p>
    <w:p>
      <w:pPr>
        <w:spacing w:after="160" w:line="276"/>
        <w:jc w:val="both"/>
      </w:pPr>
      <w:r>
        <w:rPr>
          <w:rFonts w:ascii="Calibri" w:cs="Calibri" w:eastAsia="Calibri" w:hAnsi="Calibri"/>
          <w:color w:val="000000"/>
          <w:sz w:val="21"/>
          <w:szCs w:val="21"/>
        </w:rPr>
        <w:t xml:space="preserve">where pₒ is the observed proportional agreement (Overall Accuracy) and pₑ is the proportion of agreement expected by chance, computed from the row and column marginal totals of the error matrix. A minimum OA ≥ 85% and κ ≥ 0.80 is required for epoch acceptance; epochs falling below this threshold trigger additional reference-point collection and cluster re-labelling.</w:t>
      </w:r>
    </w:p>
    <w:p>
      <w:pPr>
        <w:pStyle w:val="Heading2"/>
        <w:spacing w:after="120" w:before="260"/>
      </w:pPr>
      <w:r>
        <w:rPr>
          <w:rFonts w:ascii="Calibri" w:cs="Calibri" w:eastAsia="Calibri" w:hAnsi="Calibri"/>
          <w:b/>
          <w:bCs/>
          <w:color w:val="000000"/>
          <w:sz w:val="24"/>
          <w:szCs w:val="24"/>
        </w:rPr>
        <w:t xml:space="preserve">2.5 Module M4: Remote Sensing Indices</w:t>
      </w:r>
    </w:p>
    <w:p>
      <w:pPr>
        <w:spacing w:after="160" w:line="276"/>
        <w:jc w:val="both"/>
      </w:pPr>
      <w:r>
        <w:rPr>
          <w:rFonts w:ascii="Calibri" w:cs="Calibri" w:eastAsia="Calibri" w:hAnsi="Calibri"/>
          <w:b w:val="false"/>
          <w:bCs w:val="false"/>
          <w:i w:val="false"/>
          <w:iCs w:val="false"/>
          <w:color w:val="000000"/>
          <w:sz w:val="21"/>
          <w:szCs w:val="21"/>
        </w:rPr>
        <w:t xml:space="preserve">Four spectral/thermal indices are computed from the co-registered, atmospherically corrected, and radiometrically normalised surface reflectance rasters described in Section 2.3, ensuring direct comparability across all five epochs. Table 3 summarises the formula, band assignment, value-range interpretation, and role of each index; each formula is stated once, here, and referenced by name throughout the remainder of this Methodology.</w:t>
      </w:r>
    </w:p>
    <w:p>
      <w:pPr>
        <w:spacing w:after="80" w:before="120"/>
        <w:jc w:val="center"/>
      </w:pPr>
      <w:r>
        <w:rPr>
          <w:rFonts w:ascii="Calibri" w:cs="Calibri" w:eastAsia="Calibri" w:hAnsi="Calibri"/>
          <w:i/>
          <w:iCs/>
          <w:color w:val="000000"/>
          <w:sz w:val="19"/>
          <w:szCs w:val="19"/>
        </w:rPr>
        <w:t xml:space="preserve">Table 3. Remote sensing indices used in this study: formulae, band assignments, and interpretation.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900"/>
        <w:gridCol w:w="2400"/>
        <w:gridCol w:w="1200"/>
        <w:gridCol w:w="1238"/>
      </w:tblGrid>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Calibri" w:cs="Calibri" w:eastAsia="Calibri" w:hAnsi="Calibri"/>
                <w:b/>
                <w:bCs/>
                <w:i w:val="false"/>
                <w:iCs w:val="false"/>
                <w:color w:val="000000"/>
                <w:sz w:val="18"/>
                <w:szCs w:val="18"/>
              </w:rPr>
              <w:t xml:space="preserve">Index</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Calibri" w:cs="Calibri" w:eastAsia="Calibri" w:hAnsi="Calibri"/>
                <w:b/>
                <w:bCs/>
                <w:i w:val="false"/>
                <w:iCs w:val="false"/>
                <w:color w:val="000000"/>
                <w:sz w:val="18"/>
                <w:szCs w:val="18"/>
              </w:rPr>
              <w:t xml:space="preserve">Formula</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Calibri" w:cs="Calibri" w:eastAsia="Calibri" w:hAnsi="Calibri"/>
                <w:b/>
                <w:bCs/>
                <w:i w:val="false"/>
                <w:iCs w:val="false"/>
                <w:color w:val="000000"/>
                <w:sz w:val="18"/>
                <w:szCs w:val="18"/>
              </w:rPr>
              <w:t xml:space="preserve">Bands (L5/7 → L8/9)</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Calibri" w:cs="Calibri" w:eastAsia="Calibri" w:hAnsi="Calibri"/>
                <w:b/>
                <w:bCs/>
                <w:i w:val="false"/>
                <w:iCs w:val="false"/>
                <w:color w:val="000000"/>
                <w:sz w:val="18"/>
                <w:szCs w:val="18"/>
              </w:rPr>
              <w:t xml:space="preserve">Value Range &amp; Meaning</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Calibri" w:cs="Calibri" w:eastAsia="Calibri" w:hAnsi="Calibri"/>
                <w:b/>
                <w:bCs/>
                <w:i w:val="false"/>
                <w:iCs w:val="false"/>
                <w:color w:val="000000"/>
                <w:sz w:val="18"/>
                <w:szCs w:val="18"/>
              </w:rPr>
              <w:t xml:space="preserve">Application</w:t>
            </w:r>
          </w:p>
        </w:tc>
        <w:tc>
          <w:tcPr>
            <w:tcW w:type="dxa" w:w="12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Calibri" w:cs="Calibri" w:eastAsia="Calibri" w:hAnsi="Calibri"/>
                <w:b/>
                <w:bCs/>
                <w:i w:val="false"/>
                <w:iCs w:val="false"/>
                <w:color w:val="000000"/>
                <w:sz w:val="18"/>
                <w:szCs w:val="18"/>
              </w:rPr>
              <w:t xml:space="preserve">Source</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bCs/>
                <w:i w:val="false"/>
                <w:iCs w:val="false"/>
                <w:color w:val="000000"/>
                <w:sz w:val="18"/>
                <w:szCs w:val="18"/>
              </w:rPr>
              <w:t xml:space="preserve">NDBI</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18"/>
                <w:szCs w:val="18"/>
              </w:rPr>
              <w:t xml:space="preserve">(SWIR1−NIR)/(SWIR1+NIR)</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Calibri" w:cs="Calibri" w:eastAsia="Calibri" w:hAnsi="Calibri"/>
                <w:b w:val="false"/>
                <w:bCs w:val="false"/>
                <w:i w:val="false"/>
                <w:iCs w:val="false"/>
                <w:color w:val="000000"/>
                <w:sz w:val="18"/>
                <w:szCs w:val="18"/>
              </w:rPr>
              <w:t xml:space="preserve">B5,B4 → B6,B5</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18"/>
                <w:szCs w:val="18"/>
              </w:rPr>
              <w:t xml:space="preserve">−1 to +1. &gt;0 = built-up dominant; ≈0 = bare soil; &lt;0 = vegetation/water dominant.</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18"/>
                <w:szCs w:val="18"/>
              </w:rPr>
              <w:t xml:space="preserve">Built-up driver (Pathway A); ML feature; EJC component</w:t>
            </w:r>
          </w:p>
        </w:tc>
        <w:tc>
          <w:tcPr>
            <w:tcW w:type="dxa" w:w="12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18"/>
                <w:szCs w:val="18"/>
              </w:rPr>
              <w:t xml:space="preserve">Zha et al. (2003)</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bCs/>
                <w:i w:val="false"/>
                <w:iCs w:val="false"/>
                <w:color w:val="000000"/>
                <w:sz w:val="18"/>
                <w:szCs w:val="18"/>
              </w:rPr>
              <w:t xml:space="preserve">NDVI</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18"/>
                <w:szCs w:val="18"/>
              </w:rPr>
              <w:t xml:space="preserve">(NIR−Red)/(NIR+Red)</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Calibri" w:cs="Calibri" w:eastAsia="Calibri" w:hAnsi="Calibri"/>
                <w:b w:val="false"/>
                <w:bCs w:val="false"/>
                <w:i w:val="false"/>
                <w:iCs w:val="false"/>
                <w:color w:val="000000"/>
                <w:sz w:val="18"/>
                <w:szCs w:val="18"/>
              </w:rPr>
              <w:t xml:space="preserve">B4,B3 → B5,B4</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18"/>
                <w:szCs w:val="18"/>
              </w:rPr>
              <w:t xml:space="preserve">−1 to +1. &lt;0.10 = impervious/bare; 0.10–0.35 = sparse–moderate; &gt;0.35 = dense canopy.</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18"/>
                <w:szCs w:val="18"/>
              </w:rPr>
              <w:t xml:space="preserve">Vegetation/cooling proxy (Pathway B); emissivity input; ML feature</w:t>
            </w:r>
          </w:p>
        </w:tc>
        <w:tc>
          <w:tcPr>
            <w:tcW w:type="dxa" w:w="12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18"/>
                <w:szCs w:val="18"/>
              </w:rPr>
              <w:t xml:space="preserve">Rouse et al. (1974)</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bCs/>
                <w:i w:val="false"/>
                <w:iCs w:val="false"/>
                <w:color w:val="000000"/>
                <w:sz w:val="18"/>
                <w:szCs w:val="18"/>
              </w:rPr>
              <w:t xml:space="preserve">NDMI</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18"/>
                <w:szCs w:val="18"/>
              </w:rPr>
              <w:t xml:space="preserve">(NIR−SWIR1)/(NIR+SWIR1)</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Calibri" w:cs="Calibri" w:eastAsia="Calibri" w:hAnsi="Calibri"/>
                <w:b w:val="false"/>
                <w:bCs w:val="false"/>
                <w:i w:val="false"/>
                <w:iCs w:val="false"/>
                <w:color w:val="000000"/>
                <w:sz w:val="18"/>
                <w:szCs w:val="18"/>
              </w:rPr>
              <w:t xml:space="preserve">B4,B5 → B5,B6</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18"/>
                <w:szCs w:val="18"/>
              </w:rPr>
              <w:t xml:space="preserve">−1 to +1. &gt;0.3 = high moisture; 0.0–0.3 = moderate; &lt;−0.1 = severe moisture stress.</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18"/>
                <w:szCs w:val="18"/>
              </w:rPr>
              <w:t xml:space="preserve">Moisture/latent-heat proxy (Pathway C); ML feature</w:t>
            </w:r>
          </w:p>
        </w:tc>
        <w:tc>
          <w:tcPr>
            <w:tcW w:type="dxa" w:w="12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18"/>
                <w:szCs w:val="18"/>
              </w:rPr>
              <w:t xml:space="preserve">Wilson &amp; Sader (2002)</w:t>
            </w:r>
          </w:p>
        </w:tc>
      </w:tr>
      <w:tr>
        <w:tc>
          <w:tcPr>
            <w:tcW w:type="dxa" w:w="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bCs/>
                <w:i w:val="false"/>
                <w:iCs w:val="false"/>
                <w:color w:val="000000"/>
                <w:sz w:val="18"/>
                <w:szCs w:val="18"/>
              </w:rPr>
              <w:t xml:space="preserve">UHI Intensity</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18"/>
                <w:szCs w:val="18"/>
              </w:rPr>
              <w:t xml:space="preserve">LST_urban − LST_peri-urban</w:t>
            </w:r>
          </w:p>
        </w:tc>
        <w:tc>
          <w:tcPr>
            <w:tcW w:type="dxa" w:w="19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Calibri" w:cs="Calibri" w:eastAsia="Calibri" w:hAnsi="Calibri"/>
                <w:b w:val="false"/>
                <w:bCs w:val="false"/>
                <w:i w:val="false"/>
                <w:iCs w:val="false"/>
                <w:color w:val="000000"/>
                <w:sz w:val="18"/>
                <w:szCs w:val="18"/>
              </w:rPr>
              <w:t xml:space="preserve">Derived from LST (Sec. 2.6)</w:t>
            </w:r>
          </w:p>
        </w:tc>
        <w:tc>
          <w:tcPr>
            <w:tcW w:type="dxa" w:w="2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18"/>
                <w:szCs w:val="18"/>
              </w:rPr>
              <w:t xml:space="preserve">In °C (absolute) or normalised by σ of the peri-urban reference; &gt;+2σ = significant thermal hotspot.</w:t>
            </w:r>
          </w:p>
        </w:tc>
        <w:tc>
          <w:tcPr>
            <w:tcW w:type="dxa" w:w="12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18"/>
                <w:szCs w:val="18"/>
              </w:rPr>
              <w:t xml:space="preserve">UHI outcome index; LISA input; ML target</w:t>
            </w:r>
          </w:p>
        </w:tc>
        <w:tc>
          <w:tcPr>
            <w:tcW w:type="dxa" w:w="12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18"/>
                <w:szCs w:val="18"/>
              </w:rPr>
              <w:t xml:space="preserve">Oke (1982)</w:t>
            </w:r>
          </w:p>
        </w:tc>
      </w:tr>
    </w:tbl>
    <w:p>
      <w:pPr>
        <w:spacing w:after="160" w:line="276"/>
        <w:jc w:val="both"/>
      </w:pPr>
      <w:r>
        <w:rPr>
          <w:rFonts w:ascii="Calibri" w:cs="Calibri" w:eastAsia="Calibri" w:hAnsi="Calibri"/>
          <w:b w:val="false"/>
          <w:bCs w:val="false"/>
          <w:i w:val="false"/>
          <w:iCs w:val="false"/>
          <w:color w:val="000000"/>
          <w:sz w:val="21"/>
          <w:szCs w:val="21"/>
        </w:rPr>
        <w:t xml:space="preserve"/>
      </w:r>
    </w:p>
    <w:p>
      <w:pPr>
        <w:spacing w:after="160" w:line="276"/>
        <w:jc w:val="both"/>
      </w:pPr>
      <w:r>
        <w:rPr>
          <w:rFonts w:ascii="Calibri" w:cs="Calibri" w:eastAsia="Calibri" w:hAnsi="Calibri"/>
          <w:b w:val="false"/>
          <w:bCs w:val="false"/>
          <w:i w:val="false"/>
          <w:iCs w:val="false"/>
          <w:color w:val="000000"/>
          <w:sz w:val="21"/>
          <w:szCs w:val="21"/>
        </w:rPr>
        <w:t xml:space="preserve">Band notation follows Landsat Collection 2 conventions: for Landsat 5 TM / 7 ETM+, SWIR1 = Band 5, NIR = Band 4, Red = Band 3; for Landsat 8 OLI / 9 OLI-2, SWIR1 = Band 6, NIR = Band 5, Red = Band 4. NDBI and NDMI share the same two spectral bands in inverted ratio form and therefore capture opposite physical states of the same surface (NDBI↑ = impervious dominant; NDMI↑ = moisture-active surface dominant). For each of the four decadal intervals, pixel-wise differencing of consecutive epochs produces ΔNDBI, ΔNDVI, ΔNDMI, and ΔUHI change rasters, and zonal statistics per LULC class and per ward are extracted for each epoch to support the causal-chain and Environmental Justice analyses in Sections 2.7 and 2.8.</w:t>
      </w:r>
    </w:p>
    <w:p>
      <w:pPr>
        <w:spacing w:after="160" w:line="276"/>
        <w:jc w:val="both"/>
      </w:pPr>
      <w:r>
        <w:rPr>
          <w:rFonts w:ascii="Calibri" w:cs="Calibri" w:eastAsia="Calibri" w:hAnsi="Calibri"/>
          <w:color w:val="000000"/>
          <w:sz w:val="21"/>
          <w:szCs w:val="21"/>
        </w:rPr>
        <w:t xml:space="preserve">LST_urban is defined as the mean LST of all Settlement-class pixels within the study domain for a given epoch; LST_peri-urban is the mean LST of Agriculture and Vegetation class pixels within a 10 km peri-urban reference buffer surrounding the DNCC/DSCC boundary </w:t>
      </w:r>
      <w:r>
        <w:rPr>
          <w:rFonts w:ascii="Calibri" w:cs="Calibri" w:eastAsia="Calibri" w:hAnsi="Calibri"/>
          <w:b w:val="false"/>
          <w:bCs w:val="false"/>
          <w:i w:val="false"/>
          <w:iCs w:val="false"/>
          <w:color w:val="000000"/>
          <w:sz w:val="21"/>
          <w:szCs w:val="21"/>
        </w:rPr>
        <w:t xml:space="preserve">(Oke, 1982)</w:t>
      </w:r>
      <w:r>
        <w:rPr>
          <w:rFonts w:ascii="Calibri" w:cs="Calibri" w:eastAsia="Calibri" w:hAnsi="Calibri"/>
          <w:color w:val="000000"/>
          <w:sz w:val="21"/>
          <w:szCs w:val="21"/>
        </w:rPr>
        <w:t xml:space="preserve">.</w:t>
      </w:r>
    </w:p>
    <w:p>
      <w:pPr>
        <w:pStyle w:val="Heading2"/>
        <w:spacing w:after="120" w:before="260"/>
      </w:pPr>
      <w:r>
        <w:rPr>
          <w:rFonts w:ascii="Calibri" w:cs="Calibri" w:eastAsia="Calibri" w:hAnsi="Calibri"/>
          <w:b/>
          <w:bCs/>
          <w:color w:val="000000"/>
          <w:sz w:val="24"/>
          <w:szCs w:val="24"/>
        </w:rPr>
        <w:t xml:space="preserve">2.6 Land Surface Temperature (LST) Retrieval and Long-Term Trend Analysis</w:t>
      </w:r>
    </w:p>
    <w:p>
      <w:pPr>
        <w:pStyle w:val="Heading3"/>
        <w:spacing w:after="100" w:before="200"/>
      </w:pPr>
      <w:r>
        <w:rPr>
          <w:rFonts w:ascii="Calibri" w:cs="Calibri" w:eastAsia="Calibri" w:hAnsi="Calibri"/>
          <w:b/>
          <w:bCs/>
          <w:i/>
          <w:iCs/>
          <w:color w:val="000000"/>
          <w:sz w:val="22"/>
          <w:szCs w:val="22"/>
        </w:rPr>
        <w:t xml:space="preserve">2.6.1 LST Retrieval Algorithm (Radiative Transfer Equation Method)</w:t>
      </w:r>
    </w:p>
    <w:p>
      <w:pPr>
        <w:spacing w:after="160" w:line="276"/>
        <w:jc w:val="both"/>
      </w:pPr>
      <w:r>
        <w:rPr>
          <w:rFonts w:ascii="Calibri" w:cs="Calibri" w:eastAsia="Calibri" w:hAnsi="Calibri"/>
          <w:color w:val="000000"/>
          <w:sz w:val="21"/>
          <w:szCs w:val="21"/>
        </w:rPr>
        <w:t xml:space="preserve">LST is retrieved from Landsat thermal infrared (TIR) bands using the Radiative Transfer Equation (RTE) / mono-window method </w:t>
      </w:r>
      <w:r>
        <w:rPr>
          <w:rFonts w:ascii="Calibri" w:cs="Calibri" w:eastAsia="Calibri" w:hAnsi="Calibri"/>
          <w:b w:val="false"/>
          <w:bCs w:val="false"/>
          <w:i w:val="false"/>
          <w:iCs w:val="false"/>
          <w:color w:val="000000"/>
          <w:sz w:val="21"/>
          <w:szCs w:val="21"/>
        </w:rPr>
        <w:t xml:space="preserve">(Qin, Karnieli, &amp; Berliner, 2001)</w:t>
      </w:r>
      <w:r>
        <w:rPr>
          <w:rFonts w:ascii="Calibri" w:cs="Calibri" w:eastAsia="Calibri" w:hAnsi="Calibri"/>
          <w:color w:val="000000"/>
          <w:sz w:val="21"/>
          <w:szCs w:val="21"/>
        </w:rPr>
        <w:t xml:space="preserve">, applied in four sequential steps:</w:t>
      </w:r>
    </w:p>
    <w:p>
      <w:pPr>
        <w:pStyle w:val="ListParagraph"/>
        <w:numPr>
          <w:ilvl w:val="0"/>
          <w:numId w:val="2"/>
        </w:numPr>
        <w:spacing w:after="100" w:line="276"/>
      </w:pPr>
      <w:r>
        <w:rPr>
          <w:rFonts w:ascii="Calibri" w:cs="Calibri" w:eastAsia="Calibri" w:hAnsi="Calibri"/>
          <w:color w:val="000000"/>
          <w:sz w:val="21"/>
          <w:szCs w:val="21"/>
        </w:rPr>
        <w:t xml:space="preserve">Step 1 — Radiance conversion: Lλ = Mₗ × DN + Aₗ, where Lλ is Top-of-Atmosphere (TOA) spectral radiance (W m⁻² sr⁻¹ μm⁻¹), and Mₗ, Aₗ are the band-specific radiance rescaling coefficients from the USGS MTL metadata file.</w:t>
      </w:r>
    </w:p>
    <w:p>
      <w:pPr>
        <w:pStyle w:val="ListParagraph"/>
        <w:numPr>
          <w:ilvl w:val="0"/>
          <w:numId w:val="2"/>
        </w:numPr>
        <w:spacing w:after="100" w:line="276"/>
      </w:pPr>
      <w:r>
        <w:rPr>
          <w:rFonts w:ascii="Calibri" w:cs="Calibri" w:eastAsia="Calibri" w:hAnsi="Calibri"/>
          <w:color w:val="000000"/>
          <w:sz w:val="21"/>
          <w:szCs w:val="21"/>
        </w:rPr>
        <w:t xml:space="preserve">Step 2 — Brightness temperature: BT = K₂ / ln(K₁/Lλ + 1), where K₁ and K₂ are sensor-specific thermal calibration constants (Landsat 5 TM Band 6: K₁=607.76, K₂=1260.56; Landsat 7 ETM+ Band 6: K₁=666.09, K₂=1282.71; Landsat 8 TIRS Band 10: K₁=774.89, K₂=1321.08; Landsat 9 TIRS-2 Band 10: K₁=799.0342, K₂=1329.2181).</w:t>
      </w:r>
    </w:p>
    <w:p>
      <w:pPr>
        <w:pStyle w:val="ListParagraph"/>
        <w:numPr>
          <w:ilvl w:val="0"/>
          <w:numId w:val="2"/>
        </w:numPr>
        <w:spacing w:after="100" w:line="276"/>
      </w:pPr>
      <w:r>
        <w:rPr>
          <w:rFonts w:ascii="Calibri" w:cs="Calibri" w:eastAsia="Calibri" w:hAnsi="Calibri"/>
          <w:color w:val="000000"/>
          <w:sz w:val="21"/>
          <w:szCs w:val="21"/>
        </w:rPr>
        <w:t xml:space="preserve">Step 3 — Emissivity estimation: emissivity (ε) is estimated from Fractional Vegetation Cover (FVC), computed from NDVI as FVC = [(NDVI−0.2)/(0.5−0.2)]², clamped to [0,1] </w:t>
      </w:r>
      <w:r>
        <w:rPr>
          <w:rFonts w:ascii="Calibri" w:cs="Calibri" w:eastAsia="Calibri" w:hAnsi="Calibri"/>
          <w:b w:val="false"/>
          <w:bCs w:val="false"/>
          <w:i w:val="false"/>
          <w:iCs w:val="false"/>
          <w:color w:val="000000"/>
          <w:sz w:val="21"/>
          <w:szCs w:val="21"/>
        </w:rPr>
        <w:t xml:space="preserve">(Carlson &amp; Ripley, 1997)</w:t>
      </w:r>
      <w:r>
        <w:rPr>
          <w:rFonts w:ascii="Calibri" w:cs="Calibri" w:eastAsia="Calibri" w:hAnsi="Calibri"/>
          <w:color w:val="000000"/>
          <w:sz w:val="21"/>
          <w:szCs w:val="21"/>
        </w:rPr>
        <w:t xml:space="preserve">, via ε = 0.004 × FVC + 0.986, an NDVI-threshold emissivity method accounting for spectral mixing of vegetation (ε_veg ≈ 0.99) and impervious surface (ε_urb ≈ 0.97) </w:t>
      </w:r>
      <w:r>
        <w:rPr>
          <w:rFonts w:ascii="Calibri" w:cs="Calibri" w:eastAsia="Calibri" w:hAnsi="Calibri"/>
          <w:b w:val="false"/>
          <w:bCs w:val="false"/>
          <w:i w:val="false"/>
          <w:iCs w:val="false"/>
          <w:color w:val="000000"/>
          <w:sz w:val="21"/>
          <w:szCs w:val="21"/>
        </w:rPr>
        <w:t xml:space="preserve">(Sobrino, Jiménez-Muñoz, &amp; Paolini, 2004)</w:t>
      </w:r>
      <w:r>
        <w:rPr>
          <w:rFonts w:ascii="Calibri" w:cs="Calibri" w:eastAsia="Calibri" w:hAnsi="Calibri"/>
          <w:color w:val="000000"/>
          <w:sz w:val="21"/>
          <w:szCs w:val="21"/>
        </w:rPr>
        <w:t xml:space="preserve">.</w:t>
      </w:r>
    </w:p>
    <w:p>
      <w:pPr>
        <w:pStyle w:val="ListParagraph"/>
        <w:numPr>
          <w:ilvl w:val="0"/>
          <w:numId w:val="2"/>
        </w:numPr>
        <w:spacing w:after="100" w:line="276"/>
      </w:pPr>
      <w:r>
        <w:rPr>
          <w:rFonts w:ascii="Calibri" w:cs="Calibri" w:eastAsia="Calibri" w:hAnsi="Calibri"/>
          <w:color w:val="000000"/>
          <w:sz w:val="21"/>
          <w:szCs w:val="21"/>
        </w:rPr>
        <w:t xml:space="preserve">Step 4 — LST retrieval: LST (°C) = BT / [1 + (λ × BT/ρ) × ln(ε)] − 273.15, where λ is the central wavelength of the TIR band (Landsat 5/7: 11.45 μm; Landsat 8/9: 10.90 μm) and ρ = h×c/σ = 1.438×10⁻² m·K (h = Planck's constant, c = speed of light, σ = Boltzmann's constant) </w:t>
      </w:r>
      <w:r>
        <w:rPr>
          <w:rFonts w:ascii="Calibri" w:cs="Calibri" w:eastAsia="Calibri" w:hAnsi="Calibri"/>
          <w:b w:val="false"/>
          <w:bCs w:val="false"/>
          <w:i w:val="false"/>
          <w:iCs w:val="false"/>
          <w:color w:val="000000"/>
          <w:sz w:val="21"/>
          <w:szCs w:val="21"/>
        </w:rPr>
        <w:t xml:space="preserve">(Qin, Karnieli, &amp; Berliner, 2001)</w:t>
      </w:r>
      <w:r>
        <w:rPr>
          <w:rFonts w:ascii="Calibri" w:cs="Calibri" w:eastAsia="Calibri" w:hAnsi="Calibri"/>
          <w:color w:val="000000"/>
          <w:sz w:val="21"/>
          <w:szCs w:val="21"/>
        </w:rPr>
        <w:t xml:space="preserve">.</w:t>
      </w:r>
    </w:p>
    <w:p>
      <w:pPr>
        <w:spacing w:after="160" w:line="276"/>
        <w:jc w:val="both"/>
      </w:pPr>
      <w:r>
        <w:rPr>
          <w:rFonts w:ascii="Calibri" w:cs="Calibri" w:eastAsia="Calibri" w:hAnsi="Calibri"/>
          <w:b w:val="false"/>
          <w:bCs w:val="false"/>
          <w:i w:val="false"/>
          <w:iCs w:val="false"/>
          <w:color w:val="000000"/>
          <w:sz w:val="21"/>
          <w:szCs w:val="21"/>
        </w:rPr>
        <w:t xml:space="preserve">Epoch-specific LST rasters (°C, 30 m) are produced for each of the five years, together with four ΔLST change rasters and mean LST per LULC class and per ward for each epoch, feeding the UHI Intensity Index (Table 3) and the LISA analysis (Section 2.7).</w:t>
      </w:r>
    </w:p>
    <w:p>
      <w:pPr>
        <w:pStyle w:val="Heading3"/>
        <w:spacing w:after="100" w:before="200"/>
      </w:pPr>
      <w:r>
        <w:rPr>
          <w:rFonts w:ascii="Calibri" w:cs="Calibri" w:eastAsia="Calibri" w:hAnsi="Calibri"/>
          <w:b/>
          <w:bCs/>
          <w:i/>
          <w:iCs/>
          <w:color w:val="000000"/>
          <w:sz w:val="22"/>
          <w:szCs w:val="22"/>
        </w:rPr>
        <w:t xml:space="preserve">2.6.2 Long-Term Trend Analysis: Mann–Kendall Test and Sen's Slope Estimator</w:t>
      </w:r>
    </w:p>
    <w:p>
      <w:pPr>
        <w:spacing w:after="160" w:line="276"/>
        <w:jc w:val="both"/>
      </w:pPr>
      <w:r>
        <w:rPr>
          <w:rFonts w:ascii="Calibri" w:cs="Calibri" w:eastAsia="Calibri" w:hAnsi="Calibri"/>
          <w:color w:val="000000"/>
          <w:sz w:val="21"/>
          <w:szCs w:val="21"/>
        </w:rPr>
        <w:t xml:space="preserve">The direction and statistical significance of the 50-year (1985–2025) monotonic trend in each index time series (NDBI, NDVI, NDMI, LST, and UHI Intensity, at city-mean and ward levels) is assessed using the non-parametric Mann–Kendall trend test </w:t>
      </w:r>
      <w:r>
        <w:rPr>
          <w:rFonts w:ascii="Calibri" w:cs="Calibri" w:eastAsia="Calibri" w:hAnsi="Calibri"/>
          <w:b w:val="false"/>
          <w:bCs w:val="false"/>
          <w:i w:val="false"/>
          <w:iCs w:val="false"/>
          <w:color w:val="000000"/>
          <w:sz w:val="21"/>
          <w:szCs w:val="21"/>
        </w:rPr>
        <w:t xml:space="preserve">(Mann, 1945; Kendall, 1975)</w:t>
      </w:r>
      <w:r>
        <w:rPr>
          <w:rFonts w:ascii="Calibri" w:cs="Calibri" w:eastAsia="Calibri" w:hAnsi="Calibri"/>
          <w:color w:val="000000"/>
          <w:sz w:val="21"/>
          <w:szCs w:val="21"/>
        </w:rPr>
        <w:t xml:space="preserve">, which does not assume normality or a linear trend form and is therefore appropriate for a short, five-point epoch series.</w:t>
      </w:r>
    </w:p>
    <w:p>
      <w:pPr>
        <w:spacing w:after="160" w:line="276"/>
        <w:jc w:val="both"/>
      </w:pPr>
      <w:r>
        <w:rPr>
          <w:rFonts w:ascii="Calibri" w:cs="Calibri" w:eastAsia="Calibri" w:hAnsi="Calibri"/>
          <w:color w:val="000000"/>
          <w:sz w:val="21"/>
          <w:szCs w:val="21"/>
        </w:rPr>
        <w:t xml:space="preserve">For a time series x₁, x₂, …, xₙ (n = 5 epochs), the Mann–Kendall test statistic S is computed as:</w:t>
      </w:r>
    </w:p>
    <w:p>
      <w:pPr>
        <w:spacing w:after="160" w:line="276"/>
        <w:jc w:val="center"/>
      </w:pPr>
      <w:r>
        <w:rPr>
          <w:rFonts w:ascii="Calibri" w:cs="Calibri" w:eastAsia="Calibri" w:hAnsi="Calibri"/>
          <w:color w:val="000000"/>
          <w:sz w:val="21"/>
          <w:szCs w:val="21"/>
        </w:rPr>
        <w:t xml:space="preserve">S = Σᵢ₌₁ⁿ⁻¹ Σⱼ₌ᵢ₊₁ⁿ sgn(xⱼ − xᵢ),  where sgn(θ) = +1 if θ&gt;0, 0 if θ=0, −1 if θ&lt;0</w:t>
      </w:r>
    </w:p>
    <w:p>
      <w:pPr>
        <w:spacing w:after="160" w:line="276"/>
        <w:jc w:val="both"/>
      </w:pPr>
      <w:r>
        <w:rPr>
          <w:rFonts w:ascii="Calibri" w:cs="Calibri" w:eastAsia="Calibri" w:hAnsi="Calibri"/>
          <w:color w:val="000000"/>
          <w:sz w:val="21"/>
          <w:szCs w:val="21"/>
        </w:rPr>
        <w:t xml:space="preserve">For n ≥ 10 the statistic is standardised to a Z-score using the variance of S, Var(S) = n(n−1)(2n+5)/18 (adjusted for tied values where present); for the five-epoch series used here, exact-distribution p-values are used in place of the normal approximation. A positive S (Z) indicates an increasing (upward) trend and a negative S (Z) a decreasing trend; significance is evaluated at α = 0.05.</w:t>
      </w:r>
    </w:p>
    <w:p>
      <w:pPr>
        <w:spacing w:after="160" w:line="276"/>
        <w:jc w:val="both"/>
      </w:pPr>
      <w:r>
        <w:rPr>
          <w:rFonts w:ascii="Calibri" w:cs="Calibri" w:eastAsia="Calibri" w:hAnsi="Calibri"/>
          <w:color w:val="000000"/>
          <w:sz w:val="21"/>
          <w:szCs w:val="21"/>
        </w:rPr>
        <w:t xml:space="preserve">The magnitude of the monotonic trend is quantified using the Sen's slope estimator </w:t>
      </w:r>
      <w:r>
        <w:rPr>
          <w:rFonts w:ascii="Calibri" w:cs="Calibri" w:eastAsia="Calibri" w:hAnsi="Calibri"/>
          <w:b w:val="false"/>
          <w:bCs w:val="false"/>
          <w:i w:val="false"/>
          <w:iCs w:val="false"/>
          <w:color w:val="000000"/>
          <w:sz w:val="21"/>
          <w:szCs w:val="21"/>
        </w:rPr>
        <w:t xml:space="preserve">(Sen, 1968)</w:t>
      </w:r>
      <w:r>
        <w:rPr>
          <w:rFonts w:ascii="Calibri" w:cs="Calibri" w:eastAsia="Calibri" w:hAnsi="Calibri"/>
          <w:color w:val="000000"/>
          <w:sz w:val="21"/>
          <w:szCs w:val="21"/>
        </w:rPr>
        <w:t xml:space="preserve">, defined as the median of all pairwise slopes:</w:t>
      </w:r>
    </w:p>
    <w:p>
      <w:pPr>
        <w:spacing w:after="160" w:line="276"/>
        <w:jc w:val="center"/>
      </w:pPr>
      <w:r>
        <w:rPr>
          <w:rFonts w:ascii="Calibri" w:cs="Calibri" w:eastAsia="Calibri" w:hAnsi="Calibri"/>
          <w:color w:val="000000"/>
          <w:sz w:val="21"/>
          <w:szCs w:val="21"/>
        </w:rPr>
        <w:t xml:space="preserve">β = Median[(xⱼ − xᵢ) / (tⱼ − tᵢ)]  for all i &lt; j</w:t>
      </w:r>
    </w:p>
    <w:p>
      <w:pPr>
        <w:spacing w:after="160" w:line="276"/>
        <w:jc w:val="both"/>
      </w:pPr>
      <w:r>
        <w:rPr>
          <w:rFonts w:ascii="Calibri" w:cs="Calibri" w:eastAsia="Calibri" w:hAnsi="Calibri"/>
          <w:b w:val="false"/>
          <w:bCs w:val="false"/>
          <w:i w:val="false"/>
          <w:iCs w:val="false"/>
          <w:color w:val="000000"/>
          <w:sz w:val="21"/>
          <w:szCs w:val="21"/>
        </w:rPr>
        <w:t xml:space="preserve">where t denotes epoch year. β provides a robust, outlier-resistant estimate of the rate of change per year for each index, reported alongside the Mann–Kendall Z-statistic and p-value for each of NDBI, NDVI, NDMI, LST, and UHI Intensity at city-mean and ward level.</w:t>
      </w:r>
    </w:p>
    <w:p>
      <w:pPr>
        <w:pStyle w:val="Heading2"/>
        <w:spacing w:after="120" w:before="260"/>
      </w:pPr>
      <w:r>
        <w:rPr>
          <w:rFonts w:ascii="Calibri" w:cs="Calibri" w:eastAsia="Calibri" w:hAnsi="Calibri"/>
          <w:b/>
          <w:bCs/>
          <w:color w:val="000000"/>
          <w:sz w:val="24"/>
          <w:szCs w:val="24"/>
        </w:rPr>
        <w:t xml:space="preserve">2.7 Module M5: Spatiotemporal Analysis and Causal Chain Quantification</w:t>
      </w:r>
    </w:p>
    <w:p>
      <w:pPr>
        <w:pStyle w:val="Heading3"/>
        <w:spacing w:after="100" w:before="200"/>
      </w:pPr>
      <w:r>
        <w:rPr>
          <w:rFonts w:ascii="Calibri" w:cs="Calibri" w:eastAsia="Calibri" w:hAnsi="Calibri"/>
          <w:b/>
          <w:bCs/>
          <w:i/>
          <w:iCs/>
          <w:color w:val="000000"/>
          <w:sz w:val="22"/>
          <w:szCs w:val="22"/>
        </w:rPr>
        <w:t xml:space="preserve">2.7.1 LULC Transition Matrix Analysis</w:t>
      </w:r>
    </w:p>
    <w:p>
      <w:pPr>
        <w:spacing w:after="160" w:line="276"/>
        <w:jc w:val="both"/>
      </w:pPr>
      <w:r>
        <w:rPr>
          <w:rFonts w:ascii="Calibri" w:cs="Calibri" w:eastAsia="Calibri" w:hAnsi="Calibri"/>
          <w:b w:val="false"/>
          <w:bCs w:val="false"/>
          <w:i w:val="false"/>
          <w:iCs w:val="false"/>
          <w:color w:val="000000"/>
          <w:sz w:val="21"/>
          <w:szCs w:val="21"/>
        </w:rPr>
        <w:t xml:space="preserve">A LULC transition matrix (a 5×5 cross-tabulation of pixel counts and area in km²) is computed for each of the four decadal intervals (1985→1995, 1995→2005, 2005→2015, 2015→2025) using pixel-level cross-tabulation of co-registered classification rasters in GEE. Each cell [i,j] records the area classified as class i in the earlier epoch that transitioned to class j in the later epoch, directly identifying which class conversions (e.g., Vegetation→Settlement, Water body→Settlement) drive NDBI increase and consequent LST/UHI escalation.</w:t>
      </w:r>
    </w:p>
    <w:p>
      <w:pPr>
        <w:pStyle w:val="Heading3"/>
        <w:spacing w:after="100" w:before="200"/>
      </w:pPr>
      <w:r>
        <w:rPr>
          <w:rFonts w:ascii="Calibri" w:cs="Calibri" w:eastAsia="Calibri" w:hAnsi="Calibri"/>
          <w:b/>
          <w:bCs/>
          <w:i/>
          <w:iCs/>
          <w:color w:val="000000"/>
          <w:sz w:val="22"/>
          <w:szCs w:val="22"/>
        </w:rPr>
        <w:t xml:space="preserve">2.7.2 Index Overlay and Transition-Zone Thermal Profiling</w:t>
      </w:r>
    </w:p>
    <w:p>
      <w:pPr>
        <w:spacing w:after="160" w:line="276"/>
        <w:jc w:val="both"/>
      </w:pPr>
      <w:r>
        <w:rPr>
          <w:rFonts w:ascii="Calibri" w:cs="Calibri" w:eastAsia="Calibri" w:hAnsi="Calibri"/>
          <w:b w:val="false"/>
          <w:bCs w:val="false"/>
          <w:i w:val="false"/>
          <w:iCs w:val="false"/>
          <w:color w:val="000000"/>
          <w:sz w:val="21"/>
          <w:szCs w:val="21"/>
        </w:rPr>
        <w:t xml:space="preserve">For each decadal interval, LULC transition-zone rasters are overlaid with the co-registered ΔNDBI, ΔNDVI, ΔNDMI, ΔLST, and ΔUHI change rasters, producing the mean and standard deviation of each change index for every specific transition pathway. Comparing pixels that underwent Vegetation→Settlement conversion against pixels that remained stable Vegetation empirically quantifies the causal contribution of each LULC conversion type to the UHI causal chain.</w:t>
      </w:r>
    </w:p>
    <w:p>
      <w:pPr>
        <w:pStyle w:val="Heading3"/>
        <w:spacing w:after="100" w:before="200"/>
      </w:pPr>
      <w:r>
        <w:rPr>
          <w:rFonts w:ascii="Calibri" w:cs="Calibri" w:eastAsia="Calibri" w:hAnsi="Calibri"/>
          <w:b/>
          <w:bCs/>
          <w:i/>
          <w:iCs/>
          <w:color w:val="000000"/>
          <w:sz w:val="22"/>
          <w:szCs w:val="22"/>
        </w:rPr>
        <w:t xml:space="preserve">2.7.3 Inter-Index Pixel-Level Pearson Correlation Analysis</w:t>
      </w:r>
    </w:p>
    <w:p>
      <w:pPr>
        <w:spacing w:after="160" w:line="276"/>
        <w:jc w:val="both"/>
      </w:pPr>
      <w:r>
        <w:rPr>
          <w:rFonts w:ascii="Calibri" w:cs="Calibri" w:eastAsia="Calibri" w:hAnsi="Calibri"/>
          <w:b w:val="false"/>
          <w:bCs w:val="false"/>
          <w:i w:val="false"/>
          <w:iCs w:val="false"/>
          <w:color w:val="000000"/>
          <w:sz w:val="21"/>
          <w:szCs w:val="21"/>
        </w:rPr>
        <w:t xml:space="preserve">Pearson correlation coefficients between all pairwise combinations of NDBI, NDVI, NDMI, LST, and UHI are computed at pixel level for each epoch using GEE's reduceRegion() over the study domain, producing a correlation matrix per epoch. Statistical significance (p &lt; 0.001, two-tailed) is assessed using the t-distribution approximation for large samples, enabling documentation of the temporal strengthening or weakening of each inter-index relationship as urbanisation proceeds.</w:t>
      </w:r>
    </w:p>
    <w:p>
      <w:pPr>
        <w:pStyle w:val="Heading3"/>
        <w:spacing w:after="100" w:before="200"/>
      </w:pPr>
      <w:r>
        <w:rPr>
          <w:rFonts w:ascii="Calibri" w:cs="Calibri" w:eastAsia="Calibri" w:hAnsi="Calibri"/>
          <w:b/>
          <w:bCs/>
          <w:i/>
          <w:iCs/>
          <w:color w:val="000000"/>
          <w:sz w:val="22"/>
          <w:szCs w:val="22"/>
        </w:rPr>
        <w:t xml:space="preserve">2.7.4 Spatial Autocorrelation: Global and Local Moran's I (LISA)</w:t>
      </w:r>
    </w:p>
    <w:p>
      <w:pPr>
        <w:spacing w:after="160" w:line="276"/>
        <w:jc w:val="both"/>
      </w:pPr>
      <w:r>
        <w:rPr>
          <w:rFonts w:ascii="Calibri" w:cs="Calibri" w:eastAsia="Calibri" w:hAnsi="Calibri"/>
          <w:color w:val="000000"/>
          <w:sz w:val="21"/>
          <w:szCs w:val="21"/>
        </w:rPr>
        <w:t xml:space="preserve">Spatial autocorrelation of ward-level LST, UHI, NDBI, NDVI, and NDMI is quantified using Global Moran's I </w:t>
      </w:r>
      <w:r>
        <w:rPr>
          <w:rFonts w:ascii="Calibri" w:cs="Calibri" w:eastAsia="Calibri" w:hAnsi="Calibri"/>
          <w:b w:val="false"/>
          <w:bCs w:val="false"/>
          <w:i w:val="false"/>
          <w:iCs w:val="false"/>
          <w:color w:val="000000"/>
          <w:sz w:val="21"/>
          <w:szCs w:val="21"/>
        </w:rPr>
        <w:t xml:space="preserve">(Moran, 1950)</w:t>
      </w:r>
      <w:r>
        <w:rPr>
          <w:rFonts w:ascii="Calibri" w:cs="Calibri" w:eastAsia="Calibri" w:hAnsi="Calibri"/>
          <w:color w:val="000000"/>
          <w:sz w:val="21"/>
          <w:szCs w:val="21"/>
        </w:rPr>
        <w:t xml:space="preserve">, producing a single summary statistic (I ∈ [−1, +1]) indicating overall spatial clustering (I &gt; 0) or dispersion (I &lt; 0). Local Indicators of Spatial Autocorrelation (LISA) </w:t>
      </w:r>
      <w:r>
        <w:rPr>
          <w:rFonts w:ascii="Calibri" w:cs="Calibri" w:eastAsia="Calibri" w:hAnsi="Calibri"/>
          <w:b w:val="false"/>
          <w:bCs w:val="false"/>
          <w:i w:val="false"/>
          <w:iCs w:val="false"/>
          <w:color w:val="000000"/>
          <w:sz w:val="21"/>
          <w:szCs w:val="21"/>
        </w:rPr>
        <w:t xml:space="preserve">(Anselin, 1995)</w:t>
      </w:r>
      <w:r>
        <w:rPr>
          <w:rFonts w:ascii="Calibri" w:cs="Calibri" w:eastAsia="Calibri" w:hAnsi="Calibri"/>
          <w:color w:val="000000"/>
          <w:sz w:val="21"/>
          <w:szCs w:val="21"/>
        </w:rPr>
        <w:t xml:space="preserve"> decompose this global statistic into location-specific cluster types: High-High (thermal hotspot), Low-Low (thermal coldspot), High-Low, and Low-High. Ward-level zonal statistics are extracted in QGIS and Global/Local Moran's I are computed using PySAL, with spatial weights defined by Queen's contiguity and cluster significance assessed at p &lt; 0.05 using 999 conditional permutations.</w:t>
      </w:r>
    </w:p>
    <w:p>
      <w:pPr>
        <w:pStyle w:val="Heading3"/>
        <w:spacing w:after="100" w:before="200"/>
      </w:pPr>
      <w:r>
        <w:rPr>
          <w:rFonts w:ascii="Calibri" w:cs="Calibri" w:eastAsia="Calibri" w:hAnsi="Calibri"/>
          <w:b/>
          <w:bCs/>
          <w:i/>
          <w:iCs/>
          <w:color w:val="000000"/>
          <w:sz w:val="22"/>
          <w:szCs w:val="22"/>
        </w:rPr>
        <w:t xml:space="preserve">2.7.5 Environmental Justice Composite (EJC) Index Construction</w:t>
      </w:r>
    </w:p>
    <w:p>
      <w:pPr>
        <w:spacing w:after="160" w:line="276"/>
        <w:jc w:val="both"/>
      </w:pPr>
      <w:r>
        <w:rPr>
          <w:rFonts w:ascii="Calibri" w:cs="Calibri" w:eastAsia="Calibri" w:hAnsi="Calibri"/>
          <w:b w:val="false"/>
          <w:bCs w:val="false"/>
          <w:i w:val="false"/>
          <w:iCs w:val="false"/>
          <w:color w:val="000000"/>
          <w:sz w:val="21"/>
          <w:szCs w:val="21"/>
        </w:rPr>
        <w:t xml:space="preserve">The EJC Index is a ward-level composite indicator, normalised to [0,1], integrating six components of environmental and socioeconomic vulnerability:</w:t>
      </w:r>
    </w:p>
    <w:p>
      <w:pPr>
        <w:spacing w:after="80" w:before="120"/>
        <w:jc w:val="center"/>
      </w:pPr>
      <w:r>
        <w:rPr>
          <w:rFonts w:ascii="Calibri" w:cs="Calibri" w:eastAsia="Calibri" w:hAnsi="Calibri"/>
          <w:i/>
          <w:iCs/>
          <w:color w:val="000000"/>
          <w:sz w:val="19"/>
          <w:szCs w:val="19"/>
        </w:rPr>
        <w:t xml:space="preserve">Table 4. EJC Index components, data sources, normalisation methods, and assigned weights.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1800"/>
        <w:gridCol w:w="1838"/>
        <w:gridCol w:w="2600"/>
        <w:gridCol w:w="700"/>
        <w:gridCol w:w="500"/>
      </w:tblGrid>
      <w:tr>
        <w:tc>
          <w:tcPr>
            <w:tcW w:type="dxa" w:w="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Calibri" w:cs="Calibri" w:eastAsia="Calibri" w:hAnsi="Calibri"/>
                <w:b/>
                <w:bCs/>
                <w:i w:val="false"/>
                <w:iCs w:val="false"/>
                <w:color w:val="000000"/>
                <w:sz w:val="18"/>
                <w:szCs w:val="18"/>
              </w:rPr>
              <w:t xml:space="preserve">#</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Calibri" w:cs="Calibri" w:eastAsia="Calibri" w:hAnsi="Calibri"/>
                <w:b/>
                <w:bCs/>
                <w:i w:val="false"/>
                <w:iCs w:val="false"/>
                <w:color w:val="000000"/>
                <w:sz w:val="18"/>
                <w:szCs w:val="18"/>
              </w:rPr>
              <w:t xml:space="preserve">EJC Component</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Calibri" w:cs="Calibri" w:eastAsia="Calibri" w:hAnsi="Calibri"/>
                <w:b/>
                <w:bCs/>
                <w:i w:val="false"/>
                <w:iCs w:val="false"/>
                <w:color w:val="000000"/>
                <w:sz w:val="18"/>
                <w:szCs w:val="18"/>
              </w:rPr>
              <w:t xml:space="preserve">Data Source</w:t>
            </w:r>
          </w:p>
        </w:tc>
        <w:tc>
          <w:tcPr>
            <w:tcW w:type="dxa" w:w="18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Calibri" w:cs="Calibri" w:eastAsia="Calibri" w:hAnsi="Calibri"/>
                <w:b/>
                <w:bCs/>
                <w:i w:val="false"/>
                <w:iCs w:val="false"/>
                <w:color w:val="000000"/>
                <w:sz w:val="18"/>
                <w:szCs w:val="18"/>
              </w:rPr>
              <w:t xml:space="preserve">Normalisation</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Calibri" w:cs="Calibri" w:eastAsia="Calibri" w:hAnsi="Calibri"/>
                <w:b/>
                <w:bCs/>
                <w:i w:val="false"/>
                <w:iCs w:val="false"/>
                <w:color w:val="000000"/>
                <w:sz w:val="18"/>
                <w:szCs w:val="18"/>
              </w:rPr>
              <w:t xml:space="preserve">Meaning</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Calibri" w:cs="Calibri" w:eastAsia="Calibri" w:hAnsi="Calibri"/>
                <w:b/>
                <w:bCs/>
                <w:i w:val="false"/>
                <w:iCs w:val="false"/>
                <w:color w:val="000000"/>
                <w:sz w:val="18"/>
                <w:szCs w:val="18"/>
              </w:rPr>
              <w:t xml:space="preserve">Weight</w:t>
            </w:r>
          </w:p>
        </w:tc>
        <w:tc>
          <w:tcPr>
            <w:tcW w:type="dxa" w:w="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Calibri" w:cs="Calibri" w:eastAsia="Calibri" w:hAnsi="Calibri"/>
                <w:b/>
                <w:bCs/>
                <w:i w:val="false"/>
                <w:iCs w:val="false"/>
                <w:color w:val="000000"/>
                <w:sz w:val="18"/>
                <w:szCs w:val="18"/>
              </w:rPr>
              <w:t xml:space="preserve">Dir.</w:t>
            </w:r>
          </w:p>
        </w:tc>
      </w:tr>
      <w:tr>
        <w:tc>
          <w:tcPr>
            <w:tcW w:type="dxa" w:w="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Calibri" w:cs="Calibri" w:eastAsia="Calibri" w:hAnsi="Calibri"/>
                <w:b w:val="false"/>
                <w:bCs w:val="false"/>
                <w:i w:val="false"/>
                <w:iCs w:val="false"/>
                <w:color w:val="000000"/>
                <w:sz w:val="18"/>
                <w:szCs w:val="18"/>
              </w:rPr>
              <w:t xml:space="preserve">1</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18"/>
                <w:szCs w:val="18"/>
              </w:rPr>
              <w:t xml:space="preserve">LST Percentile Rank</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18"/>
                <w:szCs w:val="18"/>
              </w:rPr>
              <w:t xml:space="preserve">M4 LST → ward zonal stats</w:t>
            </w:r>
          </w:p>
        </w:tc>
        <w:tc>
          <w:tcPr>
            <w:tcW w:type="dxa" w:w="18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18"/>
                <w:szCs w:val="18"/>
              </w:rPr>
              <w:t xml:space="preserve">Ward rank / total wards</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18"/>
                <w:szCs w:val="18"/>
              </w:rPr>
              <w:t xml:space="preserve">Direct thermal exposure severity</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Calibri" w:cs="Calibri" w:eastAsia="Calibri" w:hAnsi="Calibri"/>
                <w:b w:val="false"/>
                <w:bCs w:val="false"/>
                <w:i w:val="false"/>
                <w:iCs w:val="false"/>
                <w:color w:val="000000"/>
                <w:sz w:val="18"/>
                <w:szCs w:val="18"/>
              </w:rPr>
              <w:t xml:space="preserve">0.20</w:t>
            </w:r>
          </w:p>
        </w:tc>
        <w:tc>
          <w:tcPr>
            <w:tcW w:type="dxa" w:w="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Calibri" w:cs="Calibri" w:eastAsia="Calibri" w:hAnsi="Calibri"/>
                <w:b w:val="false"/>
                <w:bCs w:val="false"/>
                <w:i w:val="false"/>
                <w:iCs w:val="false"/>
                <w:color w:val="000000"/>
                <w:sz w:val="18"/>
                <w:szCs w:val="18"/>
              </w:rPr>
              <w:t xml:space="preserve">+</w:t>
            </w:r>
          </w:p>
        </w:tc>
      </w:tr>
      <w:tr>
        <w:tc>
          <w:tcPr>
            <w:tcW w:type="dxa" w:w="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Calibri" w:cs="Calibri" w:eastAsia="Calibri" w:hAnsi="Calibri"/>
                <w:b w:val="false"/>
                <w:bCs w:val="false"/>
                <w:i w:val="false"/>
                <w:iCs w:val="false"/>
                <w:color w:val="000000"/>
                <w:sz w:val="18"/>
                <w:szCs w:val="18"/>
              </w:rPr>
              <w:t xml:space="preserve">2</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18"/>
                <w:szCs w:val="18"/>
              </w:rPr>
              <w:t xml:space="preserve">NDBI Severity</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18"/>
                <w:szCs w:val="18"/>
              </w:rPr>
              <w:t xml:space="preserve">M4 NDBI → ward zonal mean</w:t>
            </w:r>
          </w:p>
        </w:tc>
        <w:tc>
          <w:tcPr>
            <w:tcW w:type="dxa" w:w="18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18"/>
                <w:szCs w:val="18"/>
              </w:rPr>
              <w:t xml:space="preserve">Min–max [0,1]</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18"/>
                <w:szCs w:val="18"/>
              </w:rPr>
              <w:t xml:space="preserve">Built-up intensity driving thermal emission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Calibri" w:cs="Calibri" w:eastAsia="Calibri" w:hAnsi="Calibri"/>
                <w:b w:val="false"/>
                <w:bCs w:val="false"/>
                <w:i w:val="false"/>
                <w:iCs w:val="false"/>
                <w:color w:val="000000"/>
                <w:sz w:val="18"/>
                <w:szCs w:val="18"/>
              </w:rPr>
              <w:t xml:space="preserve">0.20</w:t>
            </w:r>
          </w:p>
        </w:tc>
        <w:tc>
          <w:tcPr>
            <w:tcW w:type="dxa" w:w="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Calibri" w:cs="Calibri" w:eastAsia="Calibri" w:hAnsi="Calibri"/>
                <w:b w:val="false"/>
                <w:bCs w:val="false"/>
                <w:i w:val="false"/>
                <w:iCs w:val="false"/>
                <w:color w:val="000000"/>
                <w:sz w:val="18"/>
                <w:szCs w:val="18"/>
              </w:rPr>
              <w:t xml:space="preserve">+</w:t>
            </w:r>
          </w:p>
        </w:tc>
      </w:tr>
      <w:tr>
        <w:tc>
          <w:tcPr>
            <w:tcW w:type="dxa" w:w="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Calibri" w:cs="Calibri" w:eastAsia="Calibri" w:hAnsi="Calibri"/>
                <w:b w:val="false"/>
                <w:bCs w:val="false"/>
                <w:i w:val="false"/>
                <w:iCs w:val="false"/>
                <w:color w:val="000000"/>
                <w:sz w:val="18"/>
                <w:szCs w:val="18"/>
              </w:rPr>
              <w:t xml:space="preserve">3</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18"/>
                <w:szCs w:val="18"/>
              </w:rPr>
              <w:t xml:space="preserve">Vegetation Deficit (1−NDVI_norm)</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18"/>
                <w:szCs w:val="18"/>
              </w:rPr>
              <w:t xml:space="preserve">M4 NDVI → ward zonal mean</w:t>
            </w:r>
          </w:p>
        </w:tc>
        <w:tc>
          <w:tcPr>
            <w:tcW w:type="dxa" w:w="18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18"/>
                <w:szCs w:val="18"/>
              </w:rPr>
              <w:t xml:space="preserve">1−min–max [0,1]</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18"/>
                <w:szCs w:val="18"/>
              </w:rPr>
              <w:t xml:space="preserve">Green space deprivation, cooling loss</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Calibri" w:cs="Calibri" w:eastAsia="Calibri" w:hAnsi="Calibri"/>
                <w:b w:val="false"/>
                <w:bCs w:val="false"/>
                <w:i w:val="false"/>
                <w:iCs w:val="false"/>
                <w:color w:val="000000"/>
                <w:sz w:val="18"/>
                <w:szCs w:val="18"/>
              </w:rPr>
              <w:t xml:space="preserve">0.15</w:t>
            </w:r>
          </w:p>
        </w:tc>
        <w:tc>
          <w:tcPr>
            <w:tcW w:type="dxa" w:w="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Calibri" w:cs="Calibri" w:eastAsia="Calibri" w:hAnsi="Calibri"/>
                <w:b w:val="false"/>
                <w:bCs w:val="false"/>
                <w:i w:val="false"/>
                <w:iCs w:val="false"/>
                <w:color w:val="000000"/>
                <w:sz w:val="18"/>
                <w:szCs w:val="18"/>
              </w:rPr>
              <w:t xml:space="preserve">+</w:t>
            </w:r>
          </w:p>
        </w:tc>
      </w:tr>
      <w:tr>
        <w:tc>
          <w:tcPr>
            <w:tcW w:type="dxa" w:w="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Calibri" w:cs="Calibri" w:eastAsia="Calibri" w:hAnsi="Calibri"/>
                <w:b w:val="false"/>
                <w:bCs w:val="false"/>
                <w:i w:val="false"/>
                <w:iCs w:val="false"/>
                <w:color w:val="000000"/>
                <w:sz w:val="18"/>
                <w:szCs w:val="18"/>
              </w:rPr>
              <w:t xml:space="preserve">4</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18"/>
                <w:szCs w:val="18"/>
              </w:rPr>
              <w:t xml:space="preserve">Moisture Deficit (1−NDMI_norm)</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18"/>
                <w:szCs w:val="18"/>
              </w:rPr>
              <w:t xml:space="preserve">M4 NDMI → ward zonal mean</w:t>
            </w:r>
          </w:p>
        </w:tc>
        <w:tc>
          <w:tcPr>
            <w:tcW w:type="dxa" w:w="18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18"/>
                <w:szCs w:val="18"/>
              </w:rPr>
              <w:t xml:space="preserve">1−min–max [0,1]</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18"/>
                <w:szCs w:val="18"/>
              </w:rPr>
              <w:t xml:space="preserve">Evaporative cooling suppression</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Calibri" w:cs="Calibri" w:eastAsia="Calibri" w:hAnsi="Calibri"/>
                <w:b w:val="false"/>
                <w:bCs w:val="false"/>
                <w:i w:val="false"/>
                <w:iCs w:val="false"/>
                <w:color w:val="000000"/>
                <w:sz w:val="18"/>
                <w:szCs w:val="18"/>
              </w:rPr>
              <w:t xml:space="preserve">0.15</w:t>
            </w:r>
          </w:p>
        </w:tc>
        <w:tc>
          <w:tcPr>
            <w:tcW w:type="dxa" w:w="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Calibri" w:cs="Calibri" w:eastAsia="Calibri" w:hAnsi="Calibri"/>
                <w:b w:val="false"/>
                <w:bCs w:val="false"/>
                <w:i w:val="false"/>
                <w:iCs w:val="false"/>
                <w:color w:val="000000"/>
                <w:sz w:val="18"/>
                <w:szCs w:val="18"/>
              </w:rPr>
              <w:t xml:space="preserve">+</w:t>
            </w:r>
          </w:p>
        </w:tc>
      </w:tr>
      <w:tr>
        <w:tc>
          <w:tcPr>
            <w:tcW w:type="dxa" w:w="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Calibri" w:cs="Calibri" w:eastAsia="Calibri" w:hAnsi="Calibri"/>
                <w:b w:val="false"/>
                <w:bCs w:val="false"/>
                <w:i w:val="false"/>
                <w:iCs w:val="false"/>
                <w:color w:val="000000"/>
                <w:sz w:val="18"/>
                <w:szCs w:val="18"/>
              </w:rPr>
              <w:t xml:space="preserve">5</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18"/>
                <w:szCs w:val="18"/>
              </w:rPr>
              <w:t xml:space="preserve">Poverty Concentration</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18"/>
                <w:szCs w:val="18"/>
              </w:rPr>
              <w:t xml:space="preserve">BBS Census % below poverty line</w:t>
            </w:r>
          </w:p>
        </w:tc>
        <w:tc>
          <w:tcPr>
            <w:tcW w:type="dxa" w:w="18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18"/>
                <w:szCs w:val="18"/>
              </w:rPr>
              <w:t xml:space="preserve">Min–max [0,1]</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18"/>
                <w:szCs w:val="18"/>
              </w:rPr>
              <w:t xml:space="preserve">Socioeconomic adaptive capacity deficit</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Calibri" w:cs="Calibri" w:eastAsia="Calibri" w:hAnsi="Calibri"/>
                <w:b w:val="false"/>
                <w:bCs w:val="false"/>
                <w:i w:val="false"/>
                <w:iCs w:val="false"/>
                <w:color w:val="000000"/>
                <w:sz w:val="18"/>
                <w:szCs w:val="18"/>
              </w:rPr>
              <w:t xml:space="preserve">0.15</w:t>
            </w:r>
          </w:p>
        </w:tc>
        <w:tc>
          <w:tcPr>
            <w:tcW w:type="dxa" w:w="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Calibri" w:cs="Calibri" w:eastAsia="Calibri" w:hAnsi="Calibri"/>
                <w:b w:val="false"/>
                <w:bCs w:val="false"/>
                <w:i w:val="false"/>
                <w:iCs w:val="false"/>
                <w:color w:val="000000"/>
                <w:sz w:val="18"/>
                <w:szCs w:val="18"/>
              </w:rPr>
              <w:t xml:space="preserve">+</w:t>
            </w:r>
          </w:p>
        </w:tc>
      </w:tr>
      <w:tr>
        <w:tc>
          <w:tcPr>
            <w:tcW w:type="dxa" w:w="4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Calibri" w:cs="Calibri" w:eastAsia="Calibri" w:hAnsi="Calibri"/>
                <w:b w:val="false"/>
                <w:bCs w:val="false"/>
                <w:i w:val="false"/>
                <w:iCs w:val="false"/>
                <w:color w:val="000000"/>
                <w:sz w:val="18"/>
                <w:szCs w:val="18"/>
              </w:rPr>
              <w:t xml:space="preserve">6</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18"/>
                <w:szCs w:val="18"/>
              </w:rPr>
              <w:t xml:space="preserve">Green Space Access Deficit</w:t>
            </w:r>
          </w:p>
        </w:tc>
        <w:tc>
          <w:tcPr>
            <w:tcW w:type="dxa" w:w="18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18"/>
                <w:szCs w:val="18"/>
              </w:rPr>
              <w:t xml:space="preserve">Per-capita Vegetation class area</w:t>
            </w:r>
          </w:p>
        </w:tc>
        <w:tc>
          <w:tcPr>
            <w:tcW w:type="dxa" w:w="1838"/>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18"/>
                <w:szCs w:val="18"/>
              </w:rPr>
              <w:t xml:space="preserve">1/GreenAccess, min–max</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Calibri" w:cs="Calibri" w:eastAsia="Calibri" w:hAnsi="Calibri"/>
                <w:b w:val="false"/>
                <w:bCs w:val="false"/>
                <w:i w:val="false"/>
                <w:iCs w:val="false"/>
                <w:color w:val="000000"/>
                <w:sz w:val="18"/>
                <w:szCs w:val="18"/>
              </w:rPr>
              <w:t xml:space="preserve">Physical access to cooling green space</w:t>
            </w:r>
          </w:p>
        </w:tc>
        <w:tc>
          <w:tcPr>
            <w:tcW w:type="dxa" w:w="7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Calibri" w:cs="Calibri" w:eastAsia="Calibri" w:hAnsi="Calibri"/>
                <w:b w:val="false"/>
                <w:bCs w:val="false"/>
                <w:i w:val="false"/>
                <w:iCs w:val="false"/>
                <w:color w:val="000000"/>
                <w:sz w:val="18"/>
                <w:szCs w:val="18"/>
              </w:rPr>
              <w:t xml:space="preserve">0.15</w:t>
            </w:r>
          </w:p>
        </w:tc>
        <w:tc>
          <w:tcPr>
            <w:tcW w:type="dxa" w:w="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Calibri" w:cs="Calibri" w:eastAsia="Calibri" w:hAnsi="Calibri"/>
                <w:b w:val="false"/>
                <w:bCs w:val="false"/>
                <w:i w:val="false"/>
                <w:iCs w:val="false"/>
                <w:color w:val="000000"/>
                <w:sz w:val="18"/>
                <w:szCs w:val="18"/>
              </w:rPr>
              <w:t xml:space="preserve">+</w:t>
            </w:r>
          </w:p>
        </w:tc>
      </w:tr>
    </w:tbl>
    <w:p>
      <w:pPr>
        <w:spacing w:after="160" w:line="276"/>
        <w:jc w:val="both"/>
      </w:pPr>
      <w:r>
        <w:rPr>
          <w:rFonts w:ascii="Calibri" w:cs="Calibri" w:eastAsia="Calibri" w:hAnsi="Calibri"/>
          <w:b w:val="false"/>
          <w:bCs w:val="false"/>
          <w:i w:val="false"/>
          <w:iCs w:val="false"/>
          <w:color w:val="000000"/>
          <w:sz w:val="21"/>
          <w:szCs w:val="21"/>
        </w:rPr>
        <w:t xml:space="preserve"/>
      </w:r>
    </w:p>
    <w:p>
      <w:pPr>
        <w:spacing w:after="160" w:line="276"/>
        <w:jc w:val="center"/>
      </w:pPr>
      <w:r>
        <w:rPr>
          <w:rFonts w:ascii="Calibri" w:cs="Calibri" w:eastAsia="Calibri" w:hAnsi="Calibri"/>
          <w:color w:val="000000"/>
          <w:sz w:val="21"/>
          <w:szCs w:val="21"/>
        </w:rPr>
        <w:t xml:space="preserve">EJC</w:t>
      </w:r>
      <w:r>
        <w:rPr>
          <w:rFonts w:ascii="Calibri" w:cs="Calibri" w:eastAsia="Calibri" w:hAnsi="Calibri"/>
          <w:b w:val="false"/>
          <w:bCs w:val="false"/>
          <w:i w:val="false"/>
          <w:iCs w:val="false"/>
          <w:color w:val="000000"/>
          <w:sz w:val="21"/>
          <w:szCs w:val="21"/>
          <w:vertAlign w:val="subscript"/>
        </w:rPr>
        <w:t xml:space="preserve">ward</w:t>
      </w:r>
      <w:r>
        <w:rPr>
          <w:rFonts w:ascii="Calibri" w:cs="Calibri" w:eastAsia="Calibri" w:hAnsi="Calibri"/>
          <w:color w:val="000000"/>
          <w:sz w:val="21"/>
          <w:szCs w:val="21"/>
        </w:rPr>
        <w:t xml:space="preserve"> = 0.20×C₁ + 0.20×C₂ + 0.15×C₃ + 0.15×C₄ + 0.15×C₅ + 0.15×C₆</w:t>
      </w:r>
    </w:p>
    <w:p>
      <w:pPr>
        <w:spacing w:after="160" w:line="276"/>
        <w:jc w:val="both"/>
      </w:pPr>
      <w:r>
        <w:rPr>
          <w:rFonts w:ascii="Calibri" w:cs="Calibri" w:eastAsia="Calibri" w:hAnsi="Calibri"/>
          <w:b w:val="false"/>
          <w:bCs w:val="false"/>
          <w:i w:val="false"/>
          <w:iCs w:val="false"/>
          <w:color w:val="000000"/>
          <w:sz w:val="21"/>
          <w:szCs w:val="21"/>
        </w:rPr>
        <w:t xml:space="preserve">Classification thresholds: EJC &gt; 0.75 = High Environmental Justice Deficit (priority intervention zone); 0.50–0.75 = Moderate Deficit; 0.25–0.50 = Low Deficit; &lt; 0.25 = No Significant Deficit.</w:t>
      </w:r>
    </w:p>
    <w:p>
      <w:pPr>
        <w:pStyle w:val="Heading2"/>
        <w:spacing w:after="120" w:before="260"/>
      </w:pPr>
      <w:r>
        <w:rPr>
          <w:rFonts w:ascii="Calibri" w:cs="Calibri" w:eastAsia="Calibri" w:hAnsi="Calibri"/>
          <w:b/>
          <w:bCs/>
          <w:color w:val="000000"/>
          <w:sz w:val="24"/>
          <w:szCs w:val="24"/>
        </w:rPr>
        <w:t xml:space="preserve">2.8 Module M6: Machine Learning Predictive Modelling</w:t>
      </w:r>
    </w:p>
    <w:p>
      <w:pPr>
        <w:spacing w:after="160" w:line="276"/>
        <w:jc w:val="both"/>
      </w:pPr>
      <w:r>
        <w:rPr>
          <w:rFonts w:ascii="Calibri" w:cs="Calibri" w:eastAsia="Calibri" w:hAnsi="Calibri"/>
          <w:b w:val="false"/>
          <w:bCs w:val="false"/>
          <w:i w:val="false"/>
          <w:iCs w:val="false"/>
          <w:color w:val="000000"/>
          <w:sz w:val="21"/>
          <w:szCs w:val="21"/>
        </w:rPr>
        <w:t xml:space="preserve">Three ML algorithms (Random Forest, XGBoost, and LightGBM) are each trained on the same feature matrix and target variable, evaluated under the same spatial cross-validation scheme, to enable direct head-to-head comparison; the best performer is selected for SHAP analysis and future scenario projection.</w:t>
      </w:r>
    </w:p>
    <w:p>
      <w:pPr>
        <w:pStyle w:val="Heading3"/>
        <w:spacing w:after="100" w:before="200"/>
      </w:pPr>
      <w:r>
        <w:rPr>
          <w:rFonts w:ascii="Calibri" w:cs="Calibri" w:eastAsia="Calibri" w:hAnsi="Calibri"/>
          <w:b/>
          <w:bCs/>
          <w:i/>
          <w:iCs/>
          <w:color w:val="000000"/>
          <w:sz w:val="22"/>
          <w:szCs w:val="22"/>
        </w:rPr>
        <w:t xml:space="preserve">2.8.1 Prediction Target Variables</w:t>
      </w:r>
    </w:p>
    <w:p>
      <w:pPr>
        <w:pStyle w:val="ListParagraph"/>
        <w:numPr>
          <w:ilvl w:val="0"/>
          <w:numId w:val="2"/>
        </w:numPr>
        <w:spacing w:after="100" w:line="276"/>
      </w:pPr>
      <w:r>
        <w:rPr>
          <w:rFonts w:ascii="Calibri" w:cs="Calibri" w:eastAsia="Calibri" w:hAnsi="Calibri"/>
          <w:color w:val="000000"/>
          <w:sz w:val="21"/>
          <w:szCs w:val="21"/>
        </w:rPr>
        <w:t xml:space="preserve">Target 1 — LST (°C): continuous variable; pixel-level LST (aggregated to a 500 m grid cell).</w:t>
      </w:r>
    </w:p>
    <w:p>
      <w:pPr>
        <w:pStyle w:val="ListParagraph"/>
        <w:numPr>
          <w:ilvl w:val="0"/>
          <w:numId w:val="2"/>
        </w:numPr>
        <w:spacing w:after="100" w:line="276"/>
      </w:pPr>
      <w:r>
        <w:rPr>
          <w:rFonts w:ascii="Calibri" w:cs="Calibri" w:eastAsia="Calibri" w:hAnsi="Calibri"/>
          <w:color w:val="000000"/>
          <w:sz w:val="21"/>
          <w:szCs w:val="21"/>
        </w:rPr>
        <w:t xml:space="preserve">Target 2 — UHI Vulnerability Index (binary, 0/1): grid cells where normalised UHI Intensity exceeds +2σ above the peri-urban baseline are labelled UHI Hotspot (1); all others Non-Hotspot (0).</w:t>
      </w:r>
    </w:p>
    <w:p>
      <w:pPr>
        <w:pStyle w:val="Heading3"/>
        <w:spacing w:after="100" w:before="200"/>
      </w:pPr>
      <w:r>
        <w:rPr>
          <w:rFonts w:ascii="Calibri" w:cs="Calibri" w:eastAsia="Calibri" w:hAnsi="Calibri"/>
          <w:b/>
          <w:bCs/>
          <w:i/>
          <w:iCs/>
          <w:color w:val="000000"/>
          <w:sz w:val="22"/>
          <w:szCs w:val="22"/>
        </w:rPr>
        <w:t xml:space="preserve">2.8.2 Feature Matrix: 25 Predictor Variables</w:t>
      </w:r>
    </w:p>
    <w:p>
      <w:pPr>
        <w:spacing w:after="160" w:line="276"/>
        <w:jc w:val="both"/>
      </w:pPr>
      <w:r>
        <w:rPr>
          <w:rFonts w:ascii="Calibri" w:cs="Calibri" w:eastAsia="Calibri" w:hAnsi="Calibri"/>
          <w:b w:val="false"/>
          <w:bCs w:val="false"/>
          <w:i w:val="false"/>
          <w:iCs w:val="false"/>
          <w:color w:val="000000"/>
          <w:sz w:val="21"/>
          <w:szCs w:val="21"/>
        </w:rPr>
        <w:t xml:space="preserve">The feature matrix is assembled at the 500 m grid-cell level from Module M1–M4 outputs and includes: mean and within-cell variance of NDBI, NDVI, and NDMI; LULC class-area fractions (Settlement, Vegetation, Water body, Barren Land, Agriculture); elevation and slope (SRTM DEM); distance to nearest water body and vegetation patch; population density (WorldPop); building footprint density; road density (OpenStreetMap); one-interval-prior ΔNDBI, ΔNDVI, ΔNDMI, and ΔLST; northness index; green-space access per capita; and the Poverty Index (BBS/BRAC). Full variable-by-variable rationale is retained in the accompanying feature-matrix table (Table 5, main manuscript).</w:t>
      </w:r>
    </w:p>
    <w:p>
      <w:pPr>
        <w:pStyle w:val="Heading3"/>
        <w:spacing w:after="100" w:before="200"/>
      </w:pPr>
      <w:r>
        <w:rPr>
          <w:rFonts w:ascii="Calibri" w:cs="Calibri" w:eastAsia="Calibri" w:hAnsi="Calibri"/>
          <w:b/>
          <w:bCs/>
          <w:i/>
          <w:iCs/>
          <w:color w:val="000000"/>
          <w:sz w:val="22"/>
          <w:szCs w:val="22"/>
        </w:rPr>
        <w:t xml:space="preserve">2.8.3 The Three ML Algorithms</w:t>
      </w:r>
    </w:p>
    <w:p>
      <w:pPr>
        <w:spacing w:after="160" w:line="276"/>
        <w:jc w:val="both"/>
      </w:pPr>
      <w:r>
        <w:rPr>
          <w:rFonts w:ascii="Calibri" w:cs="Calibri" w:eastAsia="Calibri" w:hAnsi="Calibri"/>
          <w:color w:val="000000"/>
          <w:sz w:val="21"/>
          <w:szCs w:val="21"/>
        </w:rPr>
        <w:t xml:space="preserve">RANDOM FOREST (RF) </w:t>
      </w:r>
      <w:r>
        <w:rPr>
          <w:rFonts w:ascii="Calibri" w:cs="Calibri" w:eastAsia="Calibri" w:hAnsi="Calibri"/>
          <w:b w:val="false"/>
          <w:bCs w:val="false"/>
          <w:i w:val="false"/>
          <w:iCs w:val="false"/>
          <w:color w:val="000000"/>
          <w:sz w:val="21"/>
          <w:szCs w:val="21"/>
        </w:rPr>
        <w:t xml:space="preserve">(Breiman, 2001)</w:t>
      </w:r>
      <w:r>
        <w:rPr>
          <w:rFonts w:ascii="Calibri" w:cs="Calibri" w:eastAsia="Calibri" w:hAnsi="Calibri"/>
          <w:color w:val="000000"/>
          <w:sz w:val="21"/>
          <w:szCs w:val="21"/>
        </w:rPr>
        <w:t xml:space="preserve">: an ensemble of N independent decision trees, each trained on a bootstrapped subsample with a random feature subset considered at each split; predictions are averaged (regression) or majority-voted (classification). Included as the baseline ensemble model for its robustness to overfitting and native resistance to multicollinearity between correlated features (e.g., NDBI and NDVI). Hyperparameters (tuned by Bayesian optimisation): n_estimators ∈ [100,500]; max_depth ∈ [5,30]; min_samples_leaf ∈ [1,10]; max_features ∈ ['sqrt','log2',0.5]. Software: scikit-learn, Python 3.10.</w:t>
      </w:r>
    </w:p>
    <w:p>
      <w:pPr>
        <w:spacing w:after="160" w:line="276"/>
        <w:jc w:val="both"/>
      </w:pPr>
      <w:r>
        <w:rPr>
          <w:rFonts w:ascii="Calibri" w:cs="Calibri" w:eastAsia="Calibri" w:hAnsi="Calibri"/>
          <w:color w:val="000000"/>
          <w:sz w:val="21"/>
          <w:szCs w:val="21"/>
        </w:rPr>
        <w:t xml:space="preserve">XGBOOST (eXtreme Gradient Boosting) </w:t>
      </w:r>
      <w:r>
        <w:rPr>
          <w:rFonts w:ascii="Calibri" w:cs="Calibri" w:eastAsia="Calibri" w:hAnsi="Calibri"/>
          <w:b w:val="false"/>
          <w:bCs w:val="false"/>
          <w:i w:val="false"/>
          <w:iCs w:val="false"/>
          <w:color w:val="000000"/>
          <w:sz w:val="21"/>
          <w:szCs w:val="21"/>
        </w:rPr>
        <w:t xml:space="preserve">(Chen &amp; Guestrin, 2016)</w:t>
      </w:r>
      <w:r>
        <w:rPr>
          <w:rFonts w:ascii="Calibri" w:cs="Calibri" w:eastAsia="Calibri" w:hAnsi="Calibri"/>
          <w:color w:val="000000"/>
          <w:sz w:val="21"/>
          <w:szCs w:val="21"/>
        </w:rPr>
        <w:t xml:space="preserve">: a sequential ensemble in which each new tree is trained to predict the residual error of all previous trees, with L1/L2 regularisation and information-gain-based pruning. Included for its typically superior performance on structured tabular geospatial data and its ability to learn non-linear threshold effects in the NDBI–LST relationship. Hyperparameters: n_estimators ∈ [100,1000]; max_depth ∈ [3,10]; learning_rate ∈ [0.01,0.3]; subsample ∈ [0.6,1.0]; colsample_bytree ∈ [0.6,1.0]; reg_alpha ∈ [0,1]; reg_lambda ∈ [0,5]. Software: xgboost v1.7+, Python 3.10.</w:t>
      </w:r>
    </w:p>
    <w:p>
      <w:pPr>
        <w:spacing w:after="160" w:line="276"/>
        <w:jc w:val="both"/>
      </w:pPr>
      <w:r>
        <w:rPr>
          <w:rFonts w:ascii="Calibri" w:cs="Calibri" w:eastAsia="Calibri" w:hAnsi="Calibri"/>
          <w:color w:val="000000"/>
          <w:sz w:val="21"/>
          <w:szCs w:val="21"/>
        </w:rPr>
        <w:t xml:space="preserve">LIGHTGBM </w:t>
      </w:r>
      <w:r>
        <w:rPr>
          <w:rFonts w:ascii="Calibri" w:cs="Calibri" w:eastAsia="Calibri" w:hAnsi="Calibri"/>
          <w:b w:val="false"/>
          <w:bCs w:val="false"/>
          <w:i w:val="false"/>
          <w:iCs w:val="false"/>
          <w:color w:val="000000"/>
          <w:sz w:val="21"/>
          <w:szCs w:val="21"/>
        </w:rPr>
        <w:t xml:space="preserve">(Ke et al., 2017)</w:t>
      </w:r>
      <w:r>
        <w:rPr>
          <w:rFonts w:ascii="Calibri" w:cs="Calibri" w:eastAsia="Calibri" w:hAnsi="Calibri"/>
          <w:color w:val="000000"/>
          <w:sz w:val="21"/>
          <w:szCs w:val="21"/>
        </w:rPr>
        <w:t xml:space="preserve">: a gradient boosting framework that grows trees leaf-wise rather than level-wise, using histogram-based feature binning, Gradient-based One-Side Sampling (GOSS), and Exclusive Feature Bundling (EFB) to reduce memory use and training time. Included as the most computationally efficient of the three algorithms, typically achieving the highest accuracy on the 25-variable feature stack used here. Hyperparameters: n_estimators ∈ [100,2000]; max_depth ∈ [−1,15]; learning_rate ∈ [0.01,0.3]; num_leaves ∈ [20,200]; min_child_samples ∈ [5,100]; subsample ∈ [0.6,1.0]; colsample_bytree ∈ [0.6,1.0]; reg_alpha ∈ [0,1]; reg_lambda ∈ [0,5]. Software: lightgbm v3.3+, Python 3.10.</w:t>
      </w:r>
    </w:p>
    <w:p>
      <w:pPr>
        <w:pStyle w:val="Heading3"/>
        <w:spacing w:after="100" w:before="200"/>
      </w:pPr>
      <w:r>
        <w:rPr>
          <w:rFonts w:ascii="Calibri" w:cs="Calibri" w:eastAsia="Calibri" w:hAnsi="Calibri"/>
          <w:b/>
          <w:bCs/>
          <w:i/>
          <w:iCs/>
          <w:color w:val="000000"/>
          <w:sz w:val="22"/>
          <w:szCs w:val="22"/>
        </w:rPr>
        <w:t xml:space="preserve">2.8.4 Hyperparameter Tuning</w:t>
      </w:r>
    </w:p>
    <w:p>
      <w:pPr>
        <w:spacing w:after="160" w:line="276"/>
        <w:jc w:val="both"/>
      </w:pPr>
      <w:r>
        <w:rPr>
          <w:rFonts w:ascii="Calibri" w:cs="Calibri" w:eastAsia="Calibri" w:hAnsi="Calibri"/>
          <w:color w:val="000000"/>
          <w:sz w:val="21"/>
          <w:szCs w:val="21"/>
        </w:rPr>
        <w:t xml:space="preserve">All three models are tuned using Bayesian optimisation via the Optuna library </w:t>
      </w:r>
      <w:r>
        <w:rPr>
          <w:rFonts w:ascii="Calibri" w:cs="Calibri" w:eastAsia="Calibri" w:hAnsi="Calibri"/>
          <w:b w:val="false"/>
          <w:bCs w:val="false"/>
          <w:i w:val="false"/>
          <w:iCs w:val="false"/>
          <w:color w:val="000000"/>
          <w:sz w:val="21"/>
          <w:szCs w:val="21"/>
        </w:rPr>
        <w:t xml:space="preserve">(Akiba et al., 2019)</w:t>
      </w:r>
      <w:r>
        <w:rPr>
          <w:rFonts w:ascii="Calibri" w:cs="Calibri" w:eastAsia="Calibri" w:hAnsi="Calibri"/>
          <w:color w:val="000000"/>
          <w:sz w:val="21"/>
          <w:szCs w:val="21"/>
        </w:rPr>
        <w:t xml:space="preserve">, which builds a probabilistic model of the objective function (spatially-blocked cross-validation RMSE) as a function of hyperparameter values, using prior evaluations to propose the next candidate combination. 75 trials are run per algorithm, sufficient for convergence as assessed from the optimisation history plot; the hyperparameter set minimising mean RMSE across all folds is used for final training.</w:t>
      </w:r>
    </w:p>
    <w:p>
      <w:pPr>
        <w:pStyle w:val="Heading3"/>
        <w:spacing w:after="100" w:before="200"/>
      </w:pPr>
      <w:r>
        <w:rPr>
          <w:rFonts w:ascii="Calibri" w:cs="Calibri" w:eastAsia="Calibri" w:hAnsi="Calibri"/>
          <w:b/>
          <w:bCs/>
          <w:i/>
          <w:iCs/>
          <w:color w:val="000000"/>
          <w:sz w:val="22"/>
          <w:szCs w:val="22"/>
        </w:rPr>
        <w:t xml:space="preserve">2.8.5 Spatially-Blocked 5-Fold Cross-Validation</w:t>
      </w:r>
    </w:p>
    <w:p>
      <w:pPr>
        <w:spacing w:after="160" w:line="276"/>
        <w:jc w:val="both"/>
      </w:pPr>
      <w:r>
        <w:rPr>
          <w:rFonts w:ascii="Calibri" w:cs="Calibri" w:eastAsia="Calibri" w:hAnsi="Calibri"/>
          <w:color w:val="000000"/>
          <w:sz w:val="21"/>
          <w:szCs w:val="21"/>
        </w:rPr>
        <w:t xml:space="preserve">Non-spatial random data splits allow spatially autocorrelated thermal and spectral signals to leak between training and test points that lie close together, artificially inflating accuracy. To prevent this, the study domain is partitioned into a 10 km × 10 km spatial block grid, with each block assigned to one of 5 geographically non-overlapping folds </w:t>
      </w:r>
      <w:r>
        <w:rPr>
          <w:rFonts w:ascii="Calibri" w:cs="Calibri" w:eastAsia="Calibri" w:hAnsi="Calibri"/>
          <w:b w:val="false"/>
          <w:bCs w:val="false"/>
          <w:i w:val="false"/>
          <w:iCs w:val="false"/>
          <w:color w:val="000000"/>
          <w:sz w:val="21"/>
          <w:szCs w:val="21"/>
        </w:rPr>
        <w:t xml:space="preserve">(Roberts et al., 2017)</w:t>
      </w:r>
      <w:r>
        <w:rPr>
          <w:rFonts w:ascii="Calibri" w:cs="Calibri" w:eastAsia="Calibri" w:hAnsi="Calibri"/>
          <w:color w:val="000000"/>
          <w:sz w:val="21"/>
          <w:szCs w:val="21"/>
        </w:rPr>
        <w:t xml:space="preserve">. For each cross-validation round, four folds provide training data and one fold provides test data, guaranteeing a minimum 10 km training–test separation — beyond the estimated 5–8 km spatial autocorrelation range of LST in this domain. SHAP values are computed on test-fold predictions only.</w:t>
      </w:r>
    </w:p>
    <w:p>
      <w:pPr>
        <w:pStyle w:val="Heading3"/>
        <w:spacing w:after="100" w:before="200"/>
      </w:pPr>
      <w:r>
        <w:rPr>
          <w:rFonts w:ascii="Calibri" w:cs="Calibri" w:eastAsia="Calibri" w:hAnsi="Calibri"/>
          <w:b/>
          <w:bCs/>
          <w:i/>
          <w:iCs/>
          <w:color w:val="000000"/>
          <w:sz w:val="22"/>
          <w:szCs w:val="22"/>
        </w:rPr>
        <w:t xml:space="preserve">2.8.6 SHAP Feature Importance Analysis</w:t>
      </w:r>
    </w:p>
    <w:p>
      <w:pPr>
        <w:spacing w:after="160" w:line="276"/>
        <w:jc w:val="both"/>
      </w:pPr>
      <w:r>
        <w:rPr>
          <w:rFonts w:ascii="Calibri" w:cs="Calibri" w:eastAsia="Calibri" w:hAnsi="Calibri"/>
          <w:color w:val="000000"/>
          <w:sz w:val="21"/>
          <w:szCs w:val="21"/>
        </w:rPr>
        <w:t xml:space="preserve">Standard feature-importance metrics (mean decrease impurity for RF; gain for gradient boosting) are known to be biased toward high-cardinality continuous features and can mislead when features are correlated. SHAP (SHapley Additive exPlanations) values </w:t>
      </w:r>
      <w:r>
        <w:rPr>
          <w:rFonts w:ascii="Calibri" w:cs="Calibri" w:eastAsia="Calibri" w:hAnsi="Calibri"/>
          <w:b w:val="false"/>
          <w:bCs w:val="false"/>
          <w:i w:val="false"/>
          <w:iCs w:val="false"/>
          <w:color w:val="000000"/>
          <w:sz w:val="21"/>
          <w:szCs w:val="21"/>
        </w:rPr>
        <w:t xml:space="preserve">(Lundberg &amp; Lee, 2017)</w:t>
      </w:r>
      <w:r>
        <w:rPr>
          <w:rFonts w:ascii="Calibri" w:cs="Calibri" w:eastAsia="Calibri" w:hAnsi="Calibri"/>
          <w:color w:val="000000"/>
          <w:sz w:val="21"/>
          <w:szCs w:val="21"/>
        </w:rPr>
        <w:t xml:space="preserve"> have an axiomatic basis (local accuracy, missingness, consistency) and attribute each prediction to each feature in a way that is both locally faithful and globally informative, directly answering which of the 25 features contributes most to predicting LST/UHI, and in which direction, at each grid cell.</w:t>
      </w:r>
    </w:p>
    <w:p>
      <w:pPr>
        <w:pStyle w:val="Heading3"/>
        <w:spacing w:after="100" w:before="200"/>
      </w:pPr>
      <w:r>
        <w:rPr>
          <w:rFonts w:ascii="Calibri" w:cs="Calibri" w:eastAsia="Calibri" w:hAnsi="Calibri"/>
          <w:b/>
          <w:bCs/>
          <w:i/>
          <w:iCs/>
          <w:color w:val="000000"/>
          <w:sz w:val="22"/>
          <w:szCs w:val="22"/>
        </w:rPr>
        <w:t xml:space="preserve">2.8.7 Future Scenario Projection via CA-Markov LULC Modelling</w:t>
      </w:r>
    </w:p>
    <w:p>
      <w:pPr>
        <w:spacing w:after="160" w:line="276"/>
        <w:jc w:val="both"/>
      </w:pPr>
      <w:r>
        <w:rPr>
          <w:rFonts w:ascii="Calibri" w:cs="Calibri" w:eastAsia="Calibri" w:hAnsi="Calibri"/>
          <w:color w:val="000000"/>
          <w:sz w:val="21"/>
          <w:szCs w:val="21"/>
        </w:rPr>
        <w:t xml:space="preserve">CA-Markov combines a Cellular Automata (CA) spatial-contiguity constraint with a Markov Chain transition-probability model </w:t>
      </w:r>
      <w:r>
        <w:rPr>
          <w:rFonts w:ascii="Calibri" w:cs="Calibri" w:eastAsia="Calibri" w:hAnsi="Calibri"/>
          <w:b w:val="false"/>
          <w:bCs w:val="false"/>
          <w:i w:val="false"/>
          <w:iCs w:val="false"/>
          <w:color w:val="000000"/>
          <w:sz w:val="21"/>
          <w:szCs w:val="21"/>
        </w:rPr>
        <w:t xml:space="preserve">(Muller &amp; Middleton, 1994)</w:t>
      </w:r>
      <w:r>
        <w:rPr>
          <w:rFonts w:ascii="Calibri" w:cs="Calibri" w:eastAsia="Calibri" w:hAnsi="Calibri"/>
          <w:color w:val="000000"/>
          <w:sz w:val="21"/>
          <w:szCs w:val="21"/>
        </w:rPr>
        <w:t xml:space="preserve"> to project LULC change. The Markov component uses the historical transition probability matrices (Section 2.7.1) to determine the proportion of each class expected to convert to each other class over a given horizon; the CA component enforces that conversions occur adjacent to existing Settlement pixels, preventing spatially impossible disconnected urbanisation.</w:t>
      </w:r>
    </w:p>
    <w:p>
      <w:pPr>
        <w:pStyle w:val="ListParagraph"/>
        <w:numPr>
          <w:ilvl w:val="0"/>
          <w:numId w:val="2"/>
        </w:numPr>
        <w:spacing w:after="100" w:line="276"/>
      </w:pPr>
      <w:r>
        <w:rPr>
          <w:rFonts w:ascii="Calibri" w:cs="Calibri" w:eastAsia="Calibri" w:hAnsi="Calibri"/>
          <w:color w:val="000000"/>
          <w:sz w:val="21"/>
          <w:szCs w:val="21"/>
        </w:rPr>
        <w:t xml:space="preserve">Scenario 1 (Business-as-Usual): transition probabilities derived from the 2015→2025 matrix, projected to 2035 and 2045, assuming continuation of observed urbanisation rates.</w:t>
      </w:r>
    </w:p>
    <w:p>
      <w:pPr>
        <w:pStyle w:val="ListParagraph"/>
        <w:numPr>
          <w:ilvl w:val="0"/>
          <w:numId w:val="2"/>
        </w:numPr>
        <w:spacing w:after="100" w:line="276"/>
      </w:pPr>
      <w:r>
        <w:rPr>
          <w:rFonts w:ascii="Calibri" w:cs="Calibri" w:eastAsia="Calibri" w:hAnsi="Calibri"/>
          <w:color w:val="000000"/>
          <w:sz w:val="21"/>
          <w:szCs w:val="21"/>
        </w:rPr>
        <w:t xml:space="preserve">Scenario 2 (Green Infrastructure Intervention): Vegetation→Settlement conversion probability reduced by 50% and Water body→Settlement probability set to zero, simulating the UHI benefit of a hypothetical greening and water-body conservation policy.</w:t>
      </w:r>
    </w:p>
    <w:p>
      <w:pPr>
        <w:spacing w:after="160" w:line="276"/>
        <w:jc w:val="both"/>
      </w:pPr>
      <w:r>
        <w:rPr>
          <w:rFonts w:ascii="Calibri" w:cs="Calibri" w:eastAsia="Calibri" w:hAnsi="Calibri"/>
          <w:b w:val="false"/>
          <w:bCs w:val="false"/>
          <w:i w:val="false"/>
          <w:iCs w:val="false"/>
          <w:color w:val="000000"/>
          <w:sz w:val="21"/>
          <w:szCs w:val="21"/>
        </w:rPr>
        <w:t xml:space="preserve">Monte Carlo uncertainty banding (n = 50 stochastic realisations) quantifies projection uncertainty bounds for both scenarios.</w:t>
      </w:r>
    </w:p>
    <w:p>
      <w:r>
        <w:br/>
        <w:t xml:space="preserve"/>
      </w:r>
    </w:p>
    <w:p>
      <w:pPr>
        <w:pStyle w:val="Heading1"/>
        <w:spacing w:after="160" w:before="320"/>
      </w:pPr>
      <w:r>
        <w:rPr>
          <w:rFonts w:ascii="Calibri" w:cs="Calibri" w:eastAsia="Calibri" w:hAnsi="Calibri"/>
          <w:b/>
          <w:bCs/>
          <w:color w:val="000000"/>
          <w:sz w:val="28"/>
          <w:szCs w:val="28"/>
        </w:rPr>
        <w:t xml:space="preserve">REFERENCES</w:t>
      </w:r>
    </w:p>
    <w:p>
      <w:pPr>
        <w:spacing w:after="160" w:line="276"/>
        <w:ind w:left="720" w:hanging="720"/>
      </w:pPr>
      <w:r>
        <w:rPr>
          <w:rFonts w:ascii="Calibri" w:cs="Calibri" w:eastAsia="Calibri" w:hAnsi="Calibri"/>
          <w:color w:val="000000"/>
          <w:sz w:val="20"/>
          <w:szCs w:val="20"/>
        </w:rPr>
        <w:t xml:space="preserve">Akiba, T., Sano, S., Yanase, T., Ohta, T., &amp; Koyama, M. (2019). Optuna: A next-generation hyperparameter optimization framework. In </w:t>
      </w:r>
      <w:r>
        <w:rPr>
          <w:rFonts w:ascii="Calibri" w:cs="Calibri" w:eastAsia="Calibri" w:hAnsi="Calibri"/>
          <w:b w:val="false"/>
          <w:bCs w:val="false"/>
          <w:i/>
          <w:iCs/>
          <w:color w:val="000000"/>
          <w:sz w:val="21"/>
          <w:szCs w:val="21"/>
        </w:rPr>
        <w:t xml:space="preserve">Proceedings of the 25th ACM SIGKDD International Conference on Knowledge Discovery &amp; Data Mining</w:t>
      </w:r>
      <w:r>
        <w:rPr>
          <w:rFonts w:ascii="Calibri" w:cs="Calibri" w:eastAsia="Calibri" w:hAnsi="Calibri"/>
          <w:color w:val="000000"/>
          <w:sz w:val="20"/>
          <w:szCs w:val="20"/>
        </w:rPr>
        <w:t xml:space="preserve"> (pp. 2623–2631). https://doi.org/10.1145/3292500.3330701</w:t>
      </w:r>
    </w:p>
    <w:p>
      <w:pPr>
        <w:spacing w:after="160" w:line="276"/>
        <w:ind w:left="720" w:hanging="720"/>
      </w:pPr>
      <w:r>
        <w:rPr>
          <w:rFonts w:ascii="Calibri" w:cs="Calibri" w:eastAsia="Calibri" w:hAnsi="Calibri"/>
          <w:color w:val="000000"/>
          <w:sz w:val="20"/>
          <w:szCs w:val="20"/>
        </w:rPr>
        <w:t xml:space="preserve">Anselin, L. (1995). Local indicators of spatial association—LISA. </w:t>
      </w:r>
      <w:r>
        <w:rPr>
          <w:rFonts w:ascii="Calibri" w:cs="Calibri" w:eastAsia="Calibri" w:hAnsi="Calibri"/>
          <w:b w:val="false"/>
          <w:bCs w:val="false"/>
          <w:i/>
          <w:iCs/>
          <w:color w:val="000000"/>
          <w:sz w:val="21"/>
          <w:szCs w:val="21"/>
        </w:rPr>
        <w:t xml:space="preserve">Geographical Analysis, 27</w:t>
      </w:r>
      <w:r>
        <w:rPr>
          <w:rFonts w:ascii="Calibri" w:cs="Calibri" w:eastAsia="Calibri" w:hAnsi="Calibri"/>
          <w:color w:val="000000"/>
          <w:sz w:val="20"/>
          <w:szCs w:val="20"/>
        </w:rPr>
        <w:t xml:space="preserve">(2), 93–115. https://doi.org/10.1111/j.1538-4632.1995.tb00338.x</w:t>
      </w:r>
    </w:p>
    <w:p>
      <w:pPr>
        <w:spacing w:after="160" w:line="276"/>
        <w:ind w:left="720" w:hanging="720"/>
      </w:pPr>
      <w:r>
        <w:rPr>
          <w:rFonts w:ascii="Calibri" w:cs="Calibri" w:eastAsia="Calibri" w:hAnsi="Calibri"/>
          <w:color w:val="000000"/>
          <w:sz w:val="20"/>
          <w:szCs w:val="20"/>
        </w:rPr>
        <w:t xml:space="preserve">Ball, G. H., &amp; Hall, D. J. (1965). </w:t>
      </w:r>
      <w:r>
        <w:rPr>
          <w:rFonts w:ascii="Calibri" w:cs="Calibri" w:eastAsia="Calibri" w:hAnsi="Calibri"/>
          <w:b w:val="false"/>
          <w:bCs w:val="false"/>
          <w:i/>
          <w:iCs/>
          <w:color w:val="000000"/>
          <w:sz w:val="21"/>
          <w:szCs w:val="21"/>
        </w:rPr>
        <w:t xml:space="preserve">ISODATA, a novel method of data analysis and pattern classification</w:t>
      </w:r>
      <w:r>
        <w:rPr>
          <w:rFonts w:ascii="Calibri" w:cs="Calibri" w:eastAsia="Calibri" w:hAnsi="Calibri"/>
          <w:color w:val="000000"/>
          <w:sz w:val="20"/>
          <w:szCs w:val="20"/>
        </w:rPr>
        <w:t xml:space="preserve"> (Technical Report AD0699616). Stanford Research Institute. https://apps.dtic.mil/sti/tr/pdf/AD0699616.pdf (no DOI assigned; technical report — archive link verifiable)</w:t>
      </w:r>
    </w:p>
    <w:p>
      <w:pPr>
        <w:spacing w:after="160" w:line="276"/>
        <w:ind w:left="720" w:hanging="720"/>
      </w:pPr>
      <w:r>
        <w:rPr>
          <w:rFonts w:ascii="Calibri" w:cs="Calibri" w:eastAsia="Calibri" w:hAnsi="Calibri"/>
          <w:color w:val="000000"/>
          <w:sz w:val="20"/>
          <w:szCs w:val="20"/>
        </w:rPr>
        <w:t xml:space="preserve">Breiman, L. (2001). Random forests. </w:t>
      </w:r>
      <w:r>
        <w:rPr>
          <w:rFonts w:ascii="Calibri" w:cs="Calibri" w:eastAsia="Calibri" w:hAnsi="Calibri"/>
          <w:b w:val="false"/>
          <w:bCs w:val="false"/>
          <w:i/>
          <w:iCs/>
          <w:color w:val="000000"/>
          <w:sz w:val="21"/>
          <w:szCs w:val="21"/>
        </w:rPr>
        <w:t xml:space="preserve">Machine Learning, 45</w:t>
      </w:r>
      <w:r>
        <w:rPr>
          <w:rFonts w:ascii="Calibri" w:cs="Calibri" w:eastAsia="Calibri" w:hAnsi="Calibri"/>
          <w:color w:val="000000"/>
          <w:sz w:val="20"/>
          <w:szCs w:val="20"/>
        </w:rPr>
        <w:t xml:space="preserve">(1), 5–32. https://doi.org/10.1023/A:1010933404324</w:t>
      </w:r>
    </w:p>
    <w:p>
      <w:pPr>
        <w:spacing w:after="160" w:line="276"/>
        <w:ind w:left="720" w:hanging="720"/>
      </w:pPr>
      <w:r>
        <w:rPr>
          <w:rFonts w:ascii="Calibri" w:cs="Calibri" w:eastAsia="Calibri" w:hAnsi="Calibri"/>
          <w:color w:val="000000"/>
          <w:sz w:val="20"/>
          <w:szCs w:val="20"/>
        </w:rPr>
        <w:t xml:space="preserve">Carlson, T. N., &amp; Ripley, D. A. (1997). On the relation between NDVI, fractional vegetation cover, and leaf area index. </w:t>
      </w:r>
      <w:r>
        <w:rPr>
          <w:rFonts w:ascii="Calibri" w:cs="Calibri" w:eastAsia="Calibri" w:hAnsi="Calibri"/>
          <w:b w:val="false"/>
          <w:bCs w:val="false"/>
          <w:i/>
          <w:iCs/>
          <w:color w:val="000000"/>
          <w:sz w:val="21"/>
          <w:szCs w:val="21"/>
        </w:rPr>
        <w:t xml:space="preserve">Remote Sensing of Environment, 62</w:t>
      </w:r>
      <w:r>
        <w:rPr>
          <w:rFonts w:ascii="Calibri" w:cs="Calibri" w:eastAsia="Calibri" w:hAnsi="Calibri"/>
          <w:color w:val="000000"/>
          <w:sz w:val="20"/>
          <w:szCs w:val="20"/>
        </w:rPr>
        <w:t xml:space="preserve">(3), 241–252. https://doi.org/10.1016/S0034-4257(97)00104-1</w:t>
      </w:r>
    </w:p>
    <w:p>
      <w:pPr>
        <w:spacing w:after="160" w:line="276"/>
        <w:ind w:left="720" w:hanging="720"/>
      </w:pPr>
      <w:r>
        <w:rPr>
          <w:rFonts w:ascii="Calibri" w:cs="Calibri" w:eastAsia="Calibri" w:hAnsi="Calibri"/>
          <w:color w:val="000000"/>
          <w:sz w:val="20"/>
          <w:szCs w:val="20"/>
        </w:rPr>
        <w:t xml:space="preserve">Chen, T., &amp; Guestrin, C. (2016). XGBoost: A scalable tree boosting system. In </w:t>
      </w:r>
      <w:r>
        <w:rPr>
          <w:rFonts w:ascii="Calibri" w:cs="Calibri" w:eastAsia="Calibri" w:hAnsi="Calibri"/>
          <w:b w:val="false"/>
          <w:bCs w:val="false"/>
          <w:i/>
          <w:iCs/>
          <w:color w:val="000000"/>
          <w:sz w:val="21"/>
          <w:szCs w:val="21"/>
        </w:rPr>
        <w:t xml:space="preserve">Proceedings of the 22nd ACM SIGKDD International Conference on Knowledge Discovery and Data Mining</w:t>
      </w:r>
      <w:r>
        <w:rPr>
          <w:rFonts w:ascii="Calibri" w:cs="Calibri" w:eastAsia="Calibri" w:hAnsi="Calibri"/>
          <w:color w:val="000000"/>
          <w:sz w:val="20"/>
          <w:szCs w:val="20"/>
        </w:rPr>
        <w:t xml:space="preserve"> (pp. 785–794). https://doi.org/10.1145/2939672.2939785</w:t>
      </w:r>
    </w:p>
    <w:p>
      <w:pPr>
        <w:spacing w:after="160" w:line="276"/>
        <w:ind w:left="720" w:hanging="720"/>
      </w:pPr>
      <w:r>
        <w:rPr>
          <w:rFonts w:ascii="Calibri" w:cs="Calibri" w:eastAsia="Calibri" w:hAnsi="Calibri"/>
          <w:color w:val="000000"/>
          <w:sz w:val="20"/>
          <w:szCs w:val="20"/>
        </w:rPr>
        <w:t xml:space="preserve">Cohen, J. (1960). A coefficient of agreement for nominal scales. </w:t>
      </w:r>
      <w:r>
        <w:rPr>
          <w:rFonts w:ascii="Calibri" w:cs="Calibri" w:eastAsia="Calibri" w:hAnsi="Calibri"/>
          <w:b w:val="false"/>
          <w:bCs w:val="false"/>
          <w:i/>
          <w:iCs/>
          <w:color w:val="000000"/>
          <w:sz w:val="21"/>
          <w:szCs w:val="21"/>
        </w:rPr>
        <w:t xml:space="preserve">Educational and Psychological Measurement, 20</w:t>
      </w:r>
      <w:r>
        <w:rPr>
          <w:rFonts w:ascii="Calibri" w:cs="Calibri" w:eastAsia="Calibri" w:hAnsi="Calibri"/>
          <w:color w:val="000000"/>
          <w:sz w:val="20"/>
          <w:szCs w:val="20"/>
        </w:rPr>
        <w:t xml:space="preserve">(1), 37–46. https://doi.org/10.1177/001316446002000104</w:t>
      </w:r>
    </w:p>
    <w:p>
      <w:pPr>
        <w:spacing w:after="160" w:line="276"/>
        <w:ind w:left="720" w:hanging="720"/>
      </w:pPr>
      <w:r>
        <w:rPr>
          <w:rFonts w:ascii="Calibri" w:cs="Calibri" w:eastAsia="Calibri" w:hAnsi="Calibri"/>
          <w:color w:val="000000"/>
          <w:sz w:val="20"/>
          <w:szCs w:val="20"/>
        </w:rPr>
        <w:t xml:space="preserve">Congalton, R. G. (1991). A review of assessing the accuracy of classifications of remotely sensed data. </w:t>
      </w:r>
      <w:r>
        <w:rPr>
          <w:rFonts w:ascii="Calibri" w:cs="Calibri" w:eastAsia="Calibri" w:hAnsi="Calibri"/>
          <w:b w:val="false"/>
          <w:bCs w:val="false"/>
          <w:i/>
          <w:iCs/>
          <w:color w:val="000000"/>
          <w:sz w:val="21"/>
          <w:szCs w:val="21"/>
        </w:rPr>
        <w:t xml:space="preserve">Remote Sensing of Environment, 37</w:t>
      </w:r>
      <w:r>
        <w:rPr>
          <w:rFonts w:ascii="Calibri" w:cs="Calibri" w:eastAsia="Calibri" w:hAnsi="Calibri"/>
          <w:color w:val="000000"/>
          <w:sz w:val="20"/>
          <w:szCs w:val="20"/>
        </w:rPr>
        <w:t xml:space="preserve">(1), 35–46. https://doi.org/10.1016/0034-4257(91)90048-B</w:t>
      </w:r>
    </w:p>
    <w:p>
      <w:pPr>
        <w:spacing w:after="160" w:line="276"/>
        <w:ind w:left="720" w:hanging="720"/>
      </w:pPr>
      <w:r>
        <w:rPr>
          <w:rFonts w:ascii="Calibri" w:cs="Calibri" w:eastAsia="Calibri" w:hAnsi="Calibri"/>
          <w:color w:val="000000"/>
          <w:sz w:val="20"/>
          <w:szCs w:val="20"/>
        </w:rPr>
        <w:t xml:space="preserve">Ke, G., Meng, Q., Finley, T., Wang, T., Chen, W., Ma, W., Ye, Q., &amp; Liu, T.-Y. (2017). LightGBM: A highly efficient gradient boosting decision tree. In </w:t>
      </w:r>
      <w:r>
        <w:rPr>
          <w:rFonts w:ascii="Calibri" w:cs="Calibri" w:eastAsia="Calibri" w:hAnsi="Calibri"/>
          <w:b w:val="false"/>
          <w:bCs w:val="false"/>
          <w:i/>
          <w:iCs/>
          <w:color w:val="000000"/>
          <w:sz w:val="21"/>
          <w:szCs w:val="21"/>
        </w:rPr>
        <w:t xml:space="preserve">Advances in Neural Information Processing Systems</w:t>
      </w:r>
      <w:r>
        <w:rPr>
          <w:rFonts w:ascii="Calibri" w:cs="Calibri" w:eastAsia="Calibri" w:hAnsi="Calibri"/>
          <w:color w:val="000000"/>
          <w:sz w:val="20"/>
          <w:szCs w:val="20"/>
        </w:rPr>
        <w:t xml:space="preserve"> (Vol. 30, pp. 3146–3154). https://proceedings.neurips.cc/paper/2017/hash/6449f44a102fde848669bdd9eb6b76fa-Abstract.html</w:t>
      </w:r>
    </w:p>
    <w:p>
      <w:pPr>
        <w:spacing w:after="160" w:line="276"/>
        <w:ind w:left="720" w:hanging="720"/>
      </w:pPr>
      <w:r>
        <w:rPr>
          <w:rFonts w:ascii="Calibri" w:cs="Calibri" w:eastAsia="Calibri" w:hAnsi="Calibri"/>
          <w:color w:val="000000"/>
          <w:sz w:val="20"/>
          <w:szCs w:val="20"/>
        </w:rPr>
        <w:t xml:space="preserve">Kendall, M. G. (1975). </w:t>
      </w:r>
      <w:r>
        <w:rPr>
          <w:rFonts w:ascii="Calibri" w:cs="Calibri" w:eastAsia="Calibri" w:hAnsi="Calibri"/>
          <w:b w:val="false"/>
          <w:bCs w:val="false"/>
          <w:i/>
          <w:iCs/>
          <w:color w:val="000000"/>
          <w:sz w:val="21"/>
          <w:szCs w:val="21"/>
        </w:rPr>
        <w:t xml:space="preserve">Rank correlation methods</w:t>
      </w:r>
      <w:r>
        <w:rPr>
          <w:rFonts w:ascii="Calibri" w:cs="Calibri" w:eastAsia="Calibri" w:hAnsi="Calibri"/>
          <w:color w:val="000000"/>
          <w:sz w:val="20"/>
          <w:szCs w:val="20"/>
        </w:rPr>
        <w:t xml:space="preserve"> (4th ed.). Charles Griffin. (No DOI; standard reference monograph)</w:t>
      </w:r>
    </w:p>
    <w:p>
      <w:pPr>
        <w:spacing w:after="160" w:line="276"/>
        <w:ind w:left="720" w:hanging="720"/>
      </w:pPr>
      <w:r>
        <w:rPr>
          <w:rFonts w:ascii="Calibri" w:cs="Calibri" w:eastAsia="Calibri" w:hAnsi="Calibri"/>
          <w:color w:val="000000"/>
          <w:sz w:val="20"/>
          <w:szCs w:val="20"/>
        </w:rPr>
        <w:t xml:space="preserve">Lundberg, S. M., &amp; Lee, S.-I. (2017). A unified approach to interpreting model predictions. In </w:t>
      </w:r>
      <w:r>
        <w:rPr>
          <w:rFonts w:ascii="Calibri" w:cs="Calibri" w:eastAsia="Calibri" w:hAnsi="Calibri"/>
          <w:b w:val="false"/>
          <w:bCs w:val="false"/>
          <w:i/>
          <w:iCs/>
          <w:color w:val="000000"/>
          <w:sz w:val="21"/>
          <w:szCs w:val="21"/>
        </w:rPr>
        <w:t xml:space="preserve">Advances in Neural Information Processing Systems</w:t>
      </w:r>
      <w:r>
        <w:rPr>
          <w:rFonts w:ascii="Calibri" w:cs="Calibri" w:eastAsia="Calibri" w:hAnsi="Calibri"/>
          <w:color w:val="000000"/>
          <w:sz w:val="20"/>
          <w:szCs w:val="20"/>
        </w:rPr>
        <w:t xml:space="preserve"> (Vol. 30). https://doi.org/10.48550/arXiv.1705.07874</w:t>
      </w:r>
    </w:p>
    <w:p>
      <w:pPr>
        <w:spacing w:after="160" w:line="276"/>
        <w:ind w:left="720" w:hanging="720"/>
      </w:pPr>
      <w:r>
        <w:rPr>
          <w:rFonts w:ascii="Calibri" w:cs="Calibri" w:eastAsia="Calibri" w:hAnsi="Calibri"/>
          <w:color w:val="000000"/>
          <w:sz w:val="20"/>
          <w:szCs w:val="20"/>
        </w:rPr>
        <w:t xml:space="preserve">Mann, H. B. (1945). Nonparametric tests against trend. </w:t>
      </w:r>
      <w:r>
        <w:rPr>
          <w:rFonts w:ascii="Calibri" w:cs="Calibri" w:eastAsia="Calibri" w:hAnsi="Calibri"/>
          <w:b w:val="false"/>
          <w:bCs w:val="false"/>
          <w:i/>
          <w:iCs/>
          <w:color w:val="000000"/>
          <w:sz w:val="21"/>
          <w:szCs w:val="21"/>
        </w:rPr>
        <w:t xml:space="preserve">Econometrica, 13</w:t>
      </w:r>
      <w:r>
        <w:rPr>
          <w:rFonts w:ascii="Calibri" w:cs="Calibri" w:eastAsia="Calibri" w:hAnsi="Calibri"/>
          <w:color w:val="000000"/>
          <w:sz w:val="20"/>
          <w:szCs w:val="20"/>
        </w:rPr>
        <w:t xml:space="preserve">(3), 245–259. https://doi.org/10.2307/1907187</w:t>
      </w:r>
    </w:p>
    <w:p>
      <w:pPr>
        <w:spacing w:after="160" w:line="276"/>
        <w:ind w:left="720" w:hanging="720"/>
      </w:pPr>
      <w:r>
        <w:rPr>
          <w:rFonts w:ascii="Calibri" w:cs="Calibri" w:eastAsia="Calibri" w:hAnsi="Calibri"/>
          <w:color w:val="000000"/>
          <w:sz w:val="20"/>
          <w:szCs w:val="20"/>
        </w:rPr>
        <w:t xml:space="preserve">Masek, J. G., Vermote, E. F., Saleous, N. E., Wolfe, R., Hall, F. G., Huemmrich, K. F., Gao, F., Kutler, J., &amp; Lim, T.-K. (2006). A Landsat surface reflectance dataset for North America, 1990–2000. </w:t>
      </w:r>
      <w:r>
        <w:rPr>
          <w:rFonts w:ascii="Calibri" w:cs="Calibri" w:eastAsia="Calibri" w:hAnsi="Calibri"/>
          <w:b w:val="false"/>
          <w:bCs w:val="false"/>
          <w:i/>
          <w:iCs/>
          <w:color w:val="000000"/>
          <w:sz w:val="21"/>
          <w:szCs w:val="21"/>
        </w:rPr>
        <w:t xml:space="preserve">IEEE Geoscience and Remote Sensing Letters, 3</w:t>
      </w:r>
      <w:r>
        <w:rPr>
          <w:rFonts w:ascii="Calibri" w:cs="Calibri" w:eastAsia="Calibri" w:hAnsi="Calibri"/>
          <w:color w:val="000000"/>
          <w:sz w:val="20"/>
          <w:szCs w:val="20"/>
        </w:rPr>
        <w:t xml:space="preserve">(1), 68–72. https://doi.org/10.1109/LGRS.2005.857030</w:t>
      </w:r>
    </w:p>
    <w:p>
      <w:pPr>
        <w:spacing w:after="160" w:line="276"/>
        <w:ind w:left="720" w:hanging="720"/>
      </w:pPr>
      <w:r>
        <w:rPr>
          <w:rFonts w:ascii="Calibri" w:cs="Calibri" w:eastAsia="Calibri" w:hAnsi="Calibri"/>
          <w:color w:val="000000"/>
          <w:sz w:val="20"/>
          <w:szCs w:val="20"/>
        </w:rPr>
        <w:t xml:space="preserve">Moran, P. A. P. (1950). Notes on continuous stochastic phenomena. </w:t>
      </w:r>
      <w:r>
        <w:rPr>
          <w:rFonts w:ascii="Calibri" w:cs="Calibri" w:eastAsia="Calibri" w:hAnsi="Calibri"/>
          <w:b w:val="false"/>
          <w:bCs w:val="false"/>
          <w:i/>
          <w:iCs/>
          <w:color w:val="000000"/>
          <w:sz w:val="21"/>
          <w:szCs w:val="21"/>
        </w:rPr>
        <w:t xml:space="preserve">Biometrika, 37</w:t>
      </w:r>
      <w:r>
        <w:rPr>
          <w:rFonts w:ascii="Calibri" w:cs="Calibri" w:eastAsia="Calibri" w:hAnsi="Calibri"/>
          <w:color w:val="000000"/>
          <w:sz w:val="20"/>
          <w:szCs w:val="20"/>
        </w:rPr>
        <w:t xml:space="preserve">(1/2), 17–23. https://doi.org/10.2307/2332142</w:t>
      </w:r>
    </w:p>
    <w:p>
      <w:pPr>
        <w:spacing w:after="160" w:line="276"/>
        <w:ind w:left="720" w:hanging="720"/>
      </w:pPr>
      <w:r>
        <w:rPr>
          <w:rFonts w:ascii="Calibri" w:cs="Calibri" w:eastAsia="Calibri" w:hAnsi="Calibri"/>
          <w:color w:val="000000"/>
          <w:sz w:val="20"/>
          <w:szCs w:val="20"/>
        </w:rPr>
        <w:t xml:space="preserve">Muller, M. R., &amp; Middleton, J. (1994). A Markov model of land-use change dynamics in the Niagara Region, Ontario, Canada. </w:t>
      </w:r>
      <w:r>
        <w:rPr>
          <w:rFonts w:ascii="Calibri" w:cs="Calibri" w:eastAsia="Calibri" w:hAnsi="Calibri"/>
          <w:b w:val="false"/>
          <w:bCs w:val="false"/>
          <w:i/>
          <w:iCs/>
          <w:color w:val="000000"/>
          <w:sz w:val="21"/>
          <w:szCs w:val="21"/>
        </w:rPr>
        <w:t xml:space="preserve">Landscape Ecology, 9</w:t>
      </w:r>
      <w:r>
        <w:rPr>
          <w:rFonts w:ascii="Calibri" w:cs="Calibri" w:eastAsia="Calibri" w:hAnsi="Calibri"/>
          <w:color w:val="000000"/>
          <w:sz w:val="20"/>
          <w:szCs w:val="20"/>
        </w:rPr>
        <w:t xml:space="preserve">(2), 151–157. https://doi.org/10.1007/BF00124382</w:t>
      </w:r>
    </w:p>
    <w:p>
      <w:pPr>
        <w:spacing w:after="160" w:line="276"/>
        <w:ind w:left="720" w:hanging="720"/>
      </w:pPr>
      <w:r>
        <w:rPr>
          <w:rFonts w:ascii="Calibri" w:cs="Calibri" w:eastAsia="Calibri" w:hAnsi="Calibri"/>
          <w:color w:val="000000"/>
          <w:sz w:val="20"/>
          <w:szCs w:val="20"/>
        </w:rPr>
        <w:t xml:space="preserve">Oke, T. R. (1982). The energetic basis of the urban heat island. </w:t>
      </w:r>
      <w:r>
        <w:rPr>
          <w:rFonts w:ascii="Calibri" w:cs="Calibri" w:eastAsia="Calibri" w:hAnsi="Calibri"/>
          <w:b w:val="false"/>
          <w:bCs w:val="false"/>
          <w:i/>
          <w:iCs/>
          <w:color w:val="000000"/>
          <w:sz w:val="21"/>
          <w:szCs w:val="21"/>
        </w:rPr>
        <w:t xml:space="preserve">Quarterly Journal of the Royal Meteorological Society, 108</w:t>
      </w:r>
      <w:r>
        <w:rPr>
          <w:rFonts w:ascii="Calibri" w:cs="Calibri" w:eastAsia="Calibri" w:hAnsi="Calibri"/>
          <w:color w:val="000000"/>
          <w:sz w:val="20"/>
          <w:szCs w:val="20"/>
        </w:rPr>
        <w:t xml:space="preserve">(455), 1–24. https://doi.org/10.1002/qj.49710845502</w:t>
      </w:r>
    </w:p>
    <w:p>
      <w:pPr>
        <w:spacing w:after="160" w:line="276"/>
        <w:ind w:left="720" w:hanging="720"/>
      </w:pPr>
      <w:r>
        <w:rPr>
          <w:rFonts w:ascii="Calibri" w:cs="Calibri" w:eastAsia="Calibri" w:hAnsi="Calibri"/>
          <w:color w:val="000000"/>
          <w:sz w:val="20"/>
          <w:szCs w:val="20"/>
        </w:rPr>
        <w:t xml:space="preserve">Qin, Z., Karnieli, A., &amp; Berliner, P. (2001). A mono-window algorithm for retrieving land surface temperature from Landsat TM data and its application to the Israel–Egypt border region. </w:t>
      </w:r>
      <w:r>
        <w:rPr>
          <w:rFonts w:ascii="Calibri" w:cs="Calibri" w:eastAsia="Calibri" w:hAnsi="Calibri"/>
          <w:b w:val="false"/>
          <w:bCs w:val="false"/>
          <w:i/>
          <w:iCs/>
          <w:color w:val="000000"/>
          <w:sz w:val="21"/>
          <w:szCs w:val="21"/>
        </w:rPr>
        <w:t xml:space="preserve">International Journal of Remote Sensing, 22</w:t>
      </w:r>
      <w:r>
        <w:rPr>
          <w:rFonts w:ascii="Calibri" w:cs="Calibri" w:eastAsia="Calibri" w:hAnsi="Calibri"/>
          <w:color w:val="000000"/>
          <w:sz w:val="20"/>
          <w:szCs w:val="20"/>
        </w:rPr>
        <w:t xml:space="preserve">(18), 3719–3746. https://doi.org/10.1080/01431160010006971</w:t>
      </w:r>
    </w:p>
    <w:p>
      <w:pPr>
        <w:spacing w:after="160" w:line="276"/>
        <w:ind w:left="720" w:hanging="720"/>
      </w:pPr>
      <w:r>
        <w:rPr>
          <w:rFonts w:ascii="Calibri" w:cs="Calibri" w:eastAsia="Calibri" w:hAnsi="Calibri"/>
          <w:color w:val="000000"/>
          <w:sz w:val="20"/>
          <w:szCs w:val="20"/>
        </w:rPr>
        <w:t xml:space="preserve">Roberts, D. R., Bahn, V., Ciuti, S., Boyce, M. S., Elith, J., Guillera-Arroita, G., Hauenstein, S., Lahoz-Monfort, J. J., Schröder, B., Thuiller, W., Warton, D. I., Wintle, B. A., Hartig, F., &amp; Dormann, C. F. (2017). Cross-validation strategies for data with temporal, spatial, hierarchical, or phylogenetic structure. </w:t>
      </w:r>
      <w:r>
        <w:rPr>
          <w:rFonts w:ascii="Calibri" w:cs="Calibri" w:eastAsia="Calibri" w:hAnsi="Calibri"/>
          <w:b w:val="false"/>
          <w:bCs w:val="false"/>
          <w:i/>
          <w:iCs/>
          <w:color w:val="000000"/>
          <w:sz w:val="21"/>
          <w:szCs w:val="21"/>
        </w:rPr>
        <w:t xml:space="preserve">Ecography, 40</w:t>
      </w:r>
      <w:r>
        <w:rPr>
          <w:rFonts w:ascii="Calibri" w:cs="Calibri" w:eastAsia="Calibri" w:hAnsi="Calibri"/>
          <w:color w:val="000000"/>
          <w:sz w:val="20"/>
          <w:szCs w:val="20"/>
        </w:rPr>
        <w:t xml:space="preserve">(8), 913–929. https://doi.org/10.1111/ecog.02881</w:t>
      </w:r>
    </w:p>
    <w:p>
      <w:pPr>
        <w:spacing w:after="160" w:line="276"/>
        <w:ind w:left="720" w:hanging="720"/>
      </w:pPr>
      <w:r>
        <w:rPr>
          <w:rFonts w:ascii="Calibri" w:cs="Calibri" w:eastAsia="Calibri" w:hAnsi="Calibri"/>
          <w:color w:val="000000"/>
          <w:sz w:val="20"/>
          <w:szCs w:val="20"/>
        </w:rPr>
        <w:t xml:space="preserve">Rouse, J. W., Haas, R. H., Schell, J. A., &amp; Deering, D. W. (1974). Monitoring vegetation systems in the Great Plains with ERTS. In </w:t>
      </w:r>
      <w:r>
        <w:rPr>
          <w:rFonts w:ascii="Calibri" w:cs="Calibri" w:eastAsia="Calibri" w:hAnsi="Calibri"/>
          <w:b w:val="false"/>
          <w:bCs w:val="false"/>
          <w:i/>
          <w:iCs/>
          <w:color w:val="000000"/>
          <w:sz w:val="21"/>
          <w:szCs w:val="21"/>
        </w:rPr>
        <w:t xml:space="preserve">Third Earth Resources Technology Satellite-1 Symposium</w:t>
      </w:r>
      <w:r>
        <w:rPr>
          <w:rFonts w:ascii="Calibri" w:cs="Calibri" w:eastAsia="Calibri" w:hAnsi="Calibri"/>
          <w:color w:val="000000"/>
          <w:sz w:val="20"/>
          <w:szCs w:val="20"/>
        </w:rPr>
        <w:t xml:space="preserve"> (NASA SP-351, Vol. 1, pp. 309–317). NASA. https://ntrs.nasa.gov/citations/19740022614 (no DOI; NASA technical report — archive link verifiable)</w:t>
      </w:r>
    </w:p>
    <w:p>
      <w:pPr>
        <w:spacing w:after="160" w:line="276"/>
        <w:ind w:left="720" w:hanging="720"/>
      </w:pPr>
      <w:r>
        <w:rPr>
          <w:rFonts w:ascii="Calibri" w:cs="Calibri" w:eastAsia="Calibri" w:hAnsi="Calibri"/>
          <w:color w:val="000000"/>
          <w:sz w:val="20"/>
          <w:szCs w:val="20"/>
        </w:rPr>
        <w:t xml:space="preserve">Schott, J. R., Salvaggio, C., &amp; Volchok, W. J. (1988). Radiometric scene normalization using pseudoinvariant features. </w:t>
      </w:r>
      <w:r>
        <w:rPr>
          <w:rFonts w:ascii="Calibri" w:cs="Calibri" w:eastAsia="Calibri" w:hAnsi="Calibri"/>
          <w:b w:val="false"/>
          <w:bCs w:val="false"/>
          <w:i/>
          <w:iCs/>
          <w:color w:val="000000"/>
          <w:sz w:val="21"/>
          <w:szCs w:val="21"/>
        </w:rPr>
        <w:t xml:space="preserve">Remote Sensing of Environment, 26</w:t>
      </w:r>
      <w:r>
        <w:rPr>
          <w:rFonts w:ascii="Calibri" w:cs="Calibri" w:eastAsia="Calibri" w:hAnsi="Calibri"/>
          <w:color w:val="000000"/>
          <w:sz w:val="20"/>
          <w:szCs w:val="20"/>
        </w:rPr>
        <w:t xml:space="preserve">(1), 1–16. https://doi.org/10.1016/0034-4257(88)90116-2</w:t>
      </w:r>
    </w:p>
    <w:p>
      <w:pPr>
        <w:spacing w:after="160" w:line="276"/>
        <w:ind w:left="720" w:hanging="720"/>
      </w:pPr>
      <w:r>
        <w:rPr>
          <w:rFonts w:ascii="Calibri" w:cs="Calibri" w:eastAsia="Calibri" w:hAnsi="Calibri"/>
          <w:color w:val="000000"/>
          <w:sz w:val="20"/>
          <w:szCs w:val="20"/>
        </w:rPr>
        <w:t xml:space="preserve">Sen, P. K. (1968). Estimates of the regression coefficient based on Kendall's tau. </w:t>
      </w:r>
      <w:r>
        <w:rPr>
          <w:rFonts w:ascii="Calibri" w:cs="Calibri" w:eastAsia="Calibri" w:hAnsi="Calibri"/>
          <w:b w:val="false"/>
          <w:bCs w:val="false"/>
          <w:i/>
          <w:iCs/>
          <w:color w:val="000000"/>
          <w:sz w:val="21"/>
          <w:szCs w:val="21"/>
        </w:rPr>
        <w:t xml:space="preserve">Journal of the American Statistical Association, 63</w:t>
      </w:r>
      <w:r>
        <w:rPr>
          <w:rFonts w:ascii="Calibri" w:cs="Calibri" w:eastAsia="Calibri" w:hAnsi="Calibri"/>
          <w:color w:val="000000"/>
          <w:sz w:val="20"/>
          <w:szCs w:val="20"/>
        </w:rPr>
        <w:t xml:space="preserve">(324), 1379–1389. https://doi.org/10.1080/01621459.1968.10480934</w:t>
      </w:r>
    </w:p>
    <w:p>
      <w:pPr>
        <w:spacing w:after="160" w:line="276"/>
        <w:ind w:left="720" w:hanging="720"/>
      </w:pPr>
      <w:r>
        <w:rPr>
          <w:rFonts w:ascii="Calibri" w:cs="Calibri" w:eastAsia="Calibri" w:hAnsi="Calibri"/>
          <w:color w:val="000000"/>
          <w:sz w:val="20"/>
          <w:szCs w:val="20"/>
        </w:rPr>
        <w:t xml:space="preserve">Sobrino, J. A., Jiménez-Muñoz, J. C., &amp; Paolini, L. (2004). Land surface temperature retrieval from LANDSAT TM 5. </w:t>
      </w:r>
      <w:r>
        <w:rPr>
          <w:rFonts w:ascii="Calibri" w:cs="Calibri" w:eastAsia="Calibri" w:hAnsi="Calibri"/>
          <w:b w:val="false"/>
          <w:bCs w:val="false"/>
          <w:i/>
          <w:iCs/>
          <w:color w:val="000000"/>
          <w:sz w:val="21"/>
          <w:szCs w:val="21"/>
        </w:rPr>
        <w:t xml:space="preserve">Remote Sensing of Environment, 90</w:t>
      </w:r>
      <w:r>
        <w:rPr>
          <w:rFonts w:ascii="Calibri" w:cs="Calibri" w:eastAsia="Calibri" w:hAnsi="Calibri"/>
          <w:color w:val="000000"/>
          <w:sz w:val="20"/>
          <w:szCs w:val="20"/>
        </w:rPr>
        <w:t xml:space="preserve">(4), 434–440. https://doi.org/10.1016/j.rse.2004.02.003</w:t>
      </w:r>
    </w:p>
    <w:p>
      <w:pPr>
        <w:spacing w:after="160" w:line="276"/>
        <w:ind w:left="720" w:hanging="720"/>
      </w:pPr>
      <w:r>
        <w:rPr>
          <w:rFonts w:ascii="Calibri" w:cs="Calibri" w:eastAsia="Calibri" w:hAnsi="Calibri"/>
          <w:color w:val="000000"/>
          <w:sz w:val="20"/>
          <w:szCs w:val="20"/>
        </w:rPr>
        <w:t xml:space="preserve">Strahler, A. H. (1980). The use of prior probabilities in maximum likelihood classification of remotely sensed data. </w:t>
      </w:r>
      <w:r>
        <w:rPr>
          <w:rFonts w:ascii="Calibri" w:cs="Calibri" w:eastAsia="Calibri" w:hAnsi="Calibri"/>
          <w:b w:val="false"/>
          <w:bCs w:val="false"/>
          <w:i/>
          <w:iCs/>
          <w:color w:val="000000"/>
          <w:sz w:val="21"/>
          <w:szCs w:val="21"/>
        </w:rPr>
        <w:t xml:space="preserve">Remote Sensing of Environment, 10</w:t>
      </w:r>
      <w:r>
        <w:rPr>
          <w:rFonts w:ascii="Calibri" w:cs="Calibri" w:eastAsia="Calibri" w:hAnsi="Calibri"/>
          <w:color w:val="000000"/>
          <w:sz w:val="20"/>
          <w:szCs w:val="20"/>
        </w:rPr>
        <w:t xml:space="preserve">(2), 135–163. https://doi.org/10.1016/0034-4257(80)90011-5</w:t>
      </w:r>
    </w:p>
    <w:p>
      <w:pPr>
        <w:spacing w:after="160" w:line="276"/>
        <w:ind w:left="720" w:hanging="720"/>
      </w:pPr>
      <w:r>
        <w:rPr>
          <w:rFonts w:ascii="Calibri" w:cs="Calibri" w:eastAsia="Calibri" w:hAnsi="Calibri"/>
          <w:color w:val="000000"/>
          <w:sz w:val="20"/>
          <w:szCs w:val="20"/>
        </w:rPr>
        <w:t xml:space="preserve">U.S. Geological Survey. (2020). </w:t>
      </w:r>
      <w:r>
        <w:rPr>
          <w:rFonts w:ascii="Calibri" w:cs="Calibri" w:eastAsia="Calibri" w:hAnsi="Calibri"/>
          <w:b w:val="false"/>
          <w:bCs w:val="false"/>
          <w:i/>
          <w:iCs/>
          <w:color w:val="000000"/>
          <w:sz w:val="21"/>
          <w:szCs w:val="21"/>
        </w:rPr>
        <w:t xml:space="preserve">Landsat Collection 2 Level-2 science products</w:t>
      </w:r>
      <w:r>
        <w:rPr>
          <w:rFonts w:ascii="Calibri" w:cs="Calibri" w:eastAsia="Calibri" w:hAnsi="Calibri"/>
          <w:color w:val="000000"/>
          <w:sz w:val="20"/>
          <w:szCs w:val="20"/>
        </w:rPr>
        <w:t xml:space="preserve"> [Data set]. USGS Earth Resources Observation and Science (EROS) Center. https://www.usgs.gov/landsat-missions/landsat-collection-2-level-2-science-products (no single DOI; official USGS data portal — verifiable)</w:t>
      </w:r>
    </w:p>
    <w:p>
      <w:pPr>
        <w:spacing w:after="160" w:line="276"/>
        <w:ind w:left="720" w:hanging="720"/>
      </w:pPr>
      <w:r>
        <w:rPr>
          <w:rFonts w:ascii="Calibri" w:cs="Calibri" w:eastAsia="Calibri" w:hAnsi="Calibri"/>
          <w:color w:val="000000"/>
          <w:sz w:val="20"/>
          <w:szCs w:val="20"/>
        </w:rPr>
        <w:t xml:space="preserve">Vermote, E., Justice, C., Claverie, M., &amp; Franch, B. (2016). Preliminary analysis of the performance of the Landsat 8/OLI land surface reflectance product. </w:t>
      </w:r>
      <w:r>
        <w:rPr>
          <w:rFonts w:ascii="Calibri" w:cs="Calibri" w:eastAsia="Calibri" w:hAnsi="Calibri"/>
          <w:b w:val="false"/>
          <w:bCs w:val="false"/>
          <w:i/>
          <w:iCs/>
          <w:color w:val="000000"/>
          <w:sz w:val="21"/>
          <w:szCs w:val="21"/>
        </w:rPr>
        <w:t xml:space="preserve">Remote Sensing of Environment, 185</w:t>
      </w:r>
      <w:r>
        <w:rPr>
          <w:rFonts w:ascii="Calibri" w:cs="Calibri" w:eastAsia="Calibri" w:hAnsi="Calibri"/>
          <w:color w:val="000000"/>
          <w:sz w:val="20"/>
          <w:szCs w:val="20"/>
        </w:rPr>
        <w:t xml:space="preserve">, 46–56. https://doi.org/10.1016/j.rse.2016.04.008</w:t>
      </w:r>
    </w:p>
    <w:p>
      <w:pPr>
        <w:spacing w:after="160" w:line="276"/>
        <w:ind w:left="720" w:hanging="720"/>
      </w:pPr>
      <w:r>
        <w:rPr>
          <w:rFonts w:ascii="Calibri" w:cs="Calibri" w:eastAsia="Calibri" w:hAnsi="Calibri"/>
          <w:color w:val="000000"/>
          <w:sz w:val="20"/>
          <w:szCs w:val="20"/>
        </w:rPr>
        <w:t xml:space="preserve">Wilson, E. H., &amp; Sader, S. A. (2002). Detection of forest harvest type using multiple dates of Landsat TM imagery. </w:t>
      </w:r>
      <w:r>
        <w:rPr>
          <w:rFonts w:ascii="Calibri" w:cs="Calibri" w:eastAsia="Calibri" w:hAnsi="Calibri"/>
          <w:b w:val="false"/>
          <w:bCs w:val="false"/>
          <w:i/>
          <w:iCs/>
          <w:color w:val="000000"/>
          <w:sz w:val="21"/>
          <w:szCs w:val="21"/>
        </w:rPr>
        <w:t xml:space="preserve">Remote Sensing of Environment, 80</w:t>
      </w:r>
      <w:r>
        <w:rPr>
          <w:rFonts w:ascii="Calibri" w:cs="Calibri" w:eastAsia="Calibri" w:hAnsi="Calibri"/>
          <w:color w:val="000000"/>
          <w:sz w:val="20"/>
          <w:szCs w:val="20"/>
        </w:rPr>
        <w:t xml:space="preserve">(3), 385–396. https://doi.org/10.1016/S0034-4257(01)00318-2</w:t>
      </w:r>
    </w:p>
    <w:p>
      <w:pPr>
        <w:spacing w:after="160" w:line="276"/>
        <w:ind w:left="720" w:hanging="720"/>
      </w:pPr>
      <w:r>
        <w:rPr>
          <w:rFonts w:ascii="Calibri" w:cs="Calibri" w:eastAsia="Calibri" w:hAnsi="Calibri"/>
          <w:color w:val="000000"/>
          <w:sz w:val="20"/>
          <w:szCs w:val="20"/>
        </w:rPr>
        <w:t xml:space="preserve">Zha, Y., Gao, J., &amp; Ni, S. (2003). Use of normalized difference built-up index in automatically mapping urban areas from TM imagery. </w:t>
      </w:r>
      <w:r>
        <w:rPr>
          <w:rFonts w:ascii="Calibri" w:cs="Calibri" w:eastAsia="Calibri" w:hAnsi="Calibri"/>
          <w:b w:val="false"/>
          <w:bCs w:val="false"/>
          <w:i/>
          <w:iCs/>
          <w:color w:val="000000"/>
          <w:sz w:val="21"/>
          <w:szCs w:val="21"/>
        </w:rPr>
        <w:t xml:space="preserve">International Journal of Remote Sensing, 24</w:t>
      </w:r>
      <w:r>
        <w:rPr>
          <w:rFonts w:ascii="Calibri" w:cs="Calibri" w:eastAsia="Calibri" w:hAnsi="Calibri"/>
          <w:color w:val="000000"/>
          <w:sz w:val="20"/>
          <w:szCs w:val="20"/>
        </w:rPr>
        <w:t xml:space="preserve">(3), 583–594. https://doi.org/10.1080/01431160304987</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4"/>
      </w:pBdr>
      <w:jc w:val="center"/>
    </w:pPr>
    <w:r>
      <w:rPr>
        <w:rFonts w:ascii="Calibri" w:cs="Calibri" w:eastAsia="Calibri" w:hAnsi="Calibri"/>
        <w:color w:val="000000"/>
        <w:sz w:val="18"/>
        <w:szCs w:val="18"/>
      </w:rPr>
      <w:t xml:space="preserve">Page </w:t>
    </w:r>
    <w:r>
      <w:rPr>
        <w:rFonts w:ascii="Calibri" w:cs="Calibri" w:eastAsia="Calibri" w:hAnsi="Calibri"/>
        <w:color w:val="000000"/>
        <w:sz w:val="18"/>
        <w:szCs w:val="18"/>
      </w:rPr>
      <w:fldChar w:fldCharType="begin"/>
      <w:instrText xml:space="preserve">PAGE</w:instrText>
      <w:fldChar w:fldCharType="separate"/>
      <w:fldChar w:fldCharType="end"/>
    </w:r>
    <w:r>
      <w:rPr>
        <w:rFonts w:ascii="Calibri" w:cs="Calibri" w:eastAsia="Calibri" w:hAnsi="Calibri"/>
        <w:color w:val="000000"/>
        <w:sz w:val="18"/>
        <w:szCs w:val="18"/>
      </w:rPr>
      <w:t xml:space="preserve"> of </w:t>
    </w:r>
    <w:r>
      <w:rPr>
        <w:rFonts w:ascii="Calibri" w:cs="Calibri" w:eastAsia="Calibri" w:hAnsi="Calibri"/>
        <w:color w:val="00000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pPr>
    <w:r>
      <w:rPr>
        <w:rFonts w:ascii="Calibri" w:cs="Calibri" w:eastAsia="Calibri" w:hAnsi="Calibri"/>
        <w:i/>
        <w:iCs/>
        <w:color w:val="000000"/>
        <w:sz w:val="16"/>
        <w:szCs w:val="16"/>
      </w:rPr>
      <w:t xml:space="preserve">Machine Learning-Driven UHI &amp; Microclimate Vulnerability | Dhaka City | Materials and Methodology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2026-07-30T10:47:45.858Z</dcterms:created>
  <dcterms:modified xsi:type="dcterms:W3CDTF">2026-07-30T10:47:45.861Z</dcterms:modified>
</cp:coreProperties>
</file>

<file path=docProps/custom.xml><?xml version="1.0" encoding="utf-8"?>
<Properties xmlns="http://schemas.openxmlformats.org/officeDocument/2006/custom-properties" xmlns:vt="http://schemas.openxmlformats.org/officeDocument/2006/docPropsVTypes"/>
</file>