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66D" w:rsidRDefault="002E666D" w:rsidP="00BD31DA">
      <w:pPr>
        <w:jc w:val="center"/>
      </w:pPr>
    </w:p>
    <w:p w:rsidR="00BD31DA" w:rsidRDefault="00BD31DA" w:rsidP="00BD31DA">
      <w:pPr>
        <w:jc w:val="center"/>
        <w:rPr>
          <w:b/>
          <w:u w:val="single"/>
        </w:rPr>
      </w:pPr>
      <w:r>
        <w:rPr>
          <w:b/>
          <w:u w:val="single"/>
        </w:rPr>
        <w:t xml:space="preserve">Stereochemistry of Alkene Additions: addition of Bromine to </w:t>
      </w:r>
      <w:r>
        <w:rPr>
          <w:b/>
          <w:i/>
          <w:u w:val="single"/>
        </w:rPr>
        <w:t>trans-</w:t>
      </w:r>
      <w:proofErr w:type="spellStart"/>
      <w:r>
        <w:rPr>
          <w:b/>
          <w:u w:val="single"/>
        </w:rPr>
        <w:t>Cinnamic</w:t>
      </w:r>
      <w:proofErr w:type="spellEnd"/>
      <w:r>
        <w:rPr>
          <w:b/>
          <w:u w:val="single"/>
        </w:rPr>
        <w:t xml:space="preserve"> Acid</w:t>
      </w:r>
    </w:p>
    <w:p w:rsidR="00BD31DA" w:rsidRDefault="00BD31DA" w:rsidP="00BD31DA">
      <w:pPr>
        <w:jc w:val="center"/>
        <w:rPr>
          <w:b/>
          <w:u w:val="single"/>
        </w:rPr>
      </w:pPr>
    </w:p>
    <w:p w:rsidR="00BD31DA" w:rsidRDefault="00BD31DA" w:rsidP="00BD31DA">
      <w:pPr>
        <w:jc w:val="center"/>
        <w:rPr>
          <w:b/>
          <w:u w:val="single"/>
        </w:rPr>
      </w:pPr>
    </w:p>
    <w:p w:rsidR="00BD31DA" w:rsidRDefault="00BD31DA" w:rsidP="00BD31DA">
      <w:pPr>
        <w:rPr>
          <w:b/>
        </w:rPr>
      </w:pPr>
      <w:r>
        <w:rPr>
          <w:b/>
        </w:rPr>
        <w:t>Observations</w:t>
      </w:r>
    </w:p>
    <w:p w:rsidR="00BD31DA" w:rsidRDefault="005235F9" w:rsidP="005235F9">
      <w:pPr>
        <w:pStyle w:val="ListParagraph"/>
        <w:numPr>
          <w:ilvl w:val="0"/>
          <w:numId w:val="2"/>
        </w:numPr>
        <w:rPr>
          <w:b/>
        </w:rPr>
      </w:pPr>
      <w:r>
        <w:rPr>
          <w:noProof/>
        </w:rPr>
        <w:drawing>
          <wp:inline distT="0" distB="0" distL="0" distR="0" wp14:anchorId="7D2FF79A" wp14:editId="343AB9DE">
            <wp:extent cx="3243024" cy="36195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1104_212118.jpg"/>
                    <pic:cNvPicPr/>
                  </pic:nvPicPr>
                  <pic:blipFill>
                    <a:blip r:embed="rId8">
                      <a:extLst>
                        <a:ext uri="{28A0092B-C50C-407E-A947-70E740481C1C}">
                          <a14:useLocalDpi xmlns:a14="http://schemas.microsoft.com/office/drawing/2010/main" val="0"/>
                        </a:ext>
                      </a:extLst>
                    </a:blip>
                    <a:stretch>
                      <a:fillRect/>
                    </a:stretch>
                  </pic:blipFill>
                  <pic:spPr>
                    <a:xfrm>
                      <a:off x="0" y="0"/>
                      <a:ext cx="3243024" cy="3619500"/>
                    </a:xfrm>
                    <a:prstGeom prst="rect">
                      <a:avLst/>
                    </a:prstGeom>
                  </pic:spPr>
                </pic:pic>
              </a:graphicData>
            </a:graphic>
          </wp:inline>
        </w:drawing>
      </w:r>
    </w:p>
    <w:p w:rsidR="005235F9" w:rsidRPr="005235F9" w:rsidRDefault="005235F9" w:rsidP="005235F9">
      <w:pPr>
        <w:pStyle w:val="ListParagraph"/>
        <w:numPr>
          <w:ilvl w:val="0"/>
          <w:numId w:val="2"/>
        </w:numPr>
        <w:rPr>
          <w:b/>
        </w:rPr>
      </w:pPr>
      <w:r>
        <w:t xml:space="preserve">It was a little unclear to me when and how much with what amount were we supposed to add Bromine. </w:t>
      </w:r>
    </w:p>
    <w:p w:rsidR="005235F9" w:rsidRPr="005235F9" w:rsidRDefault="005235F9" w:rsidP="005235F9">
      <w:pPr>
        <w:pStyle w:val="ListParagraph"/>
        <w:numPr>
          <w:ilvl w:val="0"/>
          <w:numId w:val="2"/>
        </w:numPr>
        <w:rPr>
          <w:b/>
        </w:rPr>
      </w:pPr>
      <w:r>
        <w:t xml:space="preserve">I let it run for around 20 minutes in total as I wasn’t sure that I had to add all the bromine, thus it ran for another 10 minutes after the </w:t>
      </w:r>
      <w:proofErr w:type="gramStart"/>
      <w:r>
        <w:t>10 minute</w:t>
      </w:r>
      <w:proofErr w:type="gramEnd"/>
      <w:r>
        <w:t xml:space="preserve"> line (when bromine was added).</w:t>
      </w:r>
    </w:p>
    <w:p w:rsidR="005235F9" w:rsidRPr="005235F9" w:rsidRDefault="005235F9" w:rsidP="005235F9">
      <w:pPr>
        <w:pStyle w:val="ListParagraph"/>
        <w:numPr>
          <w:ilvl w:val="0"/>
          <w:numId w:val="2"/>
        </w:numPr>
        <w:rPr>
          <w:b/>
        </w:rPr>
      </w:pPr>
      <w:r>
        <w:t xml:space="preserve">Also when the bromine was added to the apparatus, it was added a little too fast. Thus the bromine color came up to the </w:t>
      </w:r>
      <w:proofErr w:type="spellStart"/>
      <w:r>
        <w:t>claisen</w:t>
      </w:r>
      <w:proofErr w:type="spellEnd"/>
      <w:r>
        <w:t xml:space="preserve"> adaptor. I’m not sure if that had any effect on the percent yield or the efficiency of the whole lab experiment.  Thus, I did a second trial and recycled all the data of the first trial. </w:t>
      </w:r>
      <w:bookmarkStart w:id="0" w:name="_GoBack"/>
      <w:bookmarkEnd w:id="0"/>
    </w:p>
    <w:p w:rsidR="00BD31DA" w:rsidRDefault="00BD31DA" w:rsidP="00BD31DA">
      <w:pPr>
        <w:rPr>
          <w:b/>
        </w:rPr>
      </w:pPr>
      <w:r>
        <w:rPr>
          <w:b/>
        </w:rPr>
        <w:t>Calculations</w:t>
      </w:r>
    </w:p>
    <w:p w:rsidR="00BD31DA" w:rsidRDefault="00BD31DA" w:rsidP="00BD31DA">
      <w:pPr>
        <w:pStyle w:val="ListParagraph"/>
        <w:numPr>
          <w:ilvl w:val="0"/>
          <w:numId w:val="1"/>
        </w:numPr>
      </w:pPr>
      <w:r>
        <w:t>Melting point (Product</w:t>
      </w:r>
      <w:proofErr w:type="gramStart"/>
      <w:r>
        <w:t>) :</w:t>
      </w:r>
      <w:proofErr w:type="gramEnd"/>
      <w:r>
        <w:t xml:space="preserve"> 201-203 </w:t>
      </w:r>
      <w:proofErr w:type="spellStart"/>
      <w:r>
        <w:rPr>
          <w:vertAlign w:val="superscript"/>
        </w:rPr>
        <w:t>o</w:t>
      </w:r>
      <w:r>
        <w:t>C</w:t>
      </w:r>
      <w:proofErr w:type="spellEnd"/>
      <w:r>
        <w:t xml:space="preserve"> </w:t>
      </w:r>
    </w:p>
    <w:p w:rsidR="00BD31DA" w:rsidRDefault="00BD31DA" w:rsidP="00BD31DA">
      <w:pPr>
        <w:pStyle w:val="ListParagraph"/>
        <w:numPr>
          <w:ilvl w:val="0"/>
          <w:numId w:val="1"/>
        </w:numPr>
      </w:pPr>
      <w:r>
        <w:t xml:space="preserve">Percent yield: </w:t>
      </w:r>
      <m:oMath>
        <m:f>
          <m:fPr>
            <m:ctrlPr>
              <w:rPr>
                <w:rFonts w:ascii="Cambria Math" w:hAnsi="Cambria Math"/>
                <w:i/>
              </w:rPr>
            </m:ctrlPr>
          </m:fPr>
          <m:num>
            <m:r>
              <w:rPr>
                <w:rFonts w:ascii="Cambria Math" w:hAnsi="Cambria Math"/>
              </w:rPr>
              <m:t>measured mass product</m:t>
            </m:r>
          </m:num>
          <m:den>
            <m:r>
              <w:rPr>
                <w:rFonts w:ascii="Cambria Math" w:hAnsi="Cambria Math"/>
              </w:rPr>
              <m:t>measured mass reactant</m:t>
            </m:r>
          </m:den>
        </m:f>
        <m:r>
          <w:rPr>
            <w:rFonts w:ascii="Cambria Math" w:hAnsi="Cambria Math"/>
          </w:rPr>
          <m:t>*100%</m:t>
        </m:r>
      </m:oMath>
    </w:p>
    <w:p w:rsidR="00BD31DA" w:rsidRDefault="00BD31DA" w:rsidP="00BD31DA">
      <w:pPr>
        <w:pStyle w:val="ListParagraph"/>
        <w:numPr>
          <w:ilvl w:val="1"/>
          <w:numId w:val="1"/>
        </w:numPr>
      </w:pPr>
      <m:oMath>
        <m:f>
          <m:fPr>
            <m:ctrlPr>
              <w:rPr>
                <w:rFonts w:ascii="Cambria Math" w:hAnsi="Cambria Math"/>
                <w:i/>
              </w:rPr>
            </m:ctrlPr>
          </m:fPr>
          <m:num>
            <m:r>
              <w:rPr>
                <w:rFonts w:ascii="Cambria Math" w:hAnsi="Cambria Math"/>
              </w:rPr>
              <m:t>0.03g</m:t>
            </m:r>
          </m:num>
          <m:den>
            <m:r>
              <w:rPr>
                <w:rFonts w:ascii="Cambria Math" w:hAnsi="Cambria Math"/>
              </w:rPr>
              <m:t>0.298g trans-cinnamic acid</m:t>
            </m:r>
          </m:den>
        </m:f>
        <m:r>
          <w:rPr>
            <w:rFonts w:ascii="Cambria Math" w:hAnsi="Cambria Math"/>
          </w:rPr>
          <m:t>*100%=10.10% yield</m:t>
        </m:r>
      </m:oMath>
      <w:r>
        <w:t xml:space="preserve"> </w:t>
      </w:r>
      <w:proofErr w:type="gramStart"/>
      <w:r>
        <w:t>of</w:t>
      </w:r>
      <w:proofErr w:type="gramEnd"/>
      <w:r>
        <w:t xml:space="preserve"> 2,3-dibromo-3-phenylpropanoicacid</w:t>
      </w:r>
    </w:p>
    <w:p w:rsidR="00BD31DA" w:rsidRPr="00BD31DA" w:rsidRDefault="00BD31DA" w:rsidP="00BD31DA"/>
    <w:p w:rsidR="00BD31DA" w:rsidRDefault="00BD31DA" w:rsidP="00BD31DA">
      <w:pPr>
        <w:rPr>
          <w:b/>
        </w:rPr>
      </w:pPr>
      <w:r>
        <w:rPr>
          <w:b/>
        </w:rPr>
        <w:lastRenderedPageBreak/>
        <w:t>Discussion and Results</w:t>
      </w:r>
    </w:p>
    <w:p w:rsidR="00BD31DA" w:rsidRDefault="00BD31DA" w:rsidP="00BD31DA">
      <w:pPr>
        <w:rPr>
          <w:b/>
        </w:rPr>
      </w:pPr>
    </w:p>
    <w:p w:rsidR="005235F9" w:rsidRPr="005235F9" w:rsidRDefault="006F480C" w:rsidP="005235F9">
      <w:r>
        <w:rPr>
          <w:b/>
        </w:rPr>
        <w:tab/>
      </w:r>
      <w:r>
        <w:t xml:space="preserve">In conclusion, this lab perfectly administered the method of refluxing to perform an addition reaction. Refluxing was necessary for this reaction to provide energy, allowing it to react at fair rate with the heat, increasing the rate of reaction and the magnetic stirrer allowing it to be more efficient. </w:t>
      </w:r>
      <w:r w:rsidR="007E1788">
        <w:t>However, the percent yield seemed to be fairly low for this reaction, at 10.01%, due to the fact that all the trans-</w:t>
      </w:r>
      <w:proofErr w:type="spellStart"/>
      <w:r w:rsidR="007E1788">
        <w:t>cinnamic</w:t>
      </w:r>
      <w:proofErr w:type="spellEnd"/>
      <w:r w:rsidR="007E1788">
        <w:t xml:space="preserve"> acid was removed from the system, with the TLC test being the evidence of it. Maybe, some gaseous trans-</w:t>
      </w:r>
      <w:proofErr w:type="spellStart"/>
      <w:r w:rsidR="007E1788">
        <w:t>cinnamic</w:t>
      </w:r>
      <w:proofErr w:type="spellEnd"/>
      <w:r w:rsidR="007E1788">
        <w:t xml:space="preserve"> acid escaped the hood while the perfect temperature for reflux was being established. In addition, while cleaning the glassware at the end of the lab experiment, the sides of the glassware had some substance left, which quiet possibly could be the remaining trans-</w:t>
      </w:r>
      <w:proofErr w:type="spellStart"/>
      <w:r w:rsidR="007E1788">
        <w:t>cinnamic</w:t>
      </w:r>
      <w:proofErr w:type="spellEnd"/>
      <w:r w:rsidR="007E1788">
        <w:t xml:space="preserve"> acid. Various different eluting solvent systems were run with the TLC plates while reflux was occurring, so that the system that separates the standards the best suitable would</w:t>
      </w:r>
      <w:r w:rsidR="005235F9">
        <w:t xml:space="preserve"> be run with the final product. Depending on the mix of solvents with different concentrations of ethyl acetate and hexanes, the TLC plate will have the different standards climb to different heights. If a solvent is more </w:t>
      </w:r>
      <w:proofErr w:type="gramStart"/>
      <w:r w:rsidR="005235F9">
        <w:t>polar</w:t>
      </w:r>
      <w:proofErr w:type="gramEnd"/>
      <w:r w:rsidR="005235F9">
        <w:t xml:space="preserve">, it is more likely to absorb the polar surface of the TLC plate in place of the compounds being spotted. That would allow the spotted compounds to climb higher on the TLC plate. The solvent mixture that qualitatively worked the best in this lab was the 70:30 mixture of ethyl acetate to hexane. </w:t>
      </w:r>
      <w:r w:rsidR="005235F9" w:rsidRPr="005235F9">
        <w:t xml:space="preserve">The final TLC was run with 70:30 solvent </w:t>
      </w:r>
      <w:r w:rsidR="005235F9" w:rsidRPr="005235F9">
        <w:rPr>
          <w:lang w:val="es-ES"/>
        </w:rPr>
        <w:t xml:space="preserve">as </w:t>
      </w:r>
      <w:proofErr w:type="spellStart"/>
      <w:r w:rsidR="005235F9" w:rsidRPr="005235F9">
        <w:rPr>
          <w:lang w:val="es-ES"/>
        </w:rPr>
        <w:t>that</w:t>
      </w:r>
      <w:proofErr w:type="spellEnd"/>
      <w:r w:rsidR="005235F9" w:rsidRPr="005235F9">
        <w:rPr>
          <w:lang w:val="es-ES"/>
        </w:rPr>
        <w:t xml:space="preserve"> </w:t>
      </w:r>
      <w:proofErr w:type="spellStart"/>
      <w:r w:rsidR="005235F9" w:rsidRPr="005235F9">
        <w:rPr>
          <w:lang w:val="es-ES"/>
        </w:rPr>
        <w:t>is</w:t>
      </w:r>
      <w:proofErr w:type="spellEnd"/>
      <w:r w:rsidR="005235F9" w:rsidRPr="005235F9">
        <w:rPr>
          <w:lang w:val="es-ES"/>
        </w:rPr>
        <w:t xml:space="preserve"> </w:t>
      </w:r>
      <w:proofErr w:type="spellStart"/>
      <w:r w:rsidR="005235F9" w:rsidRPr="005235F9">
        <w:rPr>
          <w:lang w:val="es-ES"/>
        </w:rPr>
        <w:t>what</w:t>
      </w:r>
      <w:proofErr w:type="spellEnd"/>
      <w:r w:rsidR="005235F9" w:rsidRPr="005235F9">
        <w:rPr>
          <w:lang w:val="es-ES"/>
        </w:rPr>
        <w:t xml:space="preserve"> I </w:t>
      </w:r>
      <w:proofErr w:type="spellStart"/>
      <w:r w:rsidR="005235F9" w:rsidRPr="005235F9">
        <w:rPr>
          <w:lang w:val="es-ES"/>
        </w:rPr>
        <w:t>felt</w:t>
      </w:r>
      <w:proofErr w:type="spellEnd"/>
      <w:r w:rsidR="005235F9" w:rsidRPr="005235F9">
        <w:rPr>
          <w:lang w:val="es-ES"/>
        </w:rPr>
        <w:t xml:space="preserve"> </w:t>
      </w:r>
      <w:proofErr w:type="spellStart"/>
      <w:r w:rsidR="005235F9" w:rsidRPr="005235F9">
        <w:rPr>
          <w:lang w:val="es-ES"/>
        </w:rPr>
        <w:t>had</w:t>
      </w:r>
      <w:proofErr w:type="spellEnd"/>
      <w:r w:rsidR="005235F9" w:rsidRPr="005235F9">
        <w:rPr>
          <w:lang w:val="es-ES"/>
        </w:rPr>
        <w:t xml:space="preserve"> </w:t>
      </w:r>
      <w:proofErr w:type="spellStart"/>
      <w:r w:rsidR="005235F9" w:rsidRPr="005235F9">
        <w:rPr>
          <w:lang w:val="es-ES"/>
        </w:rPr>
        <w:t>the</w:t>
      </w:r>
      <w:proofErr w:type="spellEnd"/>
      <w:r w:rsidR="005235F9" w:rsidRPr="005235F9">
        <w:rPr>
          <w:lang w:val="es-ES"/>
        </w:rPr>
        <w:t xml:space="preserve"> </w:t>
      </w:r>
      <w:proofErr w:type="spellStart"/>
      <w:r w:rsidR="005235F9" w:rsidRPr="005235F9">
        <w:rPr>
          <w:lang w:val="es-ES"/>
        </w:rPr>
        <w:t>clearest</w:t>
      </w:r>
      <w:proofErr w:type="spellEnd"/>
      <w:r w:rsidR="005235F9" w:rsidRPr="005235F9">
        <w:rPr>
          <w:lang w:val="es-ES"/>
        </w:rPr>
        <w:t xml:space="preserve"> </w:t>
      </w:r>
      <w:proofErr w:type="spellStart"/>
      <w:r w:rsidR="005235F9" w:rsidRPr="005235F9">
        <w:rPr>
          <w:lang w:val="es-ES"/>
        </w:rPr>
        <w:t>separation</w:t>
      </w:r>
      <w:proofErr w:type="spellEnd"/>
      <w:r w:rsidR="005235F9" w:rsidRPr="005235F9">
        <w:rPr>
          <w:lang w:val="es-ES"/>
        </w:rPr>
        <w:t xml:space="preserve"> of </w:t>
      </w:r>
      <w:proofErr w:type="spellStart"/>
      <w:r w:rsidR="005235F9" w:rsidRPr="005235F9">
        <w:rPr>
          <w:lang w:val="es-ES"/>
        </w:rPr>
        <w:t>the</w:t>
      </w:r>
      <w:proofErr w:type="spellEnd"/>
      <w:r w:rsidR="005235F9" w:rsidRPr="005235F9">
        <w:rPr>
          <w:lang w:val="es-ES"/>
        </w:rPr>
        <w:t xml:space="preserve"> </w:t>
      </w:r>
      <w:proofErr w:type="spellStart"/>
      <w:r w:rsidR="005235F9" w:rsidRPr="005235F9">
        <w:rPr>
          <w:lang w:val="es-ES"/>
        </w:rPr>
        <w:t>two</w:t>
      </w:r>
      <w:proofErr w:type="spellEnd"/>
      <w:r w:rsidR="005235F9" w:rsidRPr="005235F9">
        <w:rPr>
          <w:lang w:val="es-ES"/>
        </w:rPr>
        <w:t xml:space="preserve"> </w:t>
      </w:r>
      <w:proofErr w:type="spellStart"/>
      <w:r w:rsidR="005235F9" w:rsidRPr="005235F9">
        <w:rPr>
          <w:lang w:val="es-ES"/>
        </w:rPr>
        <w:t>standards</w:t>
      </w:r>
      <w:proofErr w:type="spellEnd"/>
      <w:r w:rsidR="005235F9" w:rsidRPr="005235F9">
        <w:rPr>
          <w:lang w:val="es-ES"/>
        </w:rPr>
        <w:t>,</w:t>
      </w:r>
      <w:r w:rsidR="005235F9" w:rsidRPr="005235F9">
        <w:t xml:space="preserve"> and </w:t>
      </w:r>
      <w:proofErr w:type="spellStart"/>
      <w:r w:rsidR="005235F9" w:rsidRPr="005235F9">
        <w:rPr>
          <w:lang w:val="es-ES"/>
        </w:rPr>
        <w:t>it</w:t>
      </w:r>
      <w:proofErr w:type="spellEnd"/>
      <w:r w:rsidR="005235F9" w:rsidRPr="005235F9">
        <w:t xml:space="preserve"> indicated that there was no more trans-</w:t>
      </w:r>
      <w:proofErr w:type="spellStart"/>
      <w:r w:rsidR="005235F9" w:rsidRPr="005235F9">
        <w:t>cinnamic</w:t>
      </w:r>
      <w:proofErr w:type="spellEnd"/>
      <w:r w:rsidR="005235F9" w:rsidRPr="005235F9">
        <w:t xml:space="preserve"> acid in the reaction pot, </w:t>
      </w:r>
      <w:r w:rsidR="005235F9" w:rsidRPr="005235F9">
        <w:rPr>
          <w:lang w:val="es-ES"/>
        </w:rPr>
        <w:t xml:space="preserve">as per </w:t>
      </w:r>
      <w:proofErr w:type="spellStart"/>
      <w:r w:rsidR="005235F9" w:rsidRPr="005235F9">
        <w:rPr>
          <w:lang w:val="es-ES"/>
        </w:rPr>
        <w:t>the</w:t>
      </w:r>
      <w:proofErr w:type="spellEnd"/>
      <w:r w:rsidR="005235F9" w:rsidRPr="005235F9">
        <w:rPr>
          <w:lang w:val="es-ES"/>
        </w:rPr>
        <w:t xml:space="preserve"> </w:t>
      </w:r>
      <w:proofErr w:type="spellStart"/>
      <w:r w:rsidR="005235F9" w:rsidRPr="005235F9">
        <w:rPr>
          <w:lang w:val="es-ES"/>
        </w:rPr>
        <w:t>drawing</w:t>
      </w:r>
      <w:proofErr w:type="spellEnd"/>
      <w:r w:rsidR="005235F9" w:rsidRPr="005235F9">
        <w:rPr>
          <w:lang w:val="es-ES"/>
        </w:rPr>
        <w:t xml:space="preserve"> in </w:t>
      </w:r>
      <w:proofErr w:type="spellStart"/>
      <w:r w:rsidR="005235F9" w:rsidRPr="005235F9">
        <w:rPr>
          <w:lang w:val="es-ES"/>
        </w:rPr>
        <w:t>the</w:t>
      </w:r>
      <w:proofErr w:type="spellEnd"/>
      <w:r w:rsidR="005235F9" w:rsidRPr="005235F9">
        <w:rPr>
          <w:lang w:val="es-ES"/>
        </w:rPr>
        <w:t xml:space="preserve"> data </w:t>
      </w:r>
      <w:proofErr w:type="spellStart"/>
      <w:r w:rsidR="005235F9" w:rsidRPr="005235F9">
        <w:rPr>
          <w:lang w:val="es-ES"/>
        </w:rPr>
        <w:t>section</w:t>
      </w:r>
      <w:proofErr w:type="spellEnd"/>
      <w:r w:rsidR="005235F9" w:rsidRPr="005235F9">
        <w:rPr>
          <w:lang w:val="es-ES"/>
        </w:rPr>
        <w:t>.</w:t>
      </w:r>
      <w:r w:rsidR="005235F9">
        <w:t xml:space="preserve"> </w:t>
      </w:r>
      <w:r w:rsidR="005235F9" w:rsidRPr="005235F9">
        <w:t xml:space="preserve">Finding the melting point of the product was another method of confirming the identity and conformation of 2,3-dibromo-3-phenylpropanoicacid. As my measured melting point is 201-203 degrees Celsius, the conformation is </w:t>
      </w:r>
      <w:proofErr w:type="spellStart"/>
      <w:r w:rsidR="005235F9" w:rsidRPr="005235F9">
        <w:t>erythro</w:t>
      </w:r>
      <w:proofErr w:type="spellEnd"/>
      <w:r w:rsidR="005235F9" w:rsidRPr="005235F9">
        <w:t xml:space="preserve">, as the literature melting point value is 202-204 degrees Celsius for it. Given this information, the recovered sample appears to be fairly pure, </w:t>
      </w:r>
      <w:proofErr w:type="spellStart"/>
      <w:r w:rsidR="005235F9" w:rsidRPr="005235F9">
        <w:rPr>
          <w:lang w:val="es-ES"/>
        </w:rPr>
        <w:t>falling</w:t>
      </w:r>
      <w:proofErr w:type="spellEnd"/>
      <w:r w:rsidR="005235F9" w:rsidRPr="005235F9">
        <w:rPr>
          <w:lang w:val="es-ES"/>
        </w:rPr>
        <w:t xml:space="preserve"> </w:t>
      </w:r>
      <w:proofErr w:type="spellStart"/>
      <w:r w:rsidR="005235F9" w:rsidRPr="005235F9">
        <w:rPr>
          <w:lang w:val="es-ES"/>
        </w:rPr>
        <w:t>within</w:t>
      </w:r>
      <w:proofErr w:type="spellEnd"/>
      <w:r w:rsidR="005235F9" w:rsidRPr="005235F9">
        <w:rPr>
          <w:lang w:val="es-ES"/>
        </w:rPr>
        <w:t xml:space="preserve"> </w:t>
      </w:r>
      <w:proofErr w:type="spellStart"/>
      <w:r w:rsidR="005235F9" w:rsidRPr="005235F9">
        <w:rPr>
          <w:lang w:val="es-ES"/>
        </w:rPr>
        <w:t>the</w:t>
      </w:r>
      <w:proofErr w:type="spellEnd"/>
      <w:r w:rsidR="005235F9" w:rsidRPr="005235F9">
        <w:rPr>
          <w:lang w:val="es-ES"/>
        </w:rPr>
        <w:t xml:space="preserve"> </w:t>
      </w:r>
      <w:proofErr w:type="spellStart"/>
      <w:r w:rsidR="005235F9" w:rsidRPr="005235F9">
        <w:rPr>
          <w:lang w:val="es-ES"/>
        </w:rPr>
        <w:t>literature</w:t>
      </w:r>
      <w:proofErr w:type="spellEnd"/>
      <w:r w:rsidR="005235F9" w:rsidRPr="005235F9">
        <w:rPr>
          <w:lang w:val="es-ES"/>
        </w:rPr>
        <w:t xml:space="preserve"> </w:t>
      </w:r>
      <w:proofErr w:type="spellStart"/>
      <w:r w:rsidR="005235F9" w:rsidRPr="005235F9">
        <w:rPr>
          <w:lang w:val="es-ES"/>
        </w:rPr>
        <w:t>value</w:t>
      </w:r>
      <w:proofErr w:type="spellEnd"/>
      <w:r w:rsidR="005235F9" w:rsidRPr="005235F9">
        <w:rPr>
          <w:lang w:val="es-ES"/>
        </w:rPr>
        <w:t xml:space="preserve"> </w:t>
      </w:r>
      <w:proofErr w:type="spellStart"/>
      <w:r w:rsidR="005235F9" w:rsidRPr="005235F9">
        <w:rPr>
          <w:lang w:val="es-ES"/>
        </w:rPr>
        <w:t>for</w:t>
      </w:r>
      <w:proofErr w:type="spellEnd"/>
      <w:r w:rsidR="005235F9" w:rsidRPr="005235F9">
        <w:rPr>
          <w:lang w:val="es-ES"/>
        </w:rPr>
        <w:t xml:space="preserve"> </w:t>
      </w:r>
      <w:proofErr w:type="spellStart"/>
      <w:r w:rsidR="005235F9" w:rsidRPr="005235F9">
        <w:rPr>
          <w:lang w:val="es-ES"/>
        </w:rPr>
        <w:t>melting</w:t>
      </w:r>
      <w:proofErr w:type="spellEnd"/>
      <w:r w:rsidR="005235F9" w:rsidRPr="005235F9">
        <w:rPr>
          <w:lang w:val="es-ES"/>
        </w:rPr>
        <w:t xml:space="preserve"> </w:t>
      </w:r>
      <w:proofErr w:type="spellStart"/>
      <w:r w:rsidR="005235F9" w:rsidRPr="005235F9">
        <w:rPr>
          <w:lang w:val="es-ES"/>
        </w:rPr>
        <w:t>point</w:t>
      </w:r>
      <w:proofErr w:type="spellEnd"/>
      <w:r w:rsidR="005235F9" w:rsidRPr="005235F9">
        <w:rPr>
          <w:lang w:val="es-ES"/>
        </w:rPr>
        <w:t xml:space="preserve"> of </w:t>
      </w:r>
      <w:proofErr w:type="spellStart"/>
      <w:r w:rsidR="005235F9" w:rsidRPr="005235F9">
        <w:rPr>
          <w:lang w:val="es-ES"/>
        </w:rPr>
        <w:t>the</w:t>
      </w:r>
      <w:proofErr w:type="spellEnd"/>
      <w:r w:rsidR="005235F9" w:rsidRPr="005235F9">
        <w:rPr>
          <w:lang w:val="es-ES"/>
        </w:rPr>
        <w:t xml:space="preserve"> </w:t>
      </w:r>
      <w:proofErr w:type="spellStart"/>
      <w:r w:rsidR="005235F9" w:rsidRPr="005235F9">
        <w:rPr>
          <w:lang w:val="es-ES"/>
        </w:rPr>
        <w:t>erythro</w:t>
      </w:r>
      <w:proofErr w:type="spellEnd"/>
      <w:r w:rsidR="005235F9" w:rsidRPr="005235F9">
        <w:rPr>
          <w:lang w:val="es-ES"/>
        </w:rPr>
        <w:t xml:space="preserve"> </w:t>
      </w:r>
      <w:proofErr w:type="spellStart"/>
      <w:r w:rsidR="005235F9" w:rsidRPr="005235F9">
        <w:rPr>
          <w:lang w:val="es-ES"/>
        </w:rPr>
        <w:t>product</w:t>
      </w:r>
      <w:proofErr w:type="spellEnd"/>
      <w:r w:rsidR="005235F9" w:rsidRPr="005235F9">
        <w:rPr>
          <w:lang w:val="es-ES"/>
        </w:rPr>
        <w:t>.</w:t>
      </w:r>
      <w:r w:rsidR="005235F9">
        <w:rPr>
          <w:lang w:val="es-ES"/>
        </w:rPr>
        <w:t xml:space="preserve"> </w:t>
      </w:r>
      <w:proofErr w:type="spellStart"/>
      <w:r w:rsidR="005235F9">
        <w:rPr>
          <w:lang w:val="es-ES"/>
        </w:rPr>
        <w:t>The</w:t>
      </w:r>
      <w:proofErr w:type="spellEnd"/>
      <w:r w:rsidR="005235F9">
        <w:rPr>
          <w:lang w:val="es-ES"/>
        </w:rPr>
        <w:t xml:space="preserve"> </w:t>
      </w:r>
      <w:proofErr w:type="spellStart"/>
      <w:r w:rsidR="005235F9">
        <w:rPr>
          <w:lang w:val="es-ES"/>
        </w:rPr>
        <w:t>objective</w:t>
      </w:r>
      <w:proofErr w:type="spellEnd"/>
      <w:r w:rsidR="005235F9">
        <w:rPr>
          <w:lang w:val="es-ES"/>
        </w:rPr>
        <w:t xml:space="preserve"> of </w:t>
      </w:r>
      <w:proofErr w:type="spellStart"/>
      <w:r w:rsidR="005235F9">
        <w:rPr>
          <w:lang w:val="es-ES"/>
        </w:rPr>
        <w:t>this</w:t>
      </w:r>
      <w:proofErr w:type="spellEnd"/>
      <w:r w:rsidR="005235F9">
        <w:rPr>
          <w:lang w:val="es-ES"/>
        </w:rPr>
        <w:t xml:space="preserve"> </w:t>
      </w:r>
      <w:proofErr w:type="spellStart"/>
      <w:r w:rsidR="005235F9">
        <w:rPr>
          <w:lang w:val="es-ES"/>
        </w:rPr>
        <w:t>lab</w:t>
      </w:r>
      <w:proofErr w:type="spellEnd"/>
      <w:r w:rsidR="005235F9">
        <w:rPr>
          <w:lang w:val="es-ES"/>
        </w:rPr>
        <w:t xml:space="preserve"> </w:t>
      </w:r>
      <w:proofErr w:type="spellStart"/>
      <w:r w:rsidR="005235F9">
        <w:rPr>
          <w:lang w:val="es-ES"/>
        </w:rPr>
        <w:t>was</w:t>
      </w:r>
      <w:proofErr w:type="spellEnd"/>
      <w:r w:rsidR="005235F9">
        <w:rPr>
          <w:lang w:val="es-ES"/>
        </w:rPr>
        <w:t xml:space="preserve"> </w:t>
      </w:r>
      <w:proofErr w:type="spellStart"/>
      <w:r w:rsidR="005235F9">
        <w:rPr>
          <w:lang w:val="es-ES"/>
        </w:rPr>
        <w:t>accomplished</w:t>
      </w:r>
      <w:proofErr w:type="spellEnd"/>
      <w:r w:rsidR="005235F9">
        <w:rPr>
          <w:lang w:val="es-ES"/>
        </w:rPr>
        <w:t xml:space="preserve">. </w:t>
      </w:r>
    </w:p>
    <w:p w:rsidR="007E1788" w:rsidRPr="006F480C" w:rsidRDefault="007E1788" w:rsidP="00BD31DA"/>
    <w:sectPr w:rsidR="007E1788" w:rsidRPr="006F480C" w:rsidSect="008570D6">
      <w:head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788" w:rsidRDefault="007E1788" w:rsidP="00BD31DA">
      <w:r>
        <w:separator/>
      </w:r>
    </w:p>
  </w:endnote>
  <w:endnote w:type="continuationSeparator" w:id="0">
    <w:p w:rsidR="007E1788" w:rsidRDefault="007E1788" w:rsidP="00BD3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788" w:rsidRDefault="007E1788" w:rsidP="00BD31DA">
      <w:r>
        <w:separator/>
      </w:r>
    </w:p>
  </w:footnote>
  <w:footnote w:type="continuationSeparator" w:id="0">
    <w:p w:rsidR="007E1788" w:rsidRDefault="007E1788" w:rsidP="00BD31D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1788" w:rsidRDefault="007E1788">
    <w:pPr>
      <w:pStyle w:val="Header"/>
    </w:pPr>
    <w:r>
      <w:t>Nishesh Shukla</w:t>
    </w:r>
  </w:p>
  <w:p w:rsidR="007E1788" w:rsidRDefault="007E1788">
    <w:pPr>
      <w:pStyle w:val="Header"/>
    </w:pPr>
    <w:r>
      <w:t>CHEM 3321 – 133</w:t>
    </w:r>
  </w:p>
  <w:p w:rsidR="007E1788" w:rsidRDefault="007E1788">
    <w:pPr>
      <w:pStyle w:val="Header"/>
    </w:pPr>
    <w:r>
      <w:t>11/05/2013</w:t>
    </w:r>
  </w:p>
  <w:p w:rsidR="007E1788" w:rsidRDefault="007E1788">
    <w:pPr>
      <w:pStyle w:val="Header"/>
    </w:pPr>
    <w:proofErr w:type="spellStart"/>
    <w:r>
      <w:t>Exp</w:t>
    </w:r>
    <w:proofErr w:type="spellEnd"/>
    <w:r>
      <w:t xml:space="preserve"> #9</w:t>
    </w:r>
  </w:p>
  <w:p w:rsidR="007E1788" w:rsidRDefault="007E1788">
    <w:pPr>
      <w:pStyle w:val="Header"/>
    </w:pPr>
    <w:r>
      <w:t>Stereochemistry of Alkene Additions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A22DC7"/>
    <w:multiLevelType w:val="hybridMultilevel"/>
    <w:tmpl w:val="DFD23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9F22A0"/>
    <w:multiLevelType w:val="hybridMultilevel"/>
    <w:tmpl w:val="F4A4E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1DA"/>
    <w:rsid w:val="002E666D"/>
    <w:rsid w:val="005235F9"/>
    <w:rsid w:val="006F480C"/>
    <w:rsid w:val="007E1788"/>
    <w:rsid w:val="008570D6"/>
    <w:rsid w:val="00BD31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572B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1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31DA"/>
    <w:pPr>
      <w:tabs>
        <w:tab w:val="center" w:pos="4320"/>
        <w:tab w:val="right" w:pos="8640"/>
      </w:tabs>
    </w:pPr>
  </w:style>
  <w:style w:type="character" w:customStyle="1" w:styleId="HeaderChar">
    <w:name w:val="Header Char"/>
    <w:basedOn w:val="DefaultParagraphFont"/>
    <w:link w:val="Header"/>
    <w:uiPriority w:val="99"/>
    <w:rsid w:val="00BD31DA"/>
  </w:style>
  <w:style w:type="paragraph" w:styleId="Footer">
    <w:name w:val="footer"/>
    <w:basedOn w:val="Normal"/>
    <w:link w:val="FooterChar"/>
    <w:uiPriority w:val="99"/>
    <w:unhideWhenUsed/>
    <w:rsid w:val="00BD31DA"/>
    <w:pPr>
      <w:tabs>
        <w:tab w:val="center" w:pos="4320"/>
        <w:tab w:val="right" w:pos="8640"/>
      </w:tabs>
    </w:pPr>
  </w:style>
  <w:style w:type="character" w:customStyle="1" w:styleId="FooterChar">
    <w:name w:val="Footer Char"/>
    <w:basedOn w:val="DefaultParagraphFont"/>
    <w:link w:val="Footer"/>
    <w:uiPriority w:val="99"/>
    <w:rsid w:val="00BD31DA"/>
  </w:style>
  <w:style w:type="paragraph" w:styleId="ListParagraph">
    <w:name w:val="List Paragraph"/>
    <w:basedOn w:val="Normal"/>
    <w:uiPriority w:val="34"/>
    <w:qFormat/>
    <w:rsid w:val="00BD31DA"/>
    <w:pPr>
      <w:ind w:left="720"/>
      <w:contextualSpacing/>
    </w:pPr>
  </w:style>
  <w:style w:type="character" w:styleId="PlaceholderText">
    <w:name w:val="Placeholder Text"/>
    <w:basedOn w:val="DefaultParagraphFont"/>
    <w:uiPriority w:val="99"/>
    <w:semiHidden/>
    <w:rsid w:val="00BD31DA"/>
    <w:rPr>
      <w:color w:val="808080"/>
    </w:rPr>
  </w:style>
  <w:style w:type="paragraph" w:styleId="BalloonText">
    <w:name w:val="Balloon Text"/>
    <w:basedOn w:val="Normal"/>
    <w:link w:val="BalloonTextChar"/>
    <w:uiPriority w:val="99"/>
    <w:semiHidden/>
    <w:unhideWhenUsed/>
    <w:rsid w:val="00BD31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31D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1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31DA"/>
    <w:pPr>
      <w:tabs>
        <w:tab w:val="center" w:pos="4320"/>
        <w:tab w:val="right" w:pos="8640"/>
      </w:tabs>
    </w:pPr>
  </w:style>
  <w:style w:type="character" w:customStyle="1" w:styleId="HeaderChar">
    <w:name w:val="Header Char"/>
    <w:basedOn w:val="DefaultParagraphFont"/>
    <w:link w:val="Header"/>
    <w:uiPriority w:val="99"/>
    <w:rsid w:val="00BD31DA"/>
  </w:style>
  <w:style w:type="paragraph" w:styleId="Footer">
    <w:name w:val="footer"/>
    <w:basedOn w:val="Normal"/>
    <w:link w:val="FooterChar"/>
    <w:uiPriority w:val="99"/>
    <w:unhideWhenUsed/>
    <w:rsid w:val="00BD31DA"/>
    <w:pPr>
      <w:tabs>
        <w:tab w:val="center" w:pos="4320"/>
        <w:tab w:val="right" w:pos="8640"/>
      </w:tabs>
    </w:pPr>
  </w:style>
  <w:style w:type="character" w:customStyle="1" w:styleId="FooterChar">
    <w:name w:val="Footer Char"/>
    <w:basedOn w:val="DefaultParagraphFont"/>
    <w:link w:val="Footer"/>
    <w:uiPriority w:val="99"/>
    <w:rsid w:val="00BD31DA"/>
  </w:style>
  <w:style w:type="paragraph" w:styleId="ListParagraph">
    <w:name w:val="List Paragraph"/>
    <w:basedOn w:val="Normal"/>
    <w:uiPriority w:val="34"/>
    <w:qFormat/>
    <w:rsid w:val="00BD31DA"/>
    <w:pPr>
      <w:ind w:left="720"/>
      <w:contextualSpacing/>
    </w:pPr>
  </w:style>
  <w:style w:type="character" w:styleId="PlaceholderText">
    <w:name w:val="Placeholder Text"/>
    <w:basedOn w:val="DefaultParagraphFont"/>
    <w:uiPriority w:val="99"/>
    <w:semiHidden/>
    <w:rsid w:val="00BD31DA"/>
    <w:rPr>
      <w:color w:val="808080"/>
    </w:rPr>
  </w:style>
  <w:style w:type="paragraph" w:styleId="BalloonText">
    <w:name w:val="Balloon Text"/>
    <w:basedOn w:val="Normal"/>
    <w:link w:val="BalloonTextChar"/>
    <w:uiPriority w:val="99"/>
    <w:semiHidden/>
    <w:unhideWhenUsed/>
    <w:rsid w:val="00BD31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31D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483</Words>
  <Characters>2756</Characters>
  <Application>Microsoft Macintosh Word</Application>
  <DocSecurity>0</DocSecurity>
  <Lines>22</Lines>
  <Paragraphs>6</Paragraphs>
  <ScaleCrop>false</ScaleCrop>
  <Company>CU Boulder</Company>
  <LinksUpToDate>false</LinksUpToDate>
  <CharactersWithSpaces>3233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Nishesh Shukla</dc:creator>
  <cp:keywords/>
  <dc:description/>
  <cp:lastModifiedBy>Nishesh Shukla</cp:lastModifiedBy>
  <cp:revision>1</cp:revision>
  <dcterms:created xsi:type="dcterms:W3CDTF">2013-11-30T22:06:00Z</dcterms:created>
  <dcterms:modified xsi:type="dcterms:W3CDTF">2013-12-01T00:23:00Z</dcterms:modified>
</cp:coreProperties>
</file>