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624" w:rsidRPr="00380B88" w:rsidRDefault="00380B88" w:rsidP="00380B88">
      <w:pPr>
        <w:jc w:val="center"/>
        <w:rPr>
          <w:b/>
          <w:sz w:val="22"/>
          <w:szCs w:val="22"/>
          <w:u w:val="single"/>
        </w:rPr>
      </w:pPr>
      <w:r w:rsidRPr="00380B88">
        <w:rPr>
          <w:b/>
          <w:sz w:val="22"/>
          <w:szCs w:val="22"/>
          <w:u w:val="single"/>
        </w:rPr>
        <w:t>Reduction of Ketones</w:t>
      </w:r>
    </w:p>
    <w:p w:rsidR="00380B88" w:rsidRPr="00380B88" w:rsidRDefault="00380B88" w:rsidP="00380B88">
      <w:pPr>
        <w:jc w:val="center"/>
        <w:rPr>
          <w:b/>
          <w:sz w:val="22"/>
          <w:szCs w:val="22"/>
          <w:u w:val="single"/>
        </w:rPr>
      </w:pPr>
    </w:p>
    <w:p w:rsidR="00380B88" w:rsidRPr="00380B88" w:rsidRDefault="00380B88" w:rsidP="00380B88">
      <w:pPr>
        <w:rPr>
          <w:b/>
          <w:sz w:val="22"/>
          <w:szCs w:val="22"/>
        </w:rPr>
      </w:pPr>
      <w:r w:rsidRPr="00380B88">
        <w:rPr>
          <w:b/>
          <w:sz w:val="22"/>
          <w:szCs w:val="22"/>
        </w:rPr>
        <w:t>Introduction</w:t>
      </w:r>
    </w:p>
    <w:p w:rsidR="00380B88" w:rsidRPr="00380B88" w:rsidRDefault="00380B88" w:rsidP="00380B88">
      <w:pPr>
        <w:rPr>
          <w:sz w:val="22"/>
          <w:szCs w:val="22"/>
        </w:rPr>
      </w:pPr>
      <w:r w:rsidRPr="00380B88">
        <w:rPr>
          <w:sz w:val="22"/>
          <w:szCs w:val="22"/>
        </w:rPr>
        <w:t xml:space="preserve">The main purpose of this </w:t>
      </w:r>
      <w:proofErr w:type="gramStart"/>
      <w:r w:rsidRPr="00380B88">
        <w:rPr>
          <w:sz w:val="22"/>
          <w:szCs w:val="22"/>
        </w:rPr>
        <w:t>lab,</w:t>
      </w:r>
      <w:proofErr w:type="gramEnd"/>
      <w:r w:rsidRPr="00380B88">
        <w:rPr>
          <w:sz w:val="22"/>
          <w:szCs w:val="22"/>
        </w:rPr>
        <w:t xml:space="preserve"> is that NaBH</w:t>
      </w:r>
      <w:r w:rsidRPr="00380B88">
        <w:rPr>
          <w:sz w:val="22"/>
          <w:szCs w:val="22"/>
          <w:vertAlign w:val="subscript"/>
        </w:rPr>
        <w:t>4</w:t>
      </w:r>
      <w:r w:rsidRPr="00380B88">
        <w:rPr>
          <w:sz w:val="22"/>
          <w:szCs w:val="22"/>
        </w:rPr>
        <w:t xml:space="preserve"> is being used to reduce </w:t>
      </w:r>
      <w:proofErr w:type="spellStart"/>
      <w:r w:rsidRPr="00380B88">
        <w:rPr>
          <w:sz w:val="22"/>
          <w:szCs w:val="22"/>
        </w:rPr>
        <w:t>benzophenone</w:t>
      </w:r>
      <w:proofErr w:type="spellEnd"/>
      <w:r w:rsidRPr="00380B88">
        <w:rPr>
          <w:sz w:val="22"/>
          <w:szCs w:val="22"/>
        </w:rPr>
        <w:t xml:space="preserve"> to </w:t>
      </w:r>
      <w:proofErr w:type="spellStart"/>
      <w:r w:rsidRPr="00380B88">
        <w:rPr>
          <w:sz w:val="22"/>
          <w:szCs w:val="22"/>
        </w:rPr>
        <w:t>benzhydrol</w:t>
      </w:r>
      <w:proofErr w:type="spellEnd"/>
      <w:r w:rsidRPr="00380B88">
        <w:rPr>
          <w:sz w:val="22"/>
          <w:szCs w:val="22"/>
        </w:rPr>
        <w:t xml:space="preserve"> (basically reduction of ketones). The process of performing a Fourier Infrared Spectroscopy and reducing carbonyls will be understood and learned. </w:t>
      </w:r>
    </w:p>
    <w:p w:rsidR="00380B88" w:rsidRPr="00380B88" w:rsidRDefault="00380B88" w:rsidP="00380B88">
      <w:pPr>
        <w:rPr>
          <w:sz w:val="22"/>
          <w:szCs w:val="22"/>
        </w:rPr>
      </w:pPr>
    </w:p>
    <w:p w:rsidR="00380B88" w:rsidRPr="00380B88" w:rsidRDefault="00380B88" w:rsidP="00380B88">
      <w:pPr>
        <w:rPr>
          <w:sz w:val="22"/>
          <w:szCs w:val="22"/>
        </w:rPr>
      </w:pPr>
      <w:r w:rsidRPr="00380B88">
        <w:rPr>
          <w:noProof/>
          <w:sz w:val="22"/>
          <w:szCs w:val="22"/>
        </w:rPr>
        <w:drawing>
          <wp:anchor distT="0" distB="0" distL="0" distR="0" simplePos="0" relativeHeight="251658240" behindDoc="0" locked="0" layoutInCell="1" allowOverlap="1" wp14:anchorId="6E2F4A40" wp14:editId="27406F57">
            <wp:simplePos x="0" y="0"/>
            <wp:positionH relativeFrom="column">
              <wp:posOffset>114300</wp:posOffset>
            </wp:positionH>
            <wp:positionV relativeFrom="paragraph">
              <wp:posOffset>370840</wp:posOffset>
            </wp:positionV>
            <wp:extent cx="1609090" cy="18288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828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0B88">
        <w:rPr>
          <w:b/>
          <w:sz w:val="22"/>
          <w:szCs w:val="22"/>
        </w:rPr>
        <w:t>Reaction Mechanism</w:t>
      </w:r>
    </w:p>
    <w:p w:rsidR="00380B88" w:rsidRPr="00380B88" w:rsidRDefault="00380B88" w:rsidP="00380B88">
      <w:pPr>
        <w:rPr>
          <w:sz w:val="22"/>
          <w:szCs w:val="22"/>
        </w:rPr>
      </w:pPr>
      <w:r w:rsidRPr="00380B88">
        <w:rPr>
          <w:noProof/>
          <w:sz w:val="22"/>
          <w:szCs w:val="22"/>
        </w:rPr>
        <w:drawing>
          <wp:anchor distT="0" distB="0" distL="0" distR="0" simplePos="0" relativeHeight="251660288" behindDoc="0" locked="0" layoutInCell="1" allowOverlap="1" wp14:anchorId="6DFC1A45" wp14:editId="7B88B5B6">
            <wp:simplePos x="0" y="0"/>
            <wp:positionH relativeFrom="column">
              <wp:posOffset>2628900</wp:posOffset>
            </wp:positionH>
            <wp:positionV relativeFrom="paragraph">
              <wp:posOffset>763270</wp:posOffset>
            </wp:positionV>
            <wp:extent cx="1371600" cy="809625"/>
            <wp:effectExtent l="0" t="0" r="0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09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0B88" w:rsidRPr="00380B88" w:rsidRDefault="00380B88" w:rsidP="00380B88">
      <w:pPr>
        <w:rPr>
          <w:sz w:val="22"/>
          <w:szCs w:val="22"/>
        </w:rPr>
      </w:pPr>
      <w:r w:rsidRPr="00380B88">
        <w:rPr>
          <w:noProof/>
          <w:sz w:val="22"/>
          <w:szCs w:val="22"/>
        </w:rPr>
        <w:drawing>
          <wp:anchor distT="0" distB="0" distL="0" distR="0" simplePos="0" relativeHeight="251659264" behindDoc="0" locked="0" layoutInCell="1" allowOverlap="1" wp14:anchorId="46AFEFA4" wp14:editId="66894F67">
            <wp:simplePos x="0" y="0"/>
            <wp:positionH relativeFrom="column">
              <wp:posOffset>1828800</wp:posOffset>
            </wp:positionH>
            <wp:positionV relativeFrom="paragraph">
              <wp:posOffset>927735</wp:posOffset>
            </wp:positionV>
            <wp:extent cx="571500" cy="126365"/>
            <wp:effectExtent l="0" t="0" r="1270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263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0B88" w:rsidRPr="00380B88" w:rsidRDefault="00380B88" w:rsidP="00380B88">
      <w:pPr>
        <w:rPr>
          <w:b/>
          <w:sz w:val="22"/>
          <w:szCs w:val="22"/>
        </w:rPr>
      </w:pPr>
      <w:r w:rsidRPr="00380B88">
        <w:rPr>
          <w:b/>
          <w:sz w:val="22"/>
          <w:szCs w:val="22"/>
        </w:rPr>
        <w:t>Theoretical Yield</w:t>
      </w:r>
    </w:p>
    <w:p w:rsidR="00380B88" w:rsidRPr="00380B88" w:rsidRDefault="00380B88" w:rsidP="00380B8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80B88">
        <w:rPr>
          <w:sz w:val="22"/>
          <w:szCs w:val="22"/>
        </w:rPr>
        <w:t xml:space="preserve">1:1 molar ratio, thus 0.0025 moles of </w:t>
      </w:r>
      <w:proofErr w:type="spellStart"/>
      <w:r w:rsidRPr="00380B88">
        <w:rPr>
          <w:sz w:val="22"/>
          <w:szCs w:val="22"/>
        </w:rPr>
        <w:t>benzyhydrol</w:t>
      </w:r>
      <w:proofErr w:type="spellEnd"/>
      <w:r w:rsidRPr="00380B88">
        <w:rPr>
          <w:sz w:val="22"/>
          <w:szCs w:val="22"/>
        </w:rPr>
        <w:t xml:space="preserve"> * 184.23g/</w:t>
      </w:r>
      <w:proofErr w:type="spellStart"/>
      <w:r w:rsidRPr="00380B88">
        <w:rPr>
          <w:sz w:val="22"/>
          <w:szCs w:val="22"/>
        </w:rPr>
        <w:t>mol</w:t>
      </w:r>
      <w:proofErr w:type="spellEnd"/>
    </w:p>
    <w:p w:rsidR="00380B88" w:rsidRPr="00380B88" w:rsidRDefault="00380B88" w:rsidP="00380B8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380B88">
        <w:rPr>
          <w:sz w:val="22"/>
          <w:szCs w:val="22"/>
        </w:rPr>
        <w:t>0.461g of crude product</w:t>
      </w:r>
    </w:p>
    <w:p w:rsidR="00380B88" w:rsidRPr="00380B88" w:rsidRDefault="00380B88" w:rsidP="00380B88">
      <w:pPr>
        <w:rPr>
          <w:b/>
          <w:sz w:val="22"/>
          <w:szCs w:val="22"/>
        </w:rPr>
      </w:pPr>
      <w:r w:rsidRPr="00380B88">
        <w:rPr>
          <w:b/>
          <w:sz w:val="22"/>
          <w:szCs w:val="22"/>
        </w:rPr>
        <w:t>Physical Data</w:t>
      </w:r>
    </w:p>
    <w:tbl>
      <w:tblPr>
        <w:tblW w:w="9800" w:type="dxa"/>
        <w:tblInd w:w="124" w:type="dxa"/>
        <w:tblLayout w:type="fixed"/>
        <w:tblLook w:val="0000" w:firstRow="0" w:lastRow="0" w:firstColumn="0" w:lastColumn="0" w:noHBand="0" w:noVBand="0"/>
      </w:tblPr>
      <w:tblGrid>
        <w:gridCol w:w="1683"/>
        <w:gridCol w:w="1150"/>
        <w:gridCol w:w="1267"/>
        <w:gridCol w:w="1250"/>
        <w:gridCol w:w="1267"/>
        <w:gridCol w:w="1300"/>
        <w:gridCol w:w="1883"/>
      </w:tblGrid>
      <w:tr w:rsidR="00380B88" w:rsidRPr="00380B88" w:rsidTr="00380B88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B88" w:rsidRPr="00380B88" w:rsidRDefault="00380B88" w:rsidP="00380B88">
            <w:pPr>
              <w:rPr>
                <w:rFonts w:cs="Cambria"/>
                <w:sz w:val="22"/>
                <w:szCs w:val="22"/>
              </w:rPr>
            </w:pPr>
            <w:r w:rsidRPr="00380B88">
              <w:rPr>
                <w:rFonts w:cs="Cambria"/>
                <w:sz w:val="22"/>
                <w:szCs w:val="22"/>
              </w:rPr>
              <w:t>Compound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B88" w:rsidRPr="00380B88" w:rsidRDefault="00380B88" w:rsidP="00380B88">
            <w:pPr>
              <w:rPr>
                <w:rFonts w:cs="Cambria"/>
                <w:sz w:val="22"/>
                <w:szCs w:val="22"/>
              </w:rPr>
            </w:pPr>
            <w:r w:rsidRPr="00380B88">
              <w:rPr>
                <w:rFonts w:cs="Cambria"/>
                <w:sz w:val="22"/>
                <w:szCs w:val="22"/>
              </w:rPr>
              <w:t xml:space="preserve"> Molar mass</w:t>
            </w:r>
          </w:p>
          <w:p w:rsidR="00380B88" w:rsidRPr="00380B88" w:rsidRDefault="00380B88" w:rsidP="00380B88">
            <w:pPr>
              <w:rPr>
                <w:rFonts w:cs="Cambria"/>
                <w:sz w:val="22"/>
                <w:szCs w:val="22"/>
              </w:rPr>
            </w:pPr>
            <w:r w:rsidRPr="00380B88">
              <w:rPr>
                <w:rFonts w:cs="Cambria"/>
                <w:sz w:val="22"/>
                <w:szCs w:val="22"/>
              </w:rPr>
              <w:t>(</w:t>
            </w:r>
            <w:proofErr w:type="gramStart"/>
            <w:r w:rsidRPr="00380B88">
              <w:rPr>
                <w:rFonts w:cs="Cambria"/>
                <w:sz w:val="22"/>
                <w:szCs w:val="22"/>
              </w:rPr>
              <w:t>g</w:t>
            </w:r>
            <w:proofErr w:type="gramEnd"/>
            <w:r w:rsidRPr="00380B88">
              <w:rPr>
                <w:rFonts w:cs="Cambria"/>
                <w:sz w:val="22"/>
                <w:szCs w:val="22"/>
              </w:rPr>
              <w:t>/</w:t>
            </w:r>
            <w:proofErr w:type="spellStart"/>
            <w:r w:rsidRPr="00380B88">
              <w:rPr>
                <w:rFonts w:cs="Cambria"/>
                <w:sz w:val="22"/>
                <w:szCs w:val="22"/>
              </w:rPr>
              <w:t>mol</w:t>
            </w:r>
            <w:proofErr w:type="spellEnd"/>
            <w:r w:rsidRPr="00380B88">
              <w:rPr>
                <w:rFonts w:cs="Cambria"/>
                <w:sz w:val="22"/>
                <w:szCs w:val="22"/>
              </w:rPr>
              <w:t>)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B88" w:rsidRPr="00380B88" w:rsidRDefault="00380B88" w:rsidP="00380B88">
            <w:pPr>
              <w:rPr>
                <w:rFonts w:cs="Cambria"/>
                <w:sz w:val="22"/>
                <w:szCs w:val="22"/>
              </w:rPr>
            </w:pPr>
            <w:r w:rsidRPr="00380B88">
              <w:rPr>
                <w:rFonts w:cs="Cambria"/>
                <w:sz w:val="22"/>
                <w:szCs w:val="22"/>
              </w:rPr>
              <w:t>Melting point (degrees C)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B88" w:rsidRPr="00380B88" w:rsidRDefault="00380B88" w:rsidP="00380B88">
            <w:pPr>
              <w:rPr>
                <w:rFonts w:cs="Cambria"/>
                <w:sz w:val="22"/>
                <w:szCs w:val="22"/>
              </w:rPr>
            </w:pPr>
            <w:r w:rsidRPr="00380B88">
              <w:rPr>
                <w:rFonts w:cs="Cambria"/>
                <w:sz w:val="22"/>
                <w:szCs w:val="22"/>
              </w:rPr>
              <w:t>Boiling point (degrees C)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B88" w:rsidRPr="00380B88" w:rsidRDefault="00380B88" w:rsidP="00380B88">
            <w:pPr>
              <w:rPr>
                <w:rFonts w:cs="Cambria"/>
                <w:sz w:val="22"/>
                <w:szCs w:val="22"/>
              </w:rPr>
            </w:pPr>
            <w:r w:rsidRPr="00380B88">
              <w:rPr>
                <w:rFonts w:cs="Cambria"/>
                <w:sz w:val="22"/>
                <w:szCs w:val="22"/>
              </w:rPr>
              <w:t>Density (g/cm</w:t>
            </w:r>
            <w:r w:rsidRPr="00380B88">
              <w:rPr>
                <w:rFonts w:cs="Cambria"/>
                <w:sz w:val="22"/>
                <w:szCs w:val="22"/>
                <w:vertAlign w:val="superscript"/>
              </w:rPr>
              <w:t>3</w:t>
            </w:r>
            <w:r w:rsidRPr="00380B88">
              <w:rPr>
                <w:rFonts w:cs="Cambria"/>
                <w:sz w:val="22"/>
                <w:szCs w:val="22"/>
              </w:rPr>
              <w:t>)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B88" w:rsidRPr="00380B88" w:rsidRDefault="00380B88" w:rsidP="00380B88">
            <w:pPr>
              <w:rPr>
                <w:rFonts w:cs="Cambria"/>
                <w:sz w:val="22"/>
                <w:szCs w:val="22"/>
              </w:rPr>
            </w:pPr>
            <w:r w:rsidRPr="00380B88">
              <w:rPr>
                <w:rFonts w:cs="Cambria"/>
                <w:sz w:val="22"/>
                <w:szCs w:val="22"/>
              </w:rPr>
              <w:t>Solubility</w:t>
            </w:r>
          </w:p>
          <w:p w:rsidR="00380B88" w:rsidRPr="00380B88" w:rsidRDefault="00380B88" w:rsidP="00380B88">
            <w:pPr>
              <w:rPr>
                <w:rFonts w:cs="Cambria"/>
                <w:sz w:val="22"/>
                <w:szCs w:val="22"/>
              </w:rPr>
            </w:pPr>
            <w:r w:rsidRPr="00380B88">
              <w:rPr>
                <w:rFonts w:cs="Cambria"/>
                <w:sz w:val="22"/>
                <w:szCs w:val="22"/>
              </w:rPr>
              <w:t>(</w:t>
            </w:r>
            <w:proofErr w:type="gramStart"/>
            <w:r w:rsidRPr="00380B88">
              <w:rPr>
                <w:rFonts w:cs="Cambria"/>
                <w:sz w:val="22"/>
                <w:szCs w:val="22"/>
              </w:rPr>
              <w:t>g</w:t>
            </w:r>
            <w:proofErr w:type="gramEnd"/>
            <w:r w:rsidRPr="00380B88">
              <w:rPr>
                <w:rFonts w:cs="Cambria"/>
                <w:sz w:val="22"/>
                <w:szCs w:val="22"/>
              </w:rPr>
              <w:t>/L)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B88" w:rsidRPr="00380B88" w:rsidRDefault="00380B88" w:rsidP="00380B88">
            <w:pPr>
              <w:rPr>
                <w:rFonts w:cs="Cambria"/>
                <w:sz w:val="22"/>
                <w:szCs w:val="22"/>
              </w:rPr>
            </w:pPr>
            <w:r w:rsidRPr="00380B88">
              <w:rPr>
                <w:rFonts w:cs="Cambria"/>
                <w:sz w:val="22"/>
                <w:szCs w:val="22"/>
              </w:rPr>
              <w:t>Hazards</w:t>
            </w:r>
          </w:p>
        </w:tc>
      </w:tr>
      <w:tr w:rsidR="00380B88" w:rsidRPr="00380B88" w:rsidTr="00380B88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B88" w:rsidRPr="00380B88" w:rsidRDefault="00380B88" w:rsidP="00380B88">
            <w:pPr>
              <w:rPr>
                <w:rFonts w:cs="Cambria"/>
                <w:sz w:val="22"/>
                <w:szCs w:val="22"/>
              </w:rPr>
            </w:pPr>
            <w:proofErr w:type="spellStart"/>
            <w:r w:rsidRPr="00380B88">
              <w:rPr>
                <w:rFonts w:cs="Cambria"/>
                <w:sz w:val="22"/>
                <w:szCs w:val="22"/>
              </w:rPr>
              <w:t>Benzophenone</w:t>
            </w:r>
            <w:proofErr w:type="spellEnd"/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B88" w:rsidRPr="00380B88" w:rsidRDefault="00380B88" w:rsidP="00380B88">
            <w:pPr>
              <w:rPr>
                <w:rFonts w:cs="Cambria"/>
                <w:sz w:val="22"/>
                <w:szCs w:val="22"/>
              </w:rPr>
            </w:pPr>
            <w:r w:rsidRPr="00380B88">
              <w:rPr>
                <w:rFonts w:cs="Cambria"/>
                <w:sz w:val="22"/>
                <w:szCs w:val="22"/>
              </w:rPr>
              <w:t>182.22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B88" w:rsidRPr="00380B88" w:rsidRDefault="00380B88" w:rsidP="00380B88">
            <w:pPr>
              <w:rPr>
                <w:rFonts w:cs="Cambria"/>
                <w:sz w:val="22"/>
                <w:szCs w:val="22"/>
              </w:rPr>
            </w:pPr>
            <w:r w:rsidRPr="00380B88">
              <w:rPr>
                <w:rFonts w:cs="Cambria"/>
                <w:sz w:val="22"/>
                <w:szCs w:val="22"/>
              </w:rPr>
              <w:t>48.5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B88" w:rsidRPr="00380B88" w:rsidRDefault="00380B88" w:rsidP="00380B88">
            <w:pPr>
              <w:rPr>
                <w:rFonts w:cs="Cambria"/>
                <w:sz w:val="22"/>
                <w:szCs w:val="22"/>
              </w:rPr>
            </w:pPr>
            <w:r w:rsidRPr="00380B88">
              <w:rPr>
                <w:rFonts w:cs="Cambria"/>
                <w:sz w:val="22"/>
                <w:szCs w:val="22"/>
              </w:rPr>
              <w:t>305.4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B88" w:rsidRPr="00380B88" w:rsidRDefault="00380B88" w:rsidP="00380B88">
            <w:pPr>
              <w:rPr>
                <w:rFonts w:cs="Cambria"/>
                <w:sz w:val="22"/>
                <w:szCs w:val="22"/>
              </w:rPr>
            </w:pPr>
            <w:r w:rsidRPr="00380B88">
              <w:rPr>
                <w:rFonts w:cs="Cambria"/>
                <w:sz w:val="22"/>
                <w:szCs w:val="22"/>
              </w:rPr>
              <w:t>1.11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B88" w:rsidRPr="00380B88" w:rsidRDefault="00380B88" w:rsidP="00380B88">
            <w:pPr>
              <w:rPr>
                <w:rFonts w:cs="Cambria"/>
                <w:sz w:val="22"/>
                <w:szCs w:val="22"/>
              </w:rPr>
            </w:pPr>
            <w:r w:rsidRPr="00380B88">
              <w:rPr>
                <w:rFonts w:cs="Cambria"/>
                <w:sz w:val="22"/>
                <w:szCs w:val="22"/>
              </w:rPr>
              <w:t>Insoluble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B88" w:rsidRPr="00380B88" w:rsidRDefault="00380B88" w:rsidP="00380B88">
            <w:pPr>
              <w:rPr>
                <w:rFonts w:cs="Cambria"/>
                <w:sz w:val="22"/>
                <w:szCs w:val="22"/>
              </w:rPr>
            </w:pPr>
            <w:r w:rsidRPr="00380B88">
              <w:rPr>
                <w:rFonts w:cs="Cambria"/>
                <w:sz w:val="22"/>
                <w:szCs w:val="22"/>
              </w:rPr>
              <w:t>Toxic, irritant</w:t>
            </w:r>
          </w:p>
        </w:tc>
      </w:tr>
      <w:tr w:rsidR="00380B88" w:rsidRPr="00380B88" w:rsidTr="00380B88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B88" w:rsidRPr="00380B88" w:rsidRDefault="00380B88" w:rsidP="00380B88">
            <w:pPr>
              <w:rPr>
                <w:rFonts w:cs="Cambria"/>
                <w:sz w:val="22"/>
                <w:szCs w:val="22"/>
              </w:rPr>
            </w:pPr>
            <w:r w:rsidRPr="00380B88">
              <w:rPr>
                <w:rFonts w:cs="Cambria"/>
                <w:sz w:val="22"/>
                <w:szCs w:val="22"/>
              </w:rPr>
              <w:t>Hydrochloric acid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B88" w:rsidRPr="00380B88" w:rsidRDefault="00380B88" w:rsidP="00380B88">
            <w:pPr>
              <w:rPr>
                <w:rFonts w:cs="Cambria"/>
                <w:sz w:val="22"/>
                <w:szCs w:val="22"/>
              </w:rPr>
            </w:pPr>
            <w:r w:rsidRPr="00380B88">
              <w:rPr>
                <w:rFonts w:cs="Cambria"/>
                <w:sz w:val="22"/>
                <w:szCs w:val="22"/>
              </w:rPr>
              <w:t>36.46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B88" w:rsidRPr="00380B88" w:rsidRDefault="00380B88" w:rsidP="00380B88">
            <w:pPr>
              <w:rPr>
                <w:rFonts w:cs="Cambria"/>
                <w:sz w:val="22"/>
                <w:szCs w:val="22"/>
              </w:rPr>
            </w:pPr>
            <w:r w:rsidRPr="00380B88">
              <w:rPr>
                <w:rFonts w:cs="Cambria"/>
                <w:sz w:val="22"/>
                <w:szCs w:val="22"/>
              </w:rPr>
              <w:t>-114.22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B88" w:rsidRPr="00380B88" w:rsidRDefault="00380B88" w:rsidP="00380B88">
            <w:pPr>
              <w:rPr>
                <w:rFonts w:cs="Cambria"/>
                <w:sz w:val="22"/>
                <w:szCs w:val="22"/>
              </w:rPr>
            </w:pPr>
            <w:r w:rsidRPr="00380B88">
              <w:rPr>
                <w:rFonts w:cs="Cambria"/>
                <w:sz w:val="22"/>
                <w:szCs w:val="22"/>
              </w:rPr>
              <w:t>-85.05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B88" w:rsidRPr="00380B88" w:rsidRDefault="00380B88" w:rsidP="00380B88">
            <w:pPr>
              <w:rPr>
                <w:rFonts w:cs="Cambria"/>
                <w:sz w:val="22"/>
                <w:szCs w:val="22"/>
              </w:rPr>
            </w:pPr>
            <w:r w:rsidRPr="00380B88">
              <w:rPr>
                <w:rFonts w:cs="Cambria"/>
                <w:sz w:val="22"/>
                <w:szCs w:val="22"/>
              </w:rPr>
              <w:t>1.490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B88" w:rsidRPr="00380B88" w:rsidRDefault="00380B88" w:rsidP="00380B88">
            <w:pPr>
              <w:rPr>
                <w:rFonts w:cs="Cambria"/>
                <w:sz w:val="22"/>
                <w:szCs w:val="22"/>
              </w:rPr>
            </w:pPr>
            <w:r w:rsidRPr="00380B88">
              <w:rPr>
                <w:rFonts w:cs="Cambria"/>
                <w:sz w:val="22"/>
                <w:szCs w:val="22"/>
              </w:rPr>
              <w:t>Soluble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B88" w:rsidRPr="00380B88" w:rsidRDefault="00380B88" w:rsidP="00380B88">
            <w:pPr>
              <w:rPr>
                <w:rFonts w:cs="Cambria"/>
                <w:sz w:val="22"/>
                <w:szCs w:val="22"/>
              </w:rPr>
            </w:pPr>
            <w:r w:rsidRPr="00380B88">
              <w:rPr>
                <w:rFonts w:cs="Cambria"/>
                <w:sz w:val="22"/>
                <w:szCs w:val="22"/>
              </w:rPr>
              <w:t>Corrosive</w:t>
            </w:r>
          </w:p>
        </w:tc>
      </w:tr>
      <w:tr w:rsidR="00380B88" w:rsidRPr="00380B88" w:rsidTr="00380B88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B88" w:rsidRPr="00380B88" w:rsidRDefault="00380B88" w:rsidP="00380B88">
            <w:pPr>
              <w:rPr>
                <w:rFonts w:cs="Cambria"/>
                <w:sz w:val="22"/>
                <w:szCs w:val="22"/>
              </w:rPr>
            </w:pPr>
            <w:r w:rsidRPr="00380B88">
              <w:rPr>
                <w:rFonts w:cs="Cambria"/>
                <w:sz w:val="22"/>
                <w:szCs w:val="22"/>
              </w:rPr>
              <w:t>Hexanes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B88" w:rsidRPr="00380B88" w:rsidRDefault="00380B88" w:rsidP="00380B88">
            <w:pPr>
              <w:rPr>
                <w:rFonts w:cs="Cambria"/>
                <w:sz w:val="22"/>
                <w:szCs w:val="22"/>
              </w:rPr>
            </w:pPr>
            <w:r w:rsidRPr="00380B88">
              <w:rPr>
                <w:rFonts w:cs="Cambria"/>
                <w:sz w:val="22"/>
                <w:szCs w:val="22"/>
              </w:rPr>
              <w:t>86.18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B88" w:rsidRPr="00380B88" w:rsidRDefault="00380B88" w:rsidP="00380B88">
            <w:pPr>
              <w:rPr>
                <w:rFonts w:cs="Cambria"/>
                <w:sz w:val="22"/>
                <w:szCs w:val="22"/>
              </w:rPr>
            </w:pPr>
            <w:r w:rsidRPr="00380B88">
              <w:rPr>
                <w:rFonts w:cs="Cambria"/>
                <w:sz w:val="22"/>
                <w:szCs w:val="22"/>
              </w:rPr>
              <w:t>-94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B88" w:rsidRPr="00380B88" w:rsidRDefault="00380B88" w:rsidP="00380B88">
            <w:pPr>
              <w:rPr>
                <w:rFonts w:cs="Cambria"/>
                <w:sz w:val="22"/>
                <w:szCs w:val="22"/>
              </w:rPr>
            </w:pPr>
            <w:r w:rsidRPr="00380B88">
              <w:rPr>
                <w:rFonts w:cs="Cambria"/>
                <w:sz w:val="22"/>
                <w:szCs w:val="22"/>
              </w:rPr>
              <w:t>69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B88" w:rsidRPr="00380B88" w:rsidRDefault="00380B88" w:rsidP="00380B88">
            <w:pPr>
              <w:rPr>
                <w:rFonts w:cs="Cambria"/>
                <w:sz w:val="22"/>
                <w:szCs w:val="22"/>
              </w:rPr>
            </w:pPr>
            <w:r w:rsidRPr="00380B88">
              <w:rPr>
                <w:rFonts w:cs="Cambria"/>
                <w:sz w:val="22"/>
                <w:szCs w:val="22"/>
              </w:rPr>
              <w:t>0.65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B88" w:rsidRPr="00380B88" w:rsidRDefault="00380B88" w:rsidP="00380B88">
            <w:pPr>
              <w:rPr>
                <w:rFonts w:cs="Cambria"/>
                <w:sz w:val="22"/>
                <w:szCs w:val="22"/>
              </w:rPr>
            </w:pPr>
            <w:r w:rsidRPr="00380B88">
              <w:rPr>
                <w:rFonts w:cs="Cambria"/>
                <w:sz w:val="22"/>
                <w:szCs w:val="22"/>
              </w:rPr>
              <w:t>0.01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B88" w:rsidRPr="00380B88" w:rsidRDefault="00380B88" w:rsidP="00380B88">
            <w:pPr>
              <w:rPr>
                <w:rFonts w:cs="Cambria"/>
                <w:sz w:val="22"/>
                <w:szCs w:val="22"/>
              </w:rPr>
            </w:pPr>
            <w:r w:rsidRPr="00380B88">
              <w:rPr>
                <w:rFonts w:cs="Cambria"/>
                <w:sz w:val="22"/>
                <w:szCs w:val="22"/>
              </w:rPr>
              <w:t>Flammable</w:t>
            </w:r>
          </w:p>
        </w:tc>
      </w:tr>
      <w:tr w:rsidR="00380B88" w:rsidRPr="00380B88" w:rsidTr="00380B88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B88" w:rsidRPr="00380B88" w:rsidRDefault="00380B88" w:rsidP="00380B88">
            <w:pPr>
              <w:rPr>
                <w:rFonts w:cs="Cambria"/>
                <w:sz w:val="22"/>
                <w:szCs w:val="22"/>
              </w:rPr>
            </w:pPr>
            <w:r w:rsidRPr="00380B88">
              <w:rPr>
                <w:rFonts w:cs="Cambria"/>
                <w:sz w:val="22"/>
                <w:szCs w:val="22"/>
              </w:rPr>
              <w:t xml:space="preserve">Sodium </w:t>
            </w:r>
            <w:proofErr w:type="spellStart"/>
            <w:r w:rsidRPr="00380B88">
              <w:rPr>
                <w:rFonts w:cs="Cambria"/>
                <w:sz w:val="22"/>
                <w:szCs w:val="22"/>
              </w:rPr>
              <w:t>borohydride</w:t>
            </w:r>
            <w:proofErr w:type="spellEnd"/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B88" w:rsidRPr="00380B88" w:rsidRDefault="00380B88" w:rsidP="00380B88">
            <w:pPr>
              <w:rPr>
                <w:rFonts w:cs="Cambria"/>
                <w:sz w:val="22"/>
                <w:szCs w:val="22"/>
              </w:rPr>
            </w:pPr>
            <w:r w:rsidRPr="00380B88">
              <w:rPr>
                <w:rFonts w:cs="Cambria"/>
                <w:sz w:val="22"/>
                <w:szCs w:val="22"/>
              </w:rPr>
              <w:t>37.83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B88" w:rsidRPr="00380B88" w:rsidRDefault="00380B88" w:rsidP="00380B88">
            <w:pPr>
              <w:rPr>
                <w:rFonts w:cs="Cambria"/>
                <w:sz w:val="22"/>
                <w:szCs w:val="22"/>
              </w:rPr>
            </w:pPr>
            <w:r w:rsidRPr="00380B88">
              <w:rPr>
                <w:rFonts w:cs="Cambria"/>
                <w:sz w:val="22"/>
                <w:szCs w:val="22"/>
              </w:rPr>
              <w:t>400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B88" w:rsidRPr="00380B88" w:rsidRDefault="00380B88" w:rsidP="00380B88">
            <w:pPr>
              <w:rPr>
                <w:rFonts w:cs="Cambria"/>
                <w:sz w:val="22"/>
                <w:szCs w:val="22"/>
              </w:rPr>
            </w:pPr>
            <w:r w:rsidRPr="00380B88">
              <w:rPr>
                <w:rFonts w:cs="Cambria"/>
                <w:sz w:val="22"/>
                <w:szCs w:val="22"/>
              </w:rPr>
              <w:t>500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B88" w:rsidRPr="00380B88" w:rsidRDefault="00380B88" w:rsidP="00380B88">
            <w:pPr>
              <w:rPr>
                <w:rFonts w:cs="Cambria"/>
                <w:sz w:val="22"/>
                <w:szCs w:val="22"/>
              </w:rPr>
            </w:pPr>
            <w:r w:rsidRPr="00380B88">
              <w:rPr>
                <w:rFonts w:cs="Cambria"/>
                <w:sz w:val="22"/>
                <w:szCs w:val="22"/>
              </w:rPr>
              <w:t>37.83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B88" w:rsidRPr="00380B88" w:rsidRDefault="00380B88" w:rsidP="00380B88">
            <w:pPr>
              <w:rPr>
                <w:rFonts w:cs="Cambria"/>
                <w:sz w:val="22"/>
                <w:szCs w:val="22"/>
              </w:rPr>
            </w:pPr>
            <w:r w:rsidRPr="00380B88">
              <w:rPr>
                <w:rFonts w:cs="Cambria"/>
                <w:sz w:val="22"/>
                <w:szCs w:val="22"/>
              </w:rPr>
              <w:t>Reacts with water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B88" w:rsidRPr="00380B88" w:rsidRDefault="00380B88" w:rsidP="00380B88">
            <w:pPr>
              <w:rPr>
                <w:rFonts w:cs="Cambria"/>
                <w:sz w:val="22"/>
                <w:szCs w:val="22"/>
              </w:rPr>
            </w:pPr>
            <w:r w:rsidRPr="00380B88">
              <w:rPr>
                <w:rFonts w:cs="Cambria"/>
                <w:sz w:val="22"/>
                <w:szCs w:val="22"/>
              </w:rPr>
              <w:t>Toxic, corrosive, flammable</w:t>
            </w:r>
          </w:p>
        </w:tc>
      </w:tr>
      <w:tr w:rsidR="00380B88" w:rsidRPr="00380B88" w:rsidTr="00380B88">
        <w:trPr>
          <w:trHeight w:val="226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B88" w:rsidRPr="00380B88" w:rsidRDefault="00380B88" w:rsidP="00380B88">
            <w:pPr>
              <w:rPr>
                <w:rFonts w:cs="Cambria"/>
                <w:sz w:val="22"/>
                <w:szCs w:val="22"/>
              </w:rPr>
            </w:pPr>
            <w:r w:rsidRPr="00380B88">
              <w:rPr>
                <w:rFonts w:cs="Cambria"/>
                <w:sz w:val="22"/>
                <w:szCs w:val="22"/>
              </w:rPr>
              <w:t>Methanol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B88" w:rsidRPr="00380B88" w:rsidRDefault="00380B88" w:rsidP="00380B88">
            <w:pPr>
              <w:rPr>
                <w:rFonts w:cs="Cambria"/>
                <w:sz w:val="22"/>
                <w:szCs w:val="22"/>
              </w:rPr>
            </w:pPr>
            <w:r w:rsidRPr="00380B88">
              <w:rPr>
                <w:rFonts w:cs="Cambria"/>
                <w:sz w:val="22"/>
                <w:szCs w:val="22"/>
              </w:rPr>
              <w:t>32.04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B88" w:rsidRPr="00380B88" w:rsidRDefault="00380B88" w:rsidP="00380B88">
            <w:pPr>
              <w:rPr>
                <w:rFonts w:cs="Cambria"/>
                <w:sz w:val="22"/>
                <w:szCs w:val="22"/>
              </w:rPr>
            </w:pPr>
            <w:r w:rsidRPr="00380B88">
              <w:rPr>
                <w:rFonts w:cs="Cambria"/>
                <w:sz w:val="22"/>
                <w:szCs w:val="22"/>
              </w:rPr>
              <w:t>-97.6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B88" w:rsidRPr="00380B88" w:rsidRDefault="00380B88" w:rsidP="00380B88">
            <w:pPr>
              <w:rPr>
                <w:rFonts w:cs="Cambria"/>
                <w:sz w:val="22"/>
                <w:szCs w:val="22"/>
              </w:rPr>
            </w:pPr>
            <w:r w:rsidRPr="00380B88">
              <w:rPr>
                <w:rFonts w:cs="Cambria"/>
                <w:sz w:val="22"/>
                <w:szCs w:val="22"/>
              </w:rPr>
              <w:t>64.7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B88" w:rsidRPr="00380B88" w:rsidRDefault="00380B88" w:rsidP="00380B88">
            <w:pPr>
              <w:rPr>
                <w:rFonts w:cs="Cambria"/>
                <w:sz w:val="22"/>
                <w:szCs w:val="22"/>
              </w:rPr>
            </w:pPr>
            <w:r w:rsidRPr="00380B88">
              <w:rPr>
                <w:rFonts w:cs="Cambria"/>
                <w:sz w:val="22"/>
                <w:szCs w:val="22"/>
              </w:rPr>
              <w:t>0.79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B88" w:rsidRPr="00380B88" w:rsidRDefault="00380B88" w:rsidP="00380B88">
            <w:pPr>
              <w:rPr>
                <w:rFonts w:cs="Cambria"/>
                <w:sz w:val="22"/>
                <w:szCs w:val="22"/>
              </w:rPr>
            </w:pPr>
            <w:r w:rsidRPr="00380B88">
              <w:rPr>
                <w:rFonts w:cs="Cambria"/>
                <w:sz w:val="22"/>
                <w:szCs w:val="22"/>
              </w:rPr>
              <w:t>Soluble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B88" w:rsidRPr="00380B88" w:rsidRDefault="00380B88" w:rsidP="00380B88">
            <w:pPr>
              <w:rPr>
                <w:rFonts w:cs="Cambria"/>
                <w:sz w:val="22"/>
                <w:szCs w:val="22"/>
              </w:rPr>
            </w:pPr>
            <w:r w:rsidRPr="00380B88">
              <w:rPr>
                <w:rFonts w:cs="Cambria"/>
                <w:sz w:val="22"/>
                <w:szCs w:val="22"/>
              </w:rPr>
              <w:t>Toxic</w:t>
            </w:r>
            <w:proofErr w:type="gramStart"/>
            <w:r w:rsidRPr="00380B88">
              <w:rPr>
                <w:rFonts w:cs="Cambria"/>
                <w:sz w:val="22"/>
                <w:szCs w:val="22"/>
              </w:rPr>
              <w:t>,  flammable</w:t>
            </w:r>
            <w:proofErr w:type="gramEnd"/>
          </w:p>
        </w:tc>
      </w:tr>
      <w:tr w:rsidR="00380B88" w:rsidRPr="00380B88" w:rsidTr="00380B88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B88" w:rsidRPr="00380B88" w:rsidRDefault="00380B88" w:rsidP="00380B88">
            <w:pPr>
              <w:rPr>
                <w:rFonts w:cs="Cambria"/>
                <w:sz w:val="22"/>
                <w:szCs w:val="22"/>
              </w:rPr>
            </w:pPr>
            <w:r w:rsidRPr="00380B88">
              <w:rPr>
                <w:rFonts w:cs="Cambria"/>
                <w:sz w:val="22"/>
                <w:szCs w:val="22"/>
              </w:rPr>
              <w:t>Methylene Chloride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B88" w:rsidRPr="00380B88" w:rsidRDefault="00380B88" w:rsidP="00380B88">
            <w:pPr>
              <w:rPr>
                <w:rFonts w:cs="Cambria"/>
                <w:sz w:val="22"/>
                <w:szCs w:val="22"/>
              </w:rPr>
            </w:pPr>
            <w:r w:rsidRPr="00380B88">
              <w:rPr>
                <w:rFonts w:cs="Cambria"/>
                <w:sz w:val="22"/>
                <w:szCs w:val="22"/>
              </w:rPr>
              <w:t>84.93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B88" w:rsidRPr="00380B88" w:rsidRDefault="00380B88" w:rsidP="00380B88">
            <w:pPr>
              <w:rPr>
                <w:rFonts w:cs="Cambria"/>
                <w:sz w:val="22"/>
                <w:szCs w:val="22"/>
              </w:rPr>
            </w:pPr>
            <w:r w:rsidRPr="00380B88">
              <w:rPr>
                <w:rFonts w:cs="Cambria"/>
                <w:sz w:val="22"/>
                <w:szCs w:val="22"/>
              </w:rPr>
              <w:t>-96.7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B88" w:rsidRPr="00380B88" w:rsidRDefault="00380B88" w:rsidP="00380B88">
            <w:pPr>
              <w:rPr>
                <w:rFonts w:cs="Cambria"/>
                <w:sz w:val="22"/>
                <w:szCs w:val="22"/>
              </w:rPr>
            </w:pPr>
            <w:r w:rsidRPr="00380B88">
              <w:rPr>
                <w:rFonts w:cs="Cambria"/>
                <w:sz w:val="22"/>
                <w:szCs w:val="22"/>
              </w:rPr>
              <w:t>39.6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B88" w:rsidRPr="00380B88" w:rsidRDefault="00380B88" w:rsidP="00380B88">
            <w:pPr>
              <w:rPr>
                <w:rFonts w:cs="Cambria"/>
                <w:sz w:val="22"/>
                <w:szCs w:val="22"/>
              </w:rPr>
            </w:pPr>
            <w:r w:rsidRPr="00380B88">
              <w:rPr>
                <w:rFonts w:cs="Cambria"/>
                <w:sz w:val="22"/>
                <w:szCs w:val="22"/>
              </w:rPr>
              <w:t>1.33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B88" w:rsidRPr="00380B88" w:rsidRDefault="00380B88" w:rsidP="00380B88">
            <w:pPr>
              <w:rPr>
                <w:rFonts w:cs="Cambria"/>
                <w:sz w:val="22"/>
                <w:szCs w:val="22"/>
              </w:rPr>
            </w:pPr>
            <w:r w:rsidRPr="00380B88">
              <w:rPr>
                <w:rFonts w:cs="Cambria"/>
                <w:sz w:val="22"/>
                <w:szCs w:val="22"/>
              </w:rPr>
              <w:t>13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B88" w:rsidRPr="00380B88" w:rsidRDefault="00380B88" w:rsidP="00380B88">
            <w:pPr>
              <w:rPr>
                <w:rFonts w:cs="Cambria"/>
                <w:sz w:val="22"/>
                <w:szCs w:val="22"/>
              </w:rPr>
            </w:pPr>
            <w:r w:rsidRPr="00380B88">
              <w:rPr>
                <w:rFonts w:cs="Cambria"/>
                <w:sz w:val="22"/>
                <w:szCs w:val="22"/>
              </w:rPr>
              <w:t>Toxic, flammable</w:t>
            </w:r>
          </w:p>
        </w:tc>
      </w:tr>
      <w:tr w:rsidR="00380B88" w:rsidRPr="00380B88" w:rsidTr="00380B88">
        <w:trPr>
          <w:trHeight w:val="58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B88" w:rsidRPr="00380B88" w:rsidRDefault="00380B88" w:rsidP="00380B88">
            <w:pPr>
              <w:rPr>
                <w:rFonts w:cs="Cambria"/>
                <w:sz w:val="22"/>
                <w:szCs w:val="22"/>
              </w:rPr>
            </w:pPr>
            <w:proofErr w:type="spellStart"/>
            <w:r w:rsidRPr="00380B88">
              <w:rPr>
                <w:rFonts w:cs="Cambria"/>
                <w:sz w:val="22"/>
                <w:szCs w:val="22"/>
              </w:rPr>
              <w:t>Benzhydrol</w:t>
            </w:r>
            <w:proofErr w:type="spellEnd"/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B88" w:rsidRPr="00380B88" w:rsidRDefault="00380B88" w:rsidP="00380B88">
            <w:pPr>
              <w:rPr>
                <w:rFonts w:cs="Cambria"/>
                <w:sz w:val="22"/>
                <w:szCs w:val="22"/>
              </w:rPr>
            </w:pPr>
            <w:r w:rsidRPr="00380B88">
              <w:rPr>
                <w:rFonts w:cs="Cambria"/>
                <w:sz w:val="22"/>
                <w:szCs w:val="22"/>
              </w:rPr>
              <w:t>184.23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B88" w:rsidRPr="00380B88" w:rsidRDefault="00380B88" w:rsidP="00380B88">
            <w:pPr>
              <w:rPr>
                <w:rFonts w:cs="Cambria"/>
                <w:sz w:val="22"/>
                <w:szCs w:val="22"/>
              </w:rPr>
            </w:pPr>
            <w:r w:rsidRPr="00380B88">
              <w:rPr>
                <w:rFonts w:cs="Cambria"/>
                <w:sz w:val="22"/>
                <w:szCs w:val="22"/>
              </w:rPr>
              <w:t>69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B88" w:rsidRPr="00380B88" w:rsidRDefault="00380B88" w:rsidP="00380B88">
            <w:pPr>
              <w:rPr>
                <w:rFonts w:cs="Cambria"/>
                <w:sz w:val="22"/>
                <w:szCs w:val="22"/>
              </w:rPr>
            </w:pPr>
            <w:r w:rsidRPr="00380B88">
              <w:rPr>
                <w:rFonts w:cs="Cambria"/>
                <w:sz w:val="22"/>
                <w:szCs w:val="22"/>
              </w:rPr>
              <w:t>298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B88" w:rsidRPr="00380B88" w:rsidRDefault="00380B88" w:rsidP="00380B88">
            <w:pPr>
              <w:rPr>
                <w:rFonts w:cs="Cambria"/>
                <w:sz w:val="22"/>
                <w:szCs w:val="22"/>
              </w:rPr>
            </w:pPr>
            <w:r w:rsidRPr="00380B88">
              <w:rPr>
                <w:rFonts w:cs="Cambria"/>
                <w:sz w:val="22"/>
                <w:szCs w:val="22"/>
              </w:rPr>
              <w:t>1.10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B88" w:rsidRPr="00380B88" w:rsidRDefault="00380B88" w:rsidP="00380B88">
            <w:pPr>
              <w:rPr>
                <w:rFonts w:cs="Cambria"/>
                <w:sz w:val="22"/>
                <w:szCs w:val="22"/>
              </w:rPr>
            </w:pPr>
            <w:r w:rsidRPr="00380B88">
              <w:rPr>
                <w:rFonts w:cs="Cambria"/>
                <w:sz w:val="22"/>
                <w:szCs w:val="22"/>
              </w:rPr>
              <w:t>.05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B88" w:rsidRPr="00380B88" w:rsidRDefault="00380B88" w:rsidP="00380B88">
            <w:pPr>
              <w:rPr>
                <w:sz w:val="22"/>
                <w:szCs w:val="22"/>
              </w:rPr>
            </w:pPr>
            <w:r w:rsidRPr="00380B88">
              <w:rPr>
                <w:rFonts w:cs="Cambria"/>
                <w:sz w:val="22"/>
                <w:szCs w:val="22"/>
              </w:rPr>
              <w:t>Irritant</w:t>
            </w:r>
          </w:p>
        </w:tc>
      </w:tr>
    </w:tbl>
    <w:p w:rsidR="00380B88" w:rsidRDefault="00380B88" w:rsidP="00380B88">
      <w:pPr>
        <w:rPr>
          <w:rFonts w:cs="Verdana"/>
          <w:i/>
          <w:sz w:val="22"/>
          <w:szCs w:val="22"/>
        </w:rPr>
      </w:pPr>
      <w:r w:rsidRPr="005920F9">
        <w:rPr>
          <w:i/>
          <w:sz w:val="22"/>
          <w:szCs w:val="22"/>
        </w:rPr>
        <w:t xml:space="preserve">Sources: Handbook for Organic Chemistry, </w:t>
      </w:r>
      <w:r w:rsidRPr="005920F9">
        <w:rPr>
          <w:rFonts w:cs="Verdana"/>
          <w:b/>
          <w:bCs/>
          <w:i/>
          <w:sz w:val="22"/>
          <w:szCs w:val="22"/>
        </w:rPr>
        <w:t>CRC Handbook of Chemistry and Physics</w:t>
      </w:r>
      <w:r w:rsidRPr="005920F9">
        <w:rPr>
          <w:rFonts w:cs="Verdana"/>
          <w:i/>
          <w:sz w:val="22"/>
          <w:szCs w:val="22"/>
        </w:rPr>
        <w:t xml:space="preserve"> (especially Section C: "Physical Constants of Organic Compounds</w:t>
      </w:r>
      <w:proofErr w:type="gramStart"/>
      <w:r w:rsidRPr="005920F9">
        <w:rPr>
          <w:rFonts w:cs="Verdana"/>
          <w:i/>
          <w:sz w:val="22"/>
          <w:szCs w:val="22"/>
        </w:rPr>
        <w:t>" )</w:t>
      </w:r>
      <w:proofErr w:type="gramEnd"/>
      <w:r w:rsidRPr="005920F9">
        <w:rPr>
          <w:rFonts w:cs="Verdana"/>
          <w:i/>
          <w:sz w:val="22"/>
          <w:szCs w:val="22"/>
        </w:rPr>
        <w:t xml:space="preserve">, available at the information desk in the Science Library (in </w:t>
      </w:r>
      <w:proofErr w:type="spellStart"/>
      <w:r w:rsidRPr="005920F9">
        <w:rPr>
          <w:rFonts w:cs="Verdana"/>
          <w:i/>
          <w:sz w:val="22"/>
          <w:szCs w:val="22"/>
        </w:rPr>
        <w:t>Norlin</w:t>
      </w:r>
      <w:proofErr w:type="spellEnd"/>
      <w:r w:rsidRPr="005920F9">
        <w:rPr>
          <w:rFonts w:cs="Verdana"/>
          <w:i/>
          <w:sz w:val="22"/>
          <w:szCs w:val="22"/>
        </w:rPr>
        <w:t>) and in the Organic Chemistry Stockroom.</w:t>
      </w:r>
    </w:p>
    <w:p w:rsidR="00380B88" w:rsidRDefault="00380B88" w:rsidP="00380B88">
      <w:pPr>
        <w:rPr>
          <w:rFonts w:cs="Verdana"/>
          <w:i/>
          <w:sz w:val="22"/>
          <w:szCs w:val="22"/>
        </w:rPr>
      </w:pPr>
    </w:p>
    <w:p w:rsidR="00380B88" w:rsidRDefault="00380B88" w:rsidP="00380B88">
      <w:pPr>
        <w:rPr>
          <w:rFonts w:cs="Verdana"/>
          <w:i/>
          <w:sz w:val="22"/>
          <w:szCs w:val="22"/>
        </w:rPr>
      </w:pPr>
    </w:p>
    <w:p w:rsidR="00380B88" w:rsidRDefault="00380B88" w:rsidP="00380B88">
      <w:pPr>
        <w:rPr>
          <w:rFonts w:cs="Verdana"/>
          <w:i/>
          <w:sz w:val="22"/>
          <w:szCs w:val="22"/>
        </w:rPr>
      </w:pPr>
    </w:p>
    <w:p w:rsidR="00380B88" w:rsidRPr="00380B88" w:rsidRDefault="00380B88" w:rsidP="00380B88">
      <w:pPr>
        <w:rPr>
          <w:rFonts w:cs="Verdana"/>
          <w:b/>
          <w:i/>
          <w:sz w:val="22"/>
          <w:szCs w:val="22"/>
        </w:rPr>
      </w:pPr>
      <w:r w:rsidRPr="00380B88">
        <w:rPr>
          <w:rFonts w:cs="Verdana"/>
          <w:b/>
          <w:i/>
          <w:sz w:val="22"/>
          <w:szCs w:val="22"/>
        </w:rPr>
        <w:lastRenderedPageBreak/>
        <w:t>Safety Precautions</w:t>
      </w:r>
    </w:p>
    <w:p w:rsidR="00380B88" w:rsidRDefault="00380B88" w:rsidP="00380B88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Sodium </w:t>
      </w:r>
      <w:proofErr w:type="spellStart"/>
      <w:r>
        <w:rPr>
          <w:i/>
          <w:sz w:val="22"/>
          <w:szCs w:val="22"/>
        </w:rPr>
        <w:t>borohyride</w:t>
      </w:r>
      <w:proofErr w:type="spellEnd"/>
      <w:r>
        <w:rPr>
          <w:i/>
          <w:sz w:val="22"/>
          <w:szCs w:val="22"/>
        </w:rPr>
        <w:t xml:space="preserve"> is extremely corrosive and toxic if ingested. If it comes contact with skin, rinse it effectively with water. Methanol, hexanes, and sodium </w:t>
      </w:r>
      <w:proofErr w:type="spellStart"/>
      <w:r>
        <w:rPr>
          <w:i/>
          <w:sz w:val="22"/>
          <w:szCs w:val="22"/>
        </w:rPr>
        <w:t>borohydride</w:t>
      </w:r>
      <w:proofErr w:type="spellEnd"/>
      <w:r>
        <w:rPr>
          <w:i/>
          <w:sz w:val="22"/>
          <w:szCs w:val="22"/>
        </w:rPr>
        <w:t xml:space="preserve"> are flammable. </w:t>
      </w:r>
      <w:proofErr w:type="spellStart"/>
      <w:r>
        <w:rPr>
          <w:i/>
          <w:sz w:val="22"/>
          <w:szCs w:val="22"/>
        </w:rPr>
        <w:t>Benzophenone</w:t>
      </w:r>
      <w:proofErr w:type="spellEnd"/>
      <w:r>
        <w:rPr>
          <w:i/>
          <w:sz w:val="22"/>
          <w:szCs w:val="22"/>
        </w:rPr>
        <w:t xml:space="preserve"> and </w:t>
      </w:r>
      <w:proofErr w:type="spellStart"/>
      <w:r>
        <w:rPr>
          <w:i/>
          <w:sz w:val="22"/>
          <w:szCs w:val="22"/>
        </w:rPr>
        <w:t>benzhydrol</w:t>
      </w:r>
      <w:proofErr w:type="spellEnd"/>
      <w:r>
        <w:rPr>
          <w:i/>
          <w:sz w:val="22"/>
          <w:szCs w:val="22"/>
        </w:rPr>
        <w:t xml:space="preserve"> are irritants, thus avoid skin contact. </w:t>
      </w:r>
    </w:p>
    <w:p w:rsidR="00380B88" w:rsidRDefault="00380B88" w:rsidP="00380B88">
      <w:pPr>
        <w:rPr>
          <w:i/>
          <w:sz w:val="22"/>
          <w:szCs w:val="22"/>
        </w:rPr>
      </w:pPr>
    </w:p>
    <w:p w:rsidR="00380B88" w:rsidRDefault="00380B88" w:rsidP="00380B88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Wastes</w:t>
      </w:r>
    </w:p>
    <w:p w:rsidR="00380B88" w:rsidRDefault="00380B88" w:rsidP="00380B88">
      <w:pPr>
        <w:rPr>
          <w:i/>
          <w:sz w:val="22"/>
          <w:szCs w:val="22"/>
        </w:rPr>
      </w:pPr>
      <w:r>
        <w:rPr>
          <w:i/>
          <w:sz w:val="22"/>
          <w:szCs w:val="22"/>
        </w:rPr>
        <w:t>Aqueous Waste: The filtrates of the reaction mixture and water washes of the crude product</w:t>
      </w:r>
    </w:p>
    <w:p w:rsidR="00380B88" w:rsidRDefault="00380B88" w:rsidP="00380B88">
      <w:pPr>
        <w:rPr>
          <w:i/>
          <w:sz w:val="22"/>
          <w:szCs w:val="22"/>
        </w:rPr>
      </w:pPr>
      <w:r>
        <w:rPr>
          <w:i/>
          <w:sz w:val="22"/>
          <w:szCs w:val="22"/>
        </w:rPr>
        <w:t>Organic Waste: Hexanes used for recrystallization</w:t>
      </w:r>
    </w:p>
    <w:p w:rsidR="00380B88" w:rsidRDefault="00380B88" w:rsidP="00380B88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Solid Chemical Waste: The product, used pipets, filter paper, melting point capillaries and coverslips. </w:t>
      </w:r>
    </w:p>
    <w:p w:rsidR="00380B88" w:rsidRDefault="00380B88" w:rsidP="00380B88">
      <w:pPr>
        <w:rPr>
          <w:i/>
          <w:sz w:val="22"/>
          <w:szCs w:val="22"/>
        </w:rPr>
      </w:pPr>
    </w:p>
    <w:p w:rsidR="00380B88" w:rsidRDefault="00380B88" w:rsidP="00380B88">
      <w:pPr>
        <w:rPr>
          <w:b/>
          <w:sz w:val="22"/>
          <w:szCs w:val="22"/>
        </w:rPr>
      </w:pPr>
      <w:r>
        <w:rPr>
          <w:b/>
          <w:sz w:val="22"/>
          <w:szCs w:val="22"/>
        </w:rPr>
        <w:t>Procedure</w:t>
      </w:r>
    </w:p>
    <w:p w:rsidR="00380B88" w:rsidRDefault="00380B88" w:rsidP="00380B88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Weigh out </w:t>
      </w:r>
      <w:r w:rsidR="002945C6">
        <w:rPr>
          <w:sz w:val="22"/>
          <w:szCs w:val="22"/>
        </w:rPr>
        <w:t xml:space="preserve">456 mg of </w:t>
      </w:r>
      <w:proofErr w:type="spellStart"/>
      <w:proofErr w:type="gramStart"/>
      <w:r w:rsidR="002945C6">
        <w:rPr>
          <w:sz w:val="22"/>
          <w:szCs w:val="22"/>
        </w:rPr>
        <w:t>benzophenone</w:t>
      </w:r>
      <w:proofErr w:type="spellEnd"/>
      <w:r w:rsidR="002945C6">
        <w:rPr>
          <w:sz w:val="22"/>
          <w:szCs w:val="22"/>
        </w:rPr>
        <w:t xml:space="preserve">  and</w:t>
      </w:r>
      <w:proofErr w:type="gramEnd"/>
      <w:r w:rsidR="002945C6">
        <w:rPr>
          <w:sz w:val="22"/>
          <w:szCs w:val="22"/>
        </w:rPr>
        <w:t xml:space="preserve"> dissolve it in 5mL of methanol in an Erlenmeyer flask.</w:t>
      </w:r>
    </w:p>
    <w:p w:rsidR="002945C6" w:rsidRDefault="002945C6" w:rsidP="00380B88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Add the stir bar</w:t>
      </w:r>
    </w:p>
    <w:p w:rsidR="002945C6" w:rsidRDefault="002945C6" w:rsidP="002945C6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Place it over a stir motor and star the stirring.</w:t>
      </w:r>
    </w:p>
    <w:p w:rsidR="002945C6" w:rsidRDefault="002945C6" w:rsidP="002945C6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After it is completely dissolved, place it in an ice bath under the flask.</w:t>
      </w:r>
    </w:p>
    <w:p w:rsidR="002945C6" w:rsidRDefault="002945C6" w:rsidP="002945C6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Add 142 g of sodium </w:t>
      </w:r>
      <w:proofErr w:type="spellStart"/>
      <w:r>
        <w:rPr>
          <w:sz w:val="22"/>
          <w:szCs w:val="22"/>
        </w:rPr>
        <w:t>borohydride</w:t>
      </w:r>
      <w:proofErr w:type="spellEnd"/>
      <w:r>
        <w:rPr>
          <w:sz w:val="22"/>
          <w:szCs w:val="22"/>
        </w:rPr>
        <w:t xml:space="preserve"> in two/three portions.</w:t>
      </w:r>
    </w:p>
    <w:p w:rsidR="002945C6" w:rsidRDefault="002945C6" w:rsidP="002945C6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Since its an exothermic reaction, add it slowly in order to keep the mixture from getting too hot</w:t>
      </w:r>
    </w:p>
    <w:p w:rsidR="002945C6" w:rsidRDefault="002945C6" w:rsidP="002945C6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When all of sodium </w:t>
      </w:r>
      <w:proofErr w:type="spellStart"/>
      <w:r>
        <w:rPr>
          <w:sz w:val="22"/>
          <w:szCs w:val="22"/>
        </w:rPr>
        <w:t>borohydride</w:t>
      </w:r>
      <w:proofErr w:type="spellEnd"/>
      <w:r>
        <w:rPr>
          <w:sz w:val="22"/>
          <w:szCs w:val="22"/>
        </w:rPr>
        <w:t xml:space="preserve"> is added, remove it from the ice bath and stir it for another 10-15 minutes.</w:t>
      </w:r>
    </w:p>
    <w:p w:rsidR="002945C6" w:rsidRDefault="002945C6" w:rsidP="002945C6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Place it again in an ice bath and slowly add 15mL of 1M </w:t>
      </w:r>
      <w:proofErr w:type="spellStart"/>
      <w:r>
        <w:rPr>
          <w:sz w:val="22"/>
          <w:szCs w:val="22"/>
        </w:rPr>
        <w:t>HCl</w:t>
      </w:r>
      <w:proofErr w:type="spellEnd"/>
      <w:r>
        <w:rPr>
          <w:sz w:val="22"/>
          <w:szCs w:val="22"/>
        </w:rPr>
        <w:t xml:space="preserve">. </w:t>
      </w:r>
    </w:p>
    <w:p w:rsidR="002945C6" w:rsidRDefault="002945C6" w:rsidP="002945C6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Perform a vacuum filtration, collect the crystals</w:t>
      </w:r>
    </w:p>
    <w:p w:rsidR="002945C6" w:rsidRDefault="002945C6" w:rsidP="002945C6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Rinse them with small amounts of cold water.</w:t>
      </w:r>
    </w:p>
    <w:p w:rsidR="002945C6" w:rsidRDefault="002945C6" w:rsidP="002945C6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Determine the Yield and perform a melting point test of the crude product.</w:t>
      </w:r>
    </w:p>
    <w:p w:rsidR="002945C6" w:rsidRDefault="002945C6" w:rsidP="002945C6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Collect 100mg of the crude product and purify it with hexanes and again determine the recrystallized yield and melting point. </w:t>
      </w:r>
    </w:p>
    <w:p w:rsidR="002945C6" w:rsidRDefault="002945C6" w:rsidP="002945C6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Compare the melting point of the crude </w:t>
      </w:r>
      <w:proofErr w:type="spellStart"/>
      <w:r>
        <w:rPr>
          <w:sz w:val="22"/>
          <w:szCs w:val="22"/>
        </w:rPr>
        <w:t>vs</w:t>
      </w:r>
      <w:proofErr w:type="spellEnd"/>
      <w:r>
        <w:rPr>
          <w:sz w:val="22"/>
          <w:szCs w:val="22"/>
        </w:rPr>
        <w:t xml:space="preserve"> purified</w:t>
      </w:r>
    </w:p>
    <w:p w:rsidR="002945C6" w:rsidRDefault="002945C6" w:rsidP="002945C6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Run a FTIR spectrum of the product.</w:t>
      </w:r>
    </w:p>
    <w:p w:rsidR="002945C6" w:rsidRPr="00380B88" w:rsidRDefault="002945C6" w:rsidP="002945C6">
      <w:pPr>
        <w:pStyle w:val="ListParagraph"/>
        <w:numPr>
          <w:ilvl w:val="1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Benzhydrol</w:t>
      </w:r>
      <w:proofErr w:type="spellEnd"/>
      <w:r>
        <w:rPr>
          <w:sz w:val="22"/>
          <w:szCs w:val="22"/>
        </w:rPr>
        <w:t xml:space="preserve"> will have to be dissolved in a few drops of methylene chloride, transferred to a salt plate, and then the methylene chloride must be </w:t>
      </w:r>
      <w:proofErr w:type="spellStart"/>
      <w:r>
        <w:rPr>
          <w:sz w:val="22"/>
          <w:szCs w:val="22"/>
        </w:rPr>
        <w:t>evaportated</w:t>
      </w:r>
      <w:proofErr w:type="spellEnd"/>
      <w:r>
        <w:rPr>
          <w:sz w:val="22"/>
          <w:szCs w:val="22"/>
        </w:rPr>
        <w:t xml:space="preserve">. </w:t>
      </w:r>
      <w:bookmarkStart w:id="0" w:name="_GoBack"/>
      <w:bookmarkEnd w:id="0"/>
    </w:p>
    <w:p w:rsidR="00380B88" w:rsidRPr="00380B88" w:rsidRDefault="00380B88" w:rsidP="00380B88">
      <w:pPr>
        <w:rPr>
          <w:b/>
        </w:rPr>
      </w:pPr>
    </w:p>
    <w:sectPr w:rsidR="00380B88" w:rsidRPr="00380B88" w:rsidSect="008570D6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B88" w:rsidRDefault="00380B88" w:rsidP="00380B88">
      <w:r>
        <w:separator/>
      </w:r>
    </w:p>
  </w:endnote>
  <w:endnote w:type="continuationSeparator" w:id="0">
    <w:p w:rsidR="00380B88" w:rsidRDefault="00380B88" w:rsidP="00380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B88" w:rsidRDefault="00380B88" w:rsidP="00380B88">
      <w:r>
        <w:separator/>
      </w:r>
    </w:p>
  </w:footnote>
  <w:footnote w:type="continuationSeparator" w:id="0">
    <w:p w:rsidR="00380B88" w:rsidRDefault="00380B88" w:rsidP="00380B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B88" w:rsidRDefault="00380B88">
    <w:pPr>
      <w:pStyle w:val="Header"/>
    </w:pPr>
    <w:r>
      <w:t>Nishesh Shukla</w:t>
    </w:r>
  </w:p>
  <w:p w:rsidR="00380B88" w:rsidRDefault="00380B88">
    <w:pPr>
      <w:pStyle w:val="Header"/>
    </w:pPr>
    <w:r>
      <w:t>CHEM 3341-128</w:t>
    </w:r>
  </w:p>
  <w:p w:rsidR="00380B88" w:rsidRDefault="00380B88">
    <w:pPr>
      <w:pStyle w:val="Header"/>
    </w:pPr>
    <w:proofErr w:type="spellStart"/>
    <w:r>
      <w:t>Carley</w:t>
    </w:r>
    <w:proofErr w:type="spellEnd"/>
    <w:r>
      <w:t xml:space="preserve"> Little</w:t>
    </w:r>
  </w:p>
  <w:p w:rsidR="00380B88" w:rsidRDefault="00380B88">
    <w:pPr>
      <w:pStyle w:val="Header"/>
    </w:pPr>
    <w:proofErr w:type="spellStart"/>
    <w:r>
      <w:t>Exp</w:t>
    </w:r>
    <w:proofErr w:type="spellEnd"/>
    <w:r>
      <w:t xml:space="preserve"> #17 – Pre</w:t>
    </w:r>
  </w:p>
  <w:p w:rsidR="00380B88" w:rsidRDefault="00380B88">
    <w:pPr>
      <w:pStyle w:val="Header"/>
    </w:pPr>
    <w:r>
      <w:t>3/05/14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318B2"/>
    <w:multiLevelType w:val="hybridMultilevel"/>
    <w:tmpl w:val="506C9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F2284F"/>
    <w:multiLevelType w:val="hybridMultilevel"/>
    <w:tmpl w:val="40706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B88"/>
    <w:rsid w:val="002945C6"/>
    <w:rsid w:val="00380B88"/>
    <w:rsid w:val="008570D6"/>
    <w:rsid w:val="00D0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59572B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B88"/>
  </w:style>
  <w:style w:type="paragraph" w:styleId="Footer">
    <w:name w:val="footer"/>
    <w:basedOn w:val="Normal"/>
    <w:link w:val="FooterChar"/>
    <w:uiPriority w:val="99"/>
    <w:unhideWhenUsed/>
    <w:rsid w:val="00380B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0B88"/>
  </w:style>
  <w:style w:type="paragraph" w:styleId="ListParagraph">
    <w:name w:val="List Paragraph"/>
    <w:basedOn w:val="Normal"/>
    <w:uiPriority w:val="34"/>
    <w:qFormat/>
    <w:rsid w:val="00380B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B88"/>
  </w:style>
  <w:style w:type="paragraph" w:styleId="Footer">
    <w:name w:val="footer"/>
    <w:basedOn w:val="Normal"/>
    <w:link w:val="FooterChar"/>
    <w:uiPriority w:val="99"/>
    <w:unhideWhenUsed/>
    <w:rsid w:val="00380B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0B88"/>
  </w:style>
  <w:style w:type="paragraph" w:styleId="ListParagraph">
    <w:name w:val="List Paragraph"/>
    <w:basedOn w:val="Normal"/>
    <w:uiPriority w:val="34"/>
    <w:qFormat/>
    <w:rsid w:val="00380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427</Words>
  <Characters>2436</Characters>
  <Application>Microsoft Macintosh Word</Application>
  <DocSecurity>0</DocSecurity>
  <Lines>20</Lines>
  <Paragraphs>5</Paragraphs>
  <ScaleCrop>false</ScaleCrop>
  <Company>CU Boulder</Company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Nishesh Shukla</dc:creator>
  <cp:keywords/>
  <dc:description/>
  <cp:lastModifiedBy>Nishesh Shukla</cp:lastModifiedBy>
  <cp:revision>1</cp:revision>
  <dcterms:created xsi:type="dcterms:W3CDTF">2014-03-05T15:05:00Z</dcterms:created>
  <dcterms:modified xsi:type="dcterms:W3CDTF">2014-03-05T15:30:00Z</dcterms:modified>
</cp:coreProperties>
</file>