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A6BFD" w14:textId="3E752D38" w:rsidR="002A0722" w:rsidRDefault="002A0722">
      <w:pPr>
        <w:rPr>
          <w:b/>
          <w:bCs/>
          <w:sz w:val="32"/>
          <w:szCs w:val="32"/>
        </w:rPr>
      </w:pPr>
      <w:r w:rsidRPr="002A0722">
        <w:rPr>
          <w:b/>
          <w:bCs/>
          <w:sz w:val="32"/>
          <w:szCs w:val="32"/>
        </w:rPr>
        <w:t>Task</w:t>
      </w:r>
      <w:r w:rsidRPr="002A0722">
        <w:rPr>
          <w:b/>
          <w:bCs/>
          <w:sz w:val="32"/>
          <w:szCs w:val="32"/>
        </w:rPr>
        <w:t xml:space="preserve"> 2</w:t>
      </w:r>
      <w:r w:rsidRPr="002A0722">
        <w:rPr>
          <w:b/>
          <w:bCs/>
          <w:sz w:val="32"/>
          <w:szCs w:val="32"/>
        </w:rPr>
        <w:t>:</w:t>
      </w:r>
    </w:p>
    <w:p w14:paraId="47CB107B" w14:textId="77777777" w:rsidR="002A0722" w:rsidRPr="002A0722" w:rsidRDefault="002A0722">
      <w:pPr>
        <w:rPr>
          <w:b/>
          <w:bCs/>
          <w:sz w:val="32"/>
          <w:szCs w:val="32"/>
        </w:rPr>
      </w:pPr>
    </w:p>
    <w:p w14:paraId="3594A7DA" w14:textId="579421E7" w:rsidR="002A0722" w:rsidRPr="002A0722" w:rsidRDefault="002A0722" w:rsidP="002A07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0722">
        <w:rPr>
          <w:b/>
          <w:bCs/>
          <w:sz w:val="32"/>
          <w:szCs w:val="32"/>
        </w:rPr>
        <w:t>comparison t</w:t>
      </w:r>
      <w:r w:rsidRPr="002A0722">
        <w:rPr>
          <w:b/>
          <w:bCs/>
          <w:sz w:val="32"/>
          <w:szCs w:val="32"/>
        </w:rPr>
        <w:t>a</w:t>
      </w:r>
      <w:r w:rsidRPr="002A0722">
        <w:rPr>
          <w:b/>
          <w:bCs/>
          <w:sz w:val="32"/>
          <w:szCs w:val="32"/>
        </w:rPr>
        <w:t>ble</w:t>
      </w:r>
    </w:p>
    <w:p w14:paraId="662D05EC" w14:textId="77777777" w:rsidR="002A0722" w:rsidRPr="002A0722" w:rsidRDefault="002A0722" w:rsidP="002A0722">
      <w:pPr>
        <w:ind w:left="0" w:firstLine="0"/>
        <w:rPr>
          <w:b/>
          <w:bCs/>
          <w:sz w:val="32"/>
          <w:szCs w:val="32"/>
        </w:rPr>
      </w:pPr>
    </w:p>
    <w:tbl>
      <w:tblPr>
        <w:tblW w:w="95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192"/>
        <w:gridCol w:w="1505"/>
        <w:gridCol w:w="1460"/>
        <w:gridCol w:w="1355"/>
        <w:gridCol w:w="1363"/>
        <w:gridCol w:w="1206"/>
      </w:tblGrid>
      <w:tr w:rsidR="002A0722" w:rsidRPr="002A0722" w14:paraId="3CA5FF54" w14:textId="77777777" w:rsidTr="002A0722">
        <w:trPr>
          <w:tblHeader/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4F23136" w14:textId="77777777" w:rsidR="002A0722" w:rsidRPr="002A0722" w:rsidRDefault="002A0722" w:rsidP="002A0722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Blockchain Name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A56BA43" w14:textId="77777777" w:rsidR="002A0722" w:rsidRPr="002A0722" w:rsidRDefault="002A0722" w:rsidP="002A0722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C34676C" w14:textId="77777777" w:rsidR="002A0722" w:rsidRPr="002A0722" w:rsidRDefault="002A0722" w:rsidP="002A0722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Consensus Mechanism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1704DDC" w14:textId="77777777" w:rsidR="002A0722" w:rsidRPr="002A0722" w:rsidRDefault="002A0722" w:rsidP="002A0722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Permission Model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C67D087" w14:textId="77777777" w:rsidR="002A0722" w:rsidRPr="002A0722" w:rsidRDefault="002A0722" w:rsidP="002A0722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TPS / Speed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5B7C28E" w14:textId="77777777" w:rsidR="002A0722" w:rsidRPr="002A0722" w:rsidRDefault="002A0722" w:rsidP="002A0722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Smart Contract Support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5AF908F" w14:textId="77777777" w:rsidR="002A0722" w:rsidRPr="002A0722" w:rsidRDefault="002A0722" w:rsidP="002A0722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Token Support</w:t>
            </w:r>
          </w:p>
        </w:tc>
      </w:tr>
      <w:tr w:rsidR="002A0722" w:rsidRPr="002A0722" w14:paraId="28A5A653" w14:textId="77777777" w:rsidTr="002A0722">
        <w:trPr>
          <w:tblCellSpacing w:w="15" w:type="dxa"/>
        </w:trPr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4741112E" w14:textId="77777777" w:rsidR="002A0722" w:rsidRPr="002A0722" w:rsidRDefault="002A0722" w:rsidP="002A0722">
            <w:pPr>
              <w:jc w:val="left"/>
            </w:pPr>
            <w:r w:rsidRPr="002A0722">
              <w:rPr>
                <w:b/>
                <w:bCs/>
              </w:rPr>
              <w:t>Ethereum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263CFF7C" w14:textId="77777777" w:rsidR="002A0722" w:rsidRPr="002A0722" w:rsidRDefault="002A0722" w:rsidP="002A0722">
            <w:pPr>
              <w:jc w:val="left"/>
            </w:pPr>
            <w:r w:rsidRPr="002A0722">
              <w:t>Public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0D21EF7F" w14:textId="2C77EA48" w:rsidR="002A0722" w:rsidRPr="002A0722" w:rsidRDefault="002A0722" w:rsidP="002A0722">
            <w:pPr>
              <w:jc w:val="left"/>
            </w:pPr>
            <w:r w:rsidRPr="002A0722">
              <w:t>Proof</w:t>
            </w:r>
            <w:r w:rsidRPr="002A0722">
              <w:t xml:space="preserve"> </w:t>
            </w:r>
            <w:r w:rsidRPr="002A0722">
              <w:t>of Stake (</w:t>
            </w:r>
            <w:proofErr w:type="spellStart"/>
            <w:r w:rsidRPr="002A0722">
              <w:t>PoS</w:t>
            </w:r>
            <w:proofErr w:type="spellEnd"/>
            <w:r w:rsidRPr="002A0722">
              <w:t>)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69ED9E7F" w14:textId="77777777" w:rsidR="002A0722" w:rsidRPr="002A0722" w:rsidRDefault="002A0722" w:rsidP="002A0722">
            <w:pPr>
              <w:jc w:val="left"/>
            </w:pPr>
            <w:r w:rsidRPr="002A0722">
              <w:t>Open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5BE6534A" w14:textId="77777777" w:rsidR="002A0722" w:rsidRPr="002A0722" w:rsidRDefault="002A0722" w:rsidP="002A0722">
            <w:pPr>
              <w:jc w:val="left"/>
            </w:pPr>
            <w:r w:rsidRPr="002A0722">
              <w:t>~15–30 TPS (L1), 1000+ via L2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2E161FF7" w14:textId="51F7BC96" w:rsidR="002A0722" w:rsidRPr="002A0722" w:rsidRDefault="002A0722" w:rsidP="002A0722">
            <w:pPr>
              <w:jc w:val="left"/>
            </w:pPr>
            <w:r w:rsidRPr="002A0722">
              <w:t xml:space="preserve">Yes (Solidity, </w:t>
            </w:r>
            <w:proofErr w:type="spellStart"/>
            <w:r w:rsidRPr="002A0722">
              <w:t>Vyper</w:t>
            </w:r>
            <w:proofErr w:type="spellEnd"/>
            <w:r w:rsidRPr="002A0722">
              <w:t>)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21D517A8" w14:textId="393D1F7E" w:rsidR="002A0722" w:rsidRPr="002A0722" w:rsidRDefault="002A0722" w:rsidP="002A0722">
            <w:pPr>
              <w:jc w:val="left"/>
            </w:pPr>
            <w:r w:rsidRPr="002A0722">
              <w:t>ETH (native)</w:t>
            </w:r>
          </w:p>
        </w:tc>
      </w:tr>
      <w:tr w:rsidR="002A0722" w:rsidRPr="002A0722" w14:paraId="0DC32299" w14:textId="77777777" w:rsidTr="002A0722">
        <w:trPr>
          <w:tblCellSpacing w:w="15" w:type="dxa"/>
        </w:trPr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75EA86FB" w14:textId="77777777" w:rsidR="002A0722" w:rsidRPr="002A0722" w:rsidRDefault="002A0722" w:rsidP="002A0722">
            <w:pPr>
              <w:jc w:val="left"/>
            </w:pPr>
            <w:r w:rsidRPr="002A0722">
              <w:rPr>
                <w:b/>
                <w:bCs/>
              </w:rPr>
              <w:t>Hyperledger Fabric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41493A4D" w14:textId="77777777" w:rsidR="002A0722" w:rsidRPr="002A0722" w:rsidRDefault="002A0722" w:rsidP="002A0722">
            <w:pPr>
              <w:jc w:val="left"/>
            </w:pPr>
            <w:r w:rsidRPr="002A0722">
              <w:t>Private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314E8433" w14:textId="77777777" w:rsidR="002A0722" w:rsidRPr="002A0722" w:rsidRDefault="002A0722" w:rsidP="002A0722">
            <w:pPr>
              <w:jc w:val="left"/>
            </w:pPr>
            <w:r w:rsidRPr="002A0722">
              <w:t>Pluggable (e.g., Raft, Kafka)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2C326568" w14:textId="77777777" w:rsidR="002A0722" w:rsidRPr="002A0722" w:rsidRDefault="002A0722" w:rsidP="002A0722">
            <w:pPr>
              <w:jc w:val="left"/>
            </w:pPr>
            <w:r w:rsidRPr="002A0722">
              <w:t>Permissioned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24690832" w14:textId="77777777" w:rsidR="002A0722" w:rsidRPr="002A0722" w:rsidRDefault="002A0722" w:rsidP="002A0722">
            <w:pPr>
              <w:jc w:val="left"/>
            </w:pPr>
            <w:r w:rsidRPr="002A0722">
              <w:t>1000+ TPS (depending on setup)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6C6C2F97" w14:textId="4C1062A8" w:rsidR="002A0722" w:rsidRPr="002A0722" w:rsidRDefault="002A0722" w:rsidP="002A0722">
            <w:pPr>
              <w:jc w:val="left"/>
            </w:pPr>
            <w:r w:rsidRPr="002A0722">
              <w:t>Yes (</w:t>
            </w:r>
            <w:proofErr w:type="spellStart"/>
            <w:r w:rsidRPr="002A0722">
              <w:t>Chaincode</w:t>
            </w:r>
            <w:proofErr w:type="spellEnd"/>
            <w:r w:rsidRPr="002A0722">
              <w:t xml:space="preserve"> - Go, Java, JS)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0D6AB45C" w14:textId="5DA6BAB2" w:rsidR="002A0722" w:rsidRPr="002A0722" w:rsidRDefault="002A0722" w:rsidP="002A0722">
            <w:pPr>
              <w:jc w:val="left"/>
            </w:pPr>
            <w:r w:rsidRPr="002A0722">
              <w:t>No native token</w:t>
            </w:r>
          </w:p>
        </w:tc>
      </w:tr>
      <w:tr w:rsidR="002A0722" w:rsidRPr="002A0722" w14:paraId="4BA69C14" w14:textId="77777777" w:rsidTr="002A0722">
        <w:trPr>
          <w:tblCellSpacing w:w="15" w:type="dxa"/>
        </w:trPr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121305A1" w14:textId="77777777" w:rsidR="002A0722" w:rsidRPr="002A0722" w:rsidRDefault="002A0722" w:rsidP="002A0722">
            <w:pPr>
              <w:jc w:val="left"/>
            </w:pPr>
            <w:r w:rsidRPr="002A0722">
              <w:rPr>
                <w:b/>
                <w:bCs/>
              </w:rPr>
              <w:t>Quorum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7ECB9962" w14:textId="77777777" w:rsidR="002A0722" w:rsidRPr="002A0722" w:rsidRDefault="002A0722" w:rsidP="002A0722">
            <w:pPr>
              <w:jc w:val="left"/>
            </w:pPr>
            <w:r w:rsidRPr="002A0722">
              <w:t>Consortium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63C84D62" w14:textId="77777777" w:rsidR="002A0722" w:rsidRPr="002A0722" w:rsidRDefault="002A0722" w:rsidP="002A0722">
            <w:pPr>
              <w:jc w:val="left"/>
            </w:pPr>
            <w:r w:rsidRPr="002A0722">
              <w:t>Istanbul BFT / Raft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164D85BE" w14:textId="77777777" w:rsidR="002A0722" w:rsidRPr="002A0722" w:rsidRDefault="002A0722" w:rsidP="002A0722">
            <w:pPr>
              <w:jc w:val="left"/>
            </w:pPr>
            <w:r w:rsidRPr="002A0722">
              <w:t>Permissioned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37107508" w14:textId="77777777" w:rsidR="002A0722" w:rsidRPr="002A0722" w:rsidRDefault="002A0722" w:rsidP="002A0722">
            <w:pPr>
              <w:jc w:val="left"/>
            </w:pPr>
            <w:r w:rsidRPr="002A0722">
              <w:t>~100–1000+ TPS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0D6697CA" w14:textId="09D4B6D0" w:rsidR="002A0722" w:rsidRPr="002A0722" w:rsidRDefault="002A0722" w:rsidP="002A0722">
            <w:pPr>
              <w:jc w:val="left"/>
            </w:pPr>
            <w:r w:rsidRPr="002A0722">
              <w:t>Yes (Solidity, EVM-based)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33D9D8BB" w14:textId="3F6572D3" w:rsidR="002A0722" w:rsidRPr="002A0722" w:rsidRDefault="002A0722" w:rsidP="002A0722">
            <w:pPr>
              <w:jc w:val="left"/>
            </w:pPr>
            <w:r w:rsidRPr="002A0722">
              <w:t>ETH-compatible</w:t>
            </w:r>
          </w:p>
        </w:tc>
      </w:tr>
    </w:tbl>
    <w:p w14:paraId="71DB449F" w14:textId="77777777" w:rsidR="002A0722" w:rsidRDefault="002A0722" w:rsidP="002A0722">
      <w:pPr>
        <w:rPr>
          <w:sz w:val="24"/>
          <w:szCs w:val="24"/>
        </w:rPr>
      </w:pPr>
    </w:p>
    <w:p w14:paraId="5553687F" w14:textId="77777777" w:rsidR="002A0722" w:rsidRDefault="002A0722" w:rsidP="002A0722">
      <w:pPr>
        <w:rPr>
          <w:sz w:val="24"/>
          <w:szCs w:val="24"/>
        </w:rPr>
      </w:pPr>
    </w:p>
    <w:tbl>
      <w:tblPr>
        <w:tblW w:w="8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036"/>
        <w:gridCol w:w="5103"/>
      </w:tblGrid>
      <w:tr w:rsidR="002A0722" w:rsidRPr="002A0722" w14:paraId="6E2629FD" w14:textId="77777777" w:rsidTr="002A0722">
        <w:trPr>
          <w:tblHeader/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CEAB7A0" w14:textId="77777777" w:rsidR="002A0722" w:rsidRPr="002A0722" w:rsidRDefault="002A0722" w:rsidP="002C3870">
            <w:pPr>
              <w:jc w:val="left"/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Blockchain Name</w:t>
            </w:r>
          </w:p>
        </w:tc>
        <w:tc>
          <w:tcPr>
            <w:tcW w:w="2006" w:type="dxa"/>
            <w:shd w:val="clear" w:color="auto" w:fill="B4C6E7" w:themeFill="accent1" w:themeFillTint="6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2A0722" w:rsidRPr="002A0722" w14:paraId="46F322AE" w14:textId="77777777" w:rsidTr="002A07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A6EA2" w14:textId="77777777" w:rsidR="002A0722" w:rsidRPr="002A0722" w:rsidRDefault="002A0722" w:rsidP="002A072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A0722">
                    <w:rPr>
                      <w:b/>
                      <w:bCs/>
                      <w:sz w:val="24"/>
                      <w:szCs w:val="24"/>
                    </w:rPr>
                    <w:t>Typical Use Case</w:t>
                  </w:r>
                </w:p>
              </w:tc>
            </w:tr>
          </w:tbl>
          <w:p w14:paraId="7886415A" w14:textId="77777777" w:rsidR="002A0722" w:rsidRPr="002A0722" w:rsidRDefault="002A0722" w:rsidP="002A0722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0722" w:rsidRPr="002A0722" w14:paraId="20827F8B" w14:textId="77777777" w:rsidTr="002A07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61939" w14:textId="2604EFA1" w:rsidR="002A0722" w:rsidRPr="002A0722" w:rsidRDefault="002A0722" w:rsidP="002A0722">
                  <w:pPr>
                    <w:ind w:left="0" w:firstLine="0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3935629" w14:textId="18EB87E5" w:rsidR="002A0722" w:rsidRPr="002A0722" w:rsidRDefault="002A0722" w:rsidP="002A072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8" w:type="dxa"/>
            <w:shd w:val="clear" w:color="auto" w:fill="B4C6E7" w:themeFill="accent1" w:themeFillTint="66"/>
            <w:vAlign w:val="center"/>
            <w:hideMark/>
          </w:tcPr>
          <w:p w14:paraId="465D1F10" w14:textId="63BD4546" w:rsidR="002A0722" w:rsidRPr="002A0722" w:rsidRDefault="002A0722" w:rsidP="002A0722">
            <w:pPr>
              <w:rPr>
                <w:b/>
                <w:bCs/>
                <w:sz w:val="24"/>
                <w:szCs w:val="24"/>
              </w:rPr>
            </w:pPr>
            <w:r w:rsidRPr="002A0722">
              <w:rPr>
                <w:b/>
                <w:bCs/>
                <w:sz w:val="24"/>
                <w:szCs w:val="24"/>
              </w:rPr>
              <w:t>Notable Technical Feature</w:t>
            </w:r>
          </w:p>
        </w:tc>
      </w:tr>
      <w:tr w:rsidR="002A0722" w:rsidRPr="002A0722" w14:paraId="47254EB5" w14:textId="77777777" w:rsidTr="002A0722">
        <w:trPr>
          <w:tblCellSpacing w:w="15" w:type="dxa"/>
        </w:trPr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4925C9A4" w14:textId="77777777" w:rsidR="002A0722" w:rsidRPr="002A0722" w:rsidRDefault="002A0722" w:rsidP="002C3870">
            <w:pPr>
              <w:jc w:val="left"/>
            </w:pPr>
            <w:r w:rsidRPr="002A0722">
              <w:rPr>
                <w:b/>
                <w:bCs/>
              </w:rPr>
              <w:t>Ethereum</w:t>
            </w:r>
          </w:p>
        </w:tc>
        <w:tc>
          <w:tcPr>
            <w:tcW w:w="2006" w:type="dxa"/>
            <w:shd w:val="clear" w:color="auto" w:fill="D5DCE4" w:themeFill="text2" w:themeFillTint="3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6"/>
            </w:tblGrid>
            <w:tr w:rsidR="002A0722" w:rsidRPr="002A0722" w14:paraId="5E305DA7" w14:textId="77777777" w:rsidTr="002A07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C1E3A" w14:textId="77777777" w:rsidR="002A0722" w:rsidRPr="002A0722" w:rsidRDefault="002A0722" w:rsidP="002A0722">
                  <w:pPr>
                    <w:jc w:val="left"/>
                  </w:pPr>
                  <w:r w:rsidRPr="002A0722">
                    <w:t>Decentralized apps, NFTs, DeFi</w:t>
                  </w:r>
                </w:p>
              </w:tc>
            </w:tr>
          </w:tbl>
          <w:p w14:paraId="0085AD8F" w14:textId="77777777" w:rsidR="002A0722" w:rsidRPr="002A0722" w:rsidRDefault="002A0722" w:rsidP="002A0722">
            <w:pPr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0722" w:rsidRPr="002A0722" w14:paraId="31C3F40B" w14:textId="77777777" w:rsidTr="002A07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FEAEB" w14:textId="3AD11171" w:rsidR="002A0722" w:rsidRPr="002A0722" w:rsidRDefault="002A0722" w:rsidP="002A0722">
                  <w:pPr>
                    <w:ind w:left="0" w:firstLine="0"/>
                    <w:jc w:val="left"/>
                  </w:pPr>
                </w:p>
              </w:tc>
            </w:tr>
          </w:tbl>
          <w:p w14:paraId="49B586CC" w14:textId="1D21C6C7" w:rsidR="002A0722" w:rsidRPr="002A0722" w:rsidRDefault="002A0722" w:rsidP="002C3870">
            <w:pPr>
              <w:jc w:val="left"/>
            </w:pPr>
          </w:p>
        </w:tc>
        <w:tc>
          <w:tcPr>
            <w:tcW w:w="5058" w:type="dxa"/>
            <w:shd w:val="clear" w:color="auto" w:fill="D5DCE4" w:themeFill="text2" w:themeFillTint="33"/>
            <w:vAlign w:val="center"/>
            <w:hideMark/>
          </w:tcPr>
          <w:p w14:paraId="5401215E" w14:textId="185E1240" w:rsidR="002A0722" w:rsidRPr="002A0722" w:rsidRDefault="002A0722" w:rsidP="002C3870">
            <w:pPr>
              <w:jc w:val="left"/>
            </w:pPr>
            <w:r w:rsidRPr="002A0722">
              <w:t>Large dev community, Layer-2 scaling</w:t>
            </w:r>
          </w:p>
        </w:tc>
      </w:tr>
      <w:tr w:rsidR="002A0722" w:rsidRPr="002A0722" w14:paraId="41DC403C" w14:textId="77777777" w:rsidTr="002A0722">
        <w:trPr>
          <w:tblCellSpacing w:w="15" w:type="dxa"/>
        </w:trPr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7D495044" w14:textId="77777777" w:rsidR="002A0722" w:rsidRPr="002A0722" w:rsidRDefault="002A0722" w:rsidP="002C3870">
            <w:pPr>
              <w:jc w:val="left"/>
            </w:pPr>
            <w:r w:rsidRPr="002A0722">
              <w:rPr>
                <w:b/>
                <w:bCs/>
              </w:rPr>
              <w:t>Hyperledger Fabric</w:t>
            </w:r>
          </w:p>
        </w:tc>
        <w:tc>
          <w:tcPr>
            <w:tcW w:w="2006" w:type="dxa"/>
            <w:shd w:val="clear" w:color="auto" w:fill="D5DCE4" w:themeFill="text2" w:themeFillTint="33"/>
            <w:vAlign w:val="center"/>
            <w:hideMark/>
          </w:tcPr>
          <w:p w14:paraId="00992ABB" w14:textId="7B443DD0" w:rsidR="002A0722" w:rsidRPr="002A0722" w:rsidRDefault="002A0722" w:rsidP="002C3870">
            <w:pPr>
              <w:jc w:val="left"/>
            </w:pPr>
            <w:r w:rsidRPr="002A0722">
              <w:t>Enterprise data sharing, internal ops</w:t>
            </w:r>
          </w:p>
        </w:tc>
        <w:tc>
          <w:tcPr>
            <w:tcW w:w="5058" w:type="dxa"/>
            <w:shd w:val="clear" w:color="auto" w:fill="D5DCE4" w:themeFill="text2" w:themeFillTint="33"/>
            <w:vAlign w:val="center"/>
            <w:hideMark/>
          </w:tcPr>
          <w:p w14:paraId="0F08FC50" w14:textId="502F92DD" w:rsidR="002A0722" w:rsidRPr="002A0722" w:rsidRDefault="002A0722" w:rsidP="002C3870">
            <w:pPr>
              <w:jc w:val="left"/>
            </w:pPr>
            <w:r w:rsidRPr="002A0722">
              <w:t>Modular architecture, private channels</w:t>
            </w:r>
          </w:p>
        </w:tc>
      </w:tr>
      <w:tr w:rsidR="002A0722" w:rsidRPr="002A0722" w14:paraId="4E207C01" w14:textId="77777777" w:rsidTr="002A0722">
        <w:trPr>
          <w:tblCellSpacing w:w="15" w:type="dxa"/>
        </w:trPr>
        <w:tc>
          <w:tcPr>
            <w:tcW w:w="0" w:type="auto"/>
            <w:shd w:val="clear" w:color="auto" w:fill="D5DCE4" w:themeFill="text2" w:themeFillTint="33"/>
            <w:vAlign w:val="center"/>
            <w:hideMark/>
          </w:tcPr>
          <w:p w14:paraId="3999128B" w14:textId="77777777" w:rsidR="002A0722" w:rsidRPr="002A0722" w:rsidRDefault="002A0722" w:rsidP="002C3870">
            <w:pPr>
              <w:jc w:val="left"/>
            </w:pPr>
            <w:r w:rsidRPr="002A0722">
              <w:rPr>
                <w:b/>
                <w:bCs/>
              </w:rPr>
              <w:t>Quorum</w:t>
            </w:r>
          </w:p>
        </w:tc>
        <w:tc>
          <w:tcPr>
            <w:tcW w:w="2006" w:type="dxa"/>
            <w:shd w:val="clear" w:color="auto" w:fill="D5DCE4" w:themeFill="text2" w:themeFillTint="3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6"/>
            </w:tblGrid>
            <w:tr w:rsidR="002A0722" w:rsidRPr="002A0722" w14:paraId="4E0FAEFA" w14:textId="77777777" w:rsidTr="002A07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8D77D" w14:textId="34B1635B" w:rsidR="002A0722" w:rsidRPr="002A0722" w:rsidRDefault="002A0722" w:rsidP="002A0722">
                  <w:pPr>
                    <w:jc w:val="left"/>
                  </w:pPr>
                  <w:r>
                    <w:t>I</w:t>
                  </w:r>
                  <w:r w:rsidRPr="002A0722">
                    <w:t>nter-bank transfers, regulated finance</w:t>
                  </w:r>
                </w:p>
              </w:tc>
            </w:tr>
          </w:tbl>
          <w:p w14:paraId="4AB87B1F" w14:textId="77777777" w:rsidR="002A0722" w:rsidRPr="002A0722" w:rsidRDefault="002A0722" w:rsidP="002A0722">
            <w:pPr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0722" w:rsidRPr="002A0722" w14:paraId="2ADC5968" w14:textId="77777777" w:rsidTr="002A07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826FC" w14:textId="7CE6DE70" w:rsidR="002A0722" w:rsidRPr="002A0722" w:rsidRDefault="002A0722" w:rsidP="002A0722">
                  <w:pPr>
                    <w:ind w:left="0" w:firstLine="0"/>
                    <w:jc w:val="left"/>
                  </w:pPr>
                </w:p>
              </w:tc>
            </w:tr>
          </w:tbl>
          <w:p w14:paraId="406922AE" w14:textId="4D5631A2" w:rsidR="002A0722" w:rsidRPr="002A0722" w:rsidRDefault="002A0722" w:rsidP="002C3870">
            <w:pPr>
              <w:jc w:val="left"/>
            </w:pPr>
          </w:p>
        </w:tc>
        <w:tc>
          <w:tcPr>
            <w:tcW w:w="5058" w:type="dxa"/>
            <w:shd w:val="clear" w:color="auto" w:fill="D5DCE4" w:themeFill="text2" w:themeFillTint="33"/>
            <w:vAlign w:val="center"/>
            <w:hideMark/>
          </w:tcPr>
          <w:p w14:paraId="1C64524B" w14:textId="3FF06560" w:rsidR="002A0722" w:rsidRPr="002A0722" w:rsidRDefault="002A0722" w:rsidP="002C3870">
            <w:pPr>
              <w:jc w:val="left"/>
            </w:pPr>
            <w:r w:rsidRPr="002A0722">
              <w:t>Private transactions, fast finality</w:t>
            </w:r>
          </w:p>
        </w:tc>
      </w:tr>
    </w:tbl>
    <w:p w14:paraId="230AB5BC" w14:textId="77777777" w:rsidR="002A0722" w:rsidRDefault="002A0722" w:rsidP="002A0722">
      <w:pPr>
        <w:rPr>
          <w:sz w:val="24"/>
          <w:szCs w:val="24"/>
        </w:rPr>
      </w:pPr>
    </w:p>
    <w:p w14:paraId="5A7D587C" w14:textId="77777777" w:rsidR="002A0722" w:rsidRDefault="002A0722" w:rsidP="002A0722">
      <w:pPr>
        <w:rPr>
          <w:sz w:val="24"/>
          <w:szCs w:val="24"/>
        </w:rPr>
      </w:pPr>
    </w:p>
    <w:p w14:paraId="7EB5DD18" w14:textId="77777777" w:rsidR="002A0722" w:rsidRDefault="002A0722" w:rsidP="002A0722">
      <w:pPr>
        <w:rPr>
          <w:sz w:val="24"/>
          <w:szCs w:val="24"/>
        </w:rPr>
      </w:pPr>
    </w:p>
    <w:p w14:paraId="4605E554" w14:textId="23927F23" w:rsidR="00CA265C" w:rsidRDefault="00CA265C" w:rsidP="00CA265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A265C">
        <w:rPr>
          <w:b/>
          <w:bCs/>
          <w:sz w:val="32"/>
          <w:szCs w:val="32"/>
        </w:rPr>
        <w:lastRenderedPageBreak/>
        <w:t>Short Report (150–200 words):</w:t>
      </w:r>
    </w:p>
    <w:p w14:paraId="1441580C" w14:textId="77777777" w:rsidR="00CA265C" w:rsidRDefault="00CA265C" w:rsidP="00CA265C">
      <w:pPr>
        <w:pStyle w:val="NormalWeb"/>
        <w:spacing w:line="360" w:lineRule="auto"/>
      </w:pPr>
      <w:r>
        <w:t>This comparison highlights three major blockchain platforms across public, private, and consortium types.</w:t>
      </w:r>
    </w:p>
    <w:p w14:paraId="29DB7D58" w14:textId="77777777" w:rsidR="00CA265C" w:rsidRDefault="00CA265C" w:rsidP="00CA265C">
      <w:pPr>
        <w:pStyle w:val="NormalWeb"/>
        <w:spacing w:line="360" w:lineRule="auto"/>
      </w:pPr>
      <w:r>
        <w:rPr>
          <w:rStyle w:val="Strong"/>
          <w:rFonts w:eastAsiaTheme="majorEastAsia"/>
        </w:rPr>
        <w:t>Ethereum</w:t>
      </w:r>
      <w:r>
        <w:t>, a public blockchain, is widely adopted for decentralized applications (</w:t>
      </w:r>
      <w:proofErr w:type="spellStart"/>
      <w:r>
        <w:t>dApps</w:t>
      </w:r>
      <w:proofErr w:type="spellEnd"/>
      <w:r>
        <w:t>) due to its open participation model, robust smart contract support, and native token (ETH). However, it suffers from relatively lower throughput (15–30 TPS on Layer-1), requiring Layer-2 solutions for scalability.</w:t>
      </w:r>
    </w:p>
    <w:p w14:paraId="646464E8" w14:textId="77777777" w:rsidR="00CA265C" w:rsidRDefault="00CA265C" w:rsidP="00CA265C">
      <w:pPr>
        <w:pStyle w:val="NormalWeb"/>
        <w:spacing w:line="360" w:lineRule="auto"/>
      </w:pPr>
      <w:r>
        <w:rPr>
          <w:rStyle w:val="Strong"/>
          <w:rFonts w:eastAsiaTheme="majorEastAsia"/>
        </w:rPr>
        <w:t>Hyperledger Fabric</w:t>
      </w:r>
      <w:r>
        <w:t xml:space="preserve"> is a private blockchain designed for enterprise use. It offers high performance and flexibility with pluggable consensus and supports smart contracts ("</w:t>
      </w:r>
      <w:proofErr w:type="spellStart"/>
      <w:r>
        <w:t>chaincode</w:t>
      </w:r>
      <w:proofErr w:type="spellEnd"/>
      <w:r>
        <w:t>") in multiple languages. Fabric lacks native token support but excels in data privacy through features like private channels and strict access control.</w:t>
      </w:r>
    </w:p>
    <w:p w14:paraId="75305DB9" w14:textId="0B242A95" w:rsidR="00CA265C" w:rsidRDefault="00CA265C" w:rsidP="00CA265C">
      <w:pPr>
        <w:pStyle w:val="NormalWeb"/>
        <w:spacing w:line="360" w:lineRule="auto"/>
      </w:pPr>
      <w:r>
        <w:rPr>
          <w:rStyle w:val="Strong"/>
          <w:rFonts w:eastAsiaTheme="majorEastAsia"/>
        </w:rPr>
        <w:t>Quorum</w:t>
      </w:r>
      <w:r>
        <w:t>, a consortium blockchain derived from Ethereum, is optimized for enterprise and banking needs. It supports EVM-compatible smart contracts and offers better performance and privacy features than public Ethereum. It allows regulated financial entities to collaborate while maintaining confidentiality.</w:t>
      </w:r>
    </w:p>
    <w:p w14:paraId="687F821C" w14:textId="77777777" w:rsidR="00CA265C" w:rsidRPr="00CA265C" w:rsidRDefault="00CA265C" w:rsidP="00CA265C">
      <w:pPr>
        <w:pStyle w:val="NormalWeb"/>
        <w:spacing w:line="360" w:lineRule="auto"/>
        <w:rPr>
          <w:b/>
          <w:bCs/>
        </w:rPr>
      </w:pPr>
      <w:r w:rsidRPr="00CA265C">
        <w:rPr>
          <w:b/>
          <w:bCs/>
        </w:rPr>
        <w:t>Platform Choices:</w:t>
      </w:r>
    </w:p>
    <w:p w14:paraId="7EAF501F" w14:textId="7203F044" w:rsidR="00CA265C" w:rsidRPr="00CA265C" w:rsidRDefault="00CA265C" w:rsidP="00CA265C">
      <w:pPr>
        <w:pStyle w:val="NormalWeb"/>
        <w:numPr>
          <w:ilvl w:val="0"/>
          <w:numId w:val="2"/>
        </w:numPr>
        <w:spacing w:line="360" w:lineRule="auto"/>
      </w:pPr>
      <w:r w:rsidRPr="00CA265C">
        <w:t xml:space="preserve">For a </w:t>
      </w:r>
      <w:r w:rsidRPr="00CA265C">
        <w:rPr>
          <w:b/>
          <w:bCs/>
        </w:rPr>
        <w:t>decentralized app</w:t>
      </w:r>
      <w:r w:rsidRPr="00CA265C">
        <w:t xml:space="preserve">, </w:t>
      </w:r>
      <w:r w:rsidRPr="00CA265C">
        <w:rPr>
          <w:b/>
          <w:bCs/>
        </w:rPr>
        <w:t>Ethereum</w:t>
      </w:r>
      <w:r w:rsidRPr="00CA265C">
        <w:t xml:space="preserve"> is ideal due to its open nature and large ecosystem.</w:t>
      </w:r>
    </w:p>
    <w:p w14:paraId="26A1C14E" w14:textId="6207FB56" w:rsidR="00CA265C" w:rsidRPr="00CA265C" w:rsidRDefault="00CA265C" w:rsidP="00CA265C">
      <w:pPr>
        <w:pStyle w:val="NormalWeb"/>
        <w:numPr>
          <w:ilvl w:val="0"/>
          <w:numId w:val="2"/>
        </w:numPr>
        <w:spacing w:line="360" w:lineRule="auto"/>
      </w:pPr>
      <w:r w:rsidRPr="00CA265C">
        <w:t xml:space="preserve">For a </w:t>
      </w:r>
      <w:r w:rsidRPr="00CA265C">
        <w:rPr>
          <w:b/>
          <w:bCs/>
        </w:rPr>
        <w:t>supply chain among known partners</w:t>
      </w:r>
      <w:r w:rsidRPr="00CA265C">
        <w:t xml:space="preserve">, </w:t>
      </w:r>
      <w:r w:rsidRPr="00CA265C">
        <w:rPr>
          <w:b/>
          <w:bCs/>
        </w:rPr>
        <w:t>Hyperledger Fabric</w:t>
      </w:r>
      <w:r w:rsidRPr="00CA265C">
        <w:t xml:space="preserve"> is preferred for its permissioned control and data privacy.</w:t>
      </w:r>
    </w:p>
    <w:p w14:paraId="2681938C" w14:textId="6BED1B0B" w:rsidR="00CA265C" w:rsidRPr="00CA265C" w:rsidRDefault="00CA265C" w:rsidP="00CA265C">
      <w:pPr>
        <w:pStyle w:val="NormalWeb"/>
        <w:numPr>
          <w:ilvl w:val="0"/>
          <w:numId w:val="2"/>
        </w:numPr>
        <w:spacing w:line="360" w:lineRule="auto"/>
      </w:pPr>
      <w:r w:rsidRPr="00CA265C">
        <w:t xml:space="preserve">For an </w:t>
      </w:r>
      <w:r w:rsidRPr="00CA265C">
        <w:rPr>
          <w:b/>
          <w:bCs/>
        </w:rPr>
        <w:t>inter-bank financial application</w:t>
      </w:r>
      <w:r w:rsidRPr="00CA265C">
        <w:t xml:space="preserve">, </w:t>
      </w:r>
      <w:r w:rsidRPr="00CA265C">
        <w:rPr>
          <w:b/>
          <w:bCs/>
        </w:rPr>
        <w:t>Quorum</w:t>
      </w:r>
      <w:r w:rsidRPr="00CA265C">
        <w:t xml:space="preserve"> is the best fit due to its high TPS, private transactions, and Ethereum compatibility.</w:t>
      </w:r>
    </w:p>
    <w:p w14:paraId="54061CE7" w14:textId="77777777" w:rsidR="00CA265C" w:rsidRPr="00CA265C" w:rsidRDefault="00CA265C" w:rsidP="00CA265C">
      <w:pPr>
        <w:pStyle w:val="NormalWeb"/>
        <w:spacing w:line="360" w:lineRule="auto"/>
      </w:pPr>
      <w:r w:rsidRPr="00CA265C">
        <w:t>These choices reflect a balance between decentralization, performance, and regulatory needs.</w:t>
      </w:r>
    </w:p>
    <w:p w14:paraId="7368444E" w14:textId="1BC9A673" w:rsidR="00CA265C" w:rsidRPr="00CA265C" w:rsidRDefault="00CA265C" w:rsidP="00CA265C">
      <w:pPr>
        <w:pStyle w:val="NormalWeb"/>
        <w:spacing w:line="360" w:lineRule="auto"/>
      </w:pPr>
    </w:p>
    <w:sectPr w:rsidR="00CA265C" w:rsidRPr="00CA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6395A"/>
    <w:multiLevelType w:val="multilevel"/>
    <w:tmpl w:val="D7CC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81014"/>
    <w:multiLevelType w:val="hybridMultilevel"/>
    <w:tmpl w:val="EC32E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531323">
    <w:abstractNumId w:val="1"/>
  </w:num>
  <w:num w:numId="2" w16cid:durableId="58892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22"/>
    <w:rsid w:val="002A0722"/>
    <w:rsid w:val="003531D0"/>
    <w:rsid w:val="003E3364"/>
    <w:rsid w:val="005E4DC8"/>
    <w:rsid w:val="00835D28"/>
    <w:rsid w:val="00CA265C"/>
    <w:rsid w:val="00E32A70"/>
    <w:rsid w:val="00EB2058"/>
    <w:rsid w:val="00F5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BF5E"/>
  <w15:chartTrackingRefBased/>
  <w15:docId w15:val="{93179E3F-6D93-4327-AA25-EC229237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22"/>
    <w:pPr>
      <w:spacing w:after="4" w:line="356" w:lineRule="auto"/>
      <w:ind w:left="10" w:right="7" w:hanging="10"/>
      <w:jc w:val="both"/>
    </w:pPr>
    <w:rPr>
      <w:rFonts w:ascii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EB2058"/>
    <w:pPr>
      <w:keepNext/>
      <w:keepLines/>
      <w:spacing w:after="61"/>
      <w:ind w:left="10" w:right="617" w:hanging="10"/>
      <w:jc w:val="center"/>
      <w:outlineLvl w:val="0"/>
    </w:pPr>
    <w:rPr>
      <w:rFonts w:ascii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B2058"/>
    <w:pPr>
      <w:keepNext/>
      <w:keepLines/>
      <w:spacing w:after="113" w:line="265" w:lineRule="auto"/>
      <w:ind w:left="10" w:hanging="10"/>
      <w:outlineLvl w:val="1"/>
    </w:pPr>
    <w:rPr>
      <w:rFonts w:ascii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2058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link w:val="Heading2"/>
    <w:uiPriority w:val="9"/>
    <w:rsid w:val="00EB2058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5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B205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72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22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22"/>
    <w:rPr>
      <w:rFonts w:ascii="Arial" w:hAnsi="Arial" w:cs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0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22"/>
    <w:rPr>
      <w:rFonts w:ascii="Arial" w:hAnsi="Arial" w:cs="Ari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A265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2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5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singh</dc:creator>
  <cp:keywords/>
  <dc:description/>
  <cp:lastModifiedBy>nishi singh</cp:lastModifiedBy>
  <cp:revision>1</cp:revision>
  <dcterms:created xsi:type="dcterms:W3CDTF">2025-06-10T15:47:00Z</dcterms:created>
  <dcterms:modified xsi:type="dcterms:W3CDTF">2025-06-10T16:02:00Z</dcterms:modified>
</cp:coreProperties>
</file>