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b w:val="0"/>
              </w:rPr>
              <w:t>26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b w:val="0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b w:val="0"/>
              </w:rPr>
              <w:t>EV Market Intelligence Dashboard (Tableau)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ind w:left="158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Show annual sales units and revenue by vehicle category (Compact SUV, Sedan, Two-Wheeler, Bus, Truck, etc.) to find top contributors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Sales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ind w:left="135.039978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Category portfolio positioning view comparing driving range against sales 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Sales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ind w:left="139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Stacked bar of annual sales by manufacturer to identify leading brands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Manufacturer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Manufacturer market share leaderboard plotting range (km) against annual 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Manufacturer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Treemap of battery technology share (NMC, LFP, NCA, Sodium-Ion, Solid-State) and heatmap of category vs battery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Battery 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Scatter of average range vs customer rating to show battery share of volume and degradation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Battery 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Map and bar chart of production hubs by manufacturing country, with average range by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Geography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4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Pie chart of customer satisfaction (CSAT) segments and environmental impact matrix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Customer Satisfaction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Add filters (category, manufacturer, country, battery type) so the dashboard is interactive for executives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Usability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Charging infrastructure coverage by region versus EV adoption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Infrastructure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7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ind w:left="158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Category sales &amp; revenue contribution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ind w:left="135.039978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Manufacturer market share leaderboard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ind w:left="139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Battery technology adoption &amp; range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ind w:left="139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Geographical production hubs &amp; export 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ind w:left="139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Customer satisfaction (CSAT) &amp; environmental impact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ind w:left="139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Interactive filters &amp; executive navigation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ind w:left="139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Charging infrastructure coverage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Low (no such data in dataset)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No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