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EV Market Intelligence Dashboard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b w:val="0"/>
              </w:rPr>
              <w:t>PS-1</w:t>
            </w:r>
          </w:p>
        </w:tc>
        <w:tc>
          <w:tcPr/>
          <w:p w:rsidR="00000000" w:rsidDel="00000000" w:rsidP="00000000" w:rsidRDefault="00000000" w:rsidRPr="00000000" w14:paraId="0000001B">
            <w:pPr>
              <w:rPr>
                <w:sz w:val="24"/>
                <w:szCs w:val="24"/>
              </w:rPr>
            </w:pPr>
            <w:r>
              <w:rPr>
                <w:b w:val="0"/>
              </w:rPr>
              <w:t>Emily Johnson, Market Strategy Director at a global EV manufacturer</w:t>
            </w:r>
          </w:p>
        </w:tc>
        <w:tc>
          <w:tcPr/>
          <w:p w:rsidR="00000000" w:rsidDel="00000000" w:rsidP="00000000" w:rsidRDefault="00000000" w:rsidRPr="00000000" w14:paraId="0000001C">
            <w:pPr>
              <w:rPr>
                <w:sz w:val="24"/>
                <w:szCs w:val="24"/>
              </w:rPr>
            </w:pPr>
            <w:r>
              <w:rPr>
                <w:b w:val="0"/>
              </w:rPr>
              <w:t>understand which vehicle categories drive annual sales and which manufacturers and segments lead on customer satisfaction</w:t>
            </w:r>
          </w:p>
        </w:tc>
        <w:tc>
          <w:tcPr/>
          <w:p w:rsidR="00000000" w:rsidDel="00000000" w:rsidP="00000000" w:rsidRDefault="00000000" w:rsidRPr="00000000" w14:paraId="0000001D">
            <w:pPr>
              <w:rPr>
                <w:sz w:val="24"/>
                <w:szCs w:val="24"/>
              </w:rPr>
            </w:pPr>
            <w:r>
              <w:rPr>
                <w:b w:val="0"/>
              </w:rPr>
              <w:t>sales, battery, range and rating data are spread across categories, regions and manufacturers with no single executive view</w:t>
            </w:r>
          </w:p>
        </w:tc>
        <w:tc>
          <w:tcPr/>
          <w:p w:rsidR="00000000" w:rsidDel="00000000" w:rsidP="00000000" w:rsidRDefault="00000000" w:rsidRPr="00000000" w14:paraId="0000001E">
            <w:pPr>
              <w:rPr>
                <w:sz w:val="24"/>
                <w:szCs w:val="24"/>
              </w:rPr>
            </w:pPr>
            <w:r>
              <w:rPr>
                <w:b w:val="0"/>
              </w:rPr>
              <w:t>the raw data is large and unconsolidated, so trends and high-growth segments are hard to spot</w:t>
            </w:r>
          </w:p>
        </w:tc>
        <w:tc>
          <w:tcPr/>
          <w:p w:rsidR="00000000" w:rsidDel="00000000" w:rsidP="00000000" w:rsidRDefault="00000000" w:rsidRPr="00000000" w14:paraId="0000001F">
            <w:pPr>
              <w:rPr>
                <w:sz w:val="24"/>
                <w:szCs w:val="24"/>
              </w:rPr>
            </w:pPr>
            <w:r>
              <w:rPr>
                <w:b w:val="0"/>
              </w:rPr>
              <w:t>uncertain and overwhelmed when deciding on portfolio and market planning</w:t>
            </w:r>
          </w:p>
        </w:tc>
      </w:tr>
      <w:tr>
        <w:trPr>
          <w:cantSplit w:val="0"/>
          <w:tblHeader w:val="0"/>
        </w:trPr>
        <w:tc>
          <w:tcPr/>
          <w:p w:rsidR="00000000" w:rsidDel="00000000" w:rsidP="00000000" w:rsidRDefault="00000000" w:rsidRPr="00000000" w14:paraId="00000020">
            <w:pPr>
              <w:rPr>
                <w:sz w:val="24"/>
                <w:szCs w:val="24"/>
              </w:rPr>
            </w:pPr>
            <w:r>
              <w:rPr>
                <w:b w:val="0"/>
              </w:rPr>
              <w:t>PS-2</w:t>
            </w:r>
          </w:p>
        </w:tc>
        <w:tc>
          <w:tcPr/>
          <w:p w:rsidR="00000000" w:rsidDel="00000000" w:rsidP="00000000" w:rsidRDefault="00000000" w:rsidRPr="00000000" w14:paraId="00000021">
            <w:pPr>
              <w:rPr>
                <w:sz w:val="24"/>
                <w:szCs w:val="24"/>
              </w:rPr>
            </w:pPr>
            <w:r>
              <w:rPr>
                <w:b w:val="0"/>
              </w:rPr>
              <w:t>David Chen, Business Intelligence Manager at an automotive consulting firm</w:t>
            </w:r>
          </w:p>
        </w:tc>
        <w:tc>
          <w:tcPr/>
          <w:p w:rsidR="00000000" w:rsidDel="00000000" w:rsidP="00000000" w:rsidRDefault="00000000" w:rsidRPr="00000000" w14:paraId="00000022">
            <w:pPr>
              <w:rPr>
                <w:sz w:val="24"/>
                <w:szCs w:val="24"/>
              </w:rPr>
            </w:pPr>
            <w:r>
              <w:rPr>
                <w:b w:val="0"/>
              </w:rPr>
              <w:t>benchmark manufacturer market share, battery technology distribution, manufacturing countries and customer ratings for clients entering the EV market</w:t>
            </w:r>
          </w:p>
        </w:tc>
        <w:tc>
          <w:tcPr/>
          <w:p w:rsidR="00000000" w:rsidDel="00000000" w:rsidP="00000000" w:rsidRDefault="00000000" w:rsidRPr="00000000" w14:paraId="00000023">
            <w:pPr>
              <w:rPr>
                <w:sz w:val="24"/>
                <w:szCs w:val="24"/>
              </w:rPr>
            </w:pPr>
            <w:r>
              <w:rPr>
                <w:b w:val="0"/>
              </w:rPr>
              <w:t>it is difficult to see competitive advantages and geographical production trends side by side</w:t>
            </w:r>
          </w:p>
        </w:tc>
        <w:tc>
          <w:tcPr/>
          <w:p w:rsidR="00000000" w:rsidDel="00000000" w:rsidP="00000000" w:rsidRDefault="00000000" w:rsidRPr="00000000" w14:paraId="00000024">
            <w:pPr>
              <w:rPr>
                <w:sz w:val="24"/>
                <w:szCs w:val="24"/>
              </w:rPr>
            </w:pPr>
            <w:r>
              <w:rPr>
                <w:b w:val="0"/>
              </w:rPr>
              <w:t>there is no interactive comparison of manufacturers, countries and battery types in one place</w:t>
            </w:r>
          </w:p>
        </w:tc>
        <w:tc>
          <w:tcPr/>
          <w:p w:rsidR="00000000" w:rsidDel="00000000" w:rsidP="00000000" w:rsidRDefault="00000000" w:rsidRPr="00000000" w14:paraId="00000025">
            <w:pPr>
              <w:rPr>
                <w:sz w:val="24"/>
                <w:szCs w:val="24"/>
              </w:rPr>
            </w:pPr>
            <w:r>
              <w:rPr>
                <w:b w:val="0"/>
              </w:rPr>
              <w:t>frustrated and under pressure to give clients reliable, data-backed recommendations</w:t>
            </w:r>
          </w:p>
        </w:tc>
      </w:tr>
      <w:tr>
        <w:trPr>
          <w:cantSplit w:val="0"/>
          <w:tblHeader w:val="0"/>
        </w:trPr>
        <w:tc>
          <w:tcPr/>
          <w:p w:rsidR="00000000" w:rsidDel="00000000" w:rsidP="00000000" w:rsidRDefault="00000000" w:rsidRPr="00000000" w14:paraId="00000020">
            <w:pPr>
              <w:rPr>
                <w:sz w:val="24"/>
                <w:szCs w:val="24"/>
              </w:rPr>
            </w:pPr>
            <w:r>
              <w:rPr>
                <w:b w:val="0"/>
              </w:rPr>
              <w:t>PS-3</w:t>
            </w:r>
          </w:p>
        </w:tc>
        <w:tc>
          <w:tcPr/>
          <w:p w:rsidR="00000000" w:rsidDel="00000000" w:rsidP="00000000" w:rsidRDefault="00000000" w:rsidRPr="00000000" w14:paraId="00000021">
            <w:pPr>
              <w:rPr>
                <w:sz w:val="24"/>
                <w:szCs w:val="24"/>
              </w:rPr>
            </w:pPr>
            <w:r>
              <w:rPr>
                <w:b w:val="0"/>
              </w:rPr>
              <w:t>Dr. Sarah Williams, Sustainable Mobility Research Analyst</w:t>
            </w:r>
          </w:p>
        </w:tc>
        <w:tc>
          <w:tcPr/>
          <w:p w:rsidR="00000000" w:rsidDel="00000000" w:rsidP="00000000" w:rsidRDefault="00000000" w:rsidRPr="00000000" w14:paraId="00000022">
            <w:pPr>
              <w:rPr>
                <w:sz w:val="24"/>
                <w:szCs w:val="24"/>
              </w:rPr>
            </w:pPr>
            <w:r>
              <w:rPr>
                <w:b w:val="0"/>
              </w:rPr>
              <w:t>compare battery technologies, driving range improvements, global manufacturing distribution and satisfaction across EV categories</w:t>
            </w:r>
          </w:p>
        </w:tc>
        <w:tc>
          <w:tcPr/>
          <w:p w:rsidR="00000000" w:rsidDel="00000000" w:rsidP="00000000" w:rsidRDefault="00000000" w:rsidRPr="00000000" w14:paraId="00000023">
            <w:pPr>
              <w:rPr>
                <w:sz w:val="24"/>
                <w:szCs w:val="24"/>
              </w:rPr>
            </w:pPr>
            <w:r>
              <w:rPr>
                <w:b w:val="0"/>
              </w:rPr>
              <w:t>I cannot easily tell which technologies are driving EV adoption</w:t>
            </w:r>
          </w:p>
        </w:tc>
        <w:tc>
          <w:tcPr/>
          <w:p w:rsidR="00000000" w:rsidDel="00000000" w:rsidP="00000000" w:rsidRDefault="00000000" w:rsidRPr="00000000" w14:paraId="00000024">
            <w:pPr>
              <w:rPr>
                <w:sz w:val="24"/>
                <w:szCs w:val="24"/>
              </w:rPr>
            </w:pPr>
            <w:r>
              <w:rPr>
                <w:b w:val="0"/>
              </w:rPr>
              <w:t>the evidence is not visualised across categories and battery types, so patterns stay hidden</w:t>
            </w:r>
          </w:p>
        </w:tc>
        <w:tc>
          <w:tcPr/>
          <w:p w:rsidR="00000000" w:rsidDel="00000000" w:rsidP="00000000" w:rsidRDefault="00000000" w:rsidRPr="00000000" w14:paraId="00000025">
            <w:pPr>
              <w:rPr>
                <w:sz w:val="24"/>
                <w:szCs w:val="24"/>
              </w:rPr>
            </w:pPr>
            <w:r>
              <w:rPr>
                <w:b w:val="0"/>
              </w:rPr>
              <w:t>concerned that policy and research recommendations may lack solid evidence</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