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>
              <w:t>26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>
              <w:t>Individual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>
              <w:t>EV Market Intelligence Dashboard (Tableau)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92.5078232226188"/>
        <w:gridCol w:w="2015.5503705737033"/>
        <w:gridCol w:w="3357.970903101839"/>
        <w:gridCol w:w="3357.970903101839"/>
        <w:tblGridChange w:id="0">
          <w:tblGrid>
            <w:gridCol w:w="592.5078232226188"/>
            <w:gridCol w:w="2015.5503705737033"/>
            <w:gridCol w:w="3357.970903101839"/>
            <w:gridCol w:w="3357.970903101839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Requirement (Story / Sub-Task)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 (High/Medium/Low)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Data Access &amp; Integration 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>
              <w:t>Import the EV market dataset (annual sales units, revenue, battery type, range, price, customer rating, manufacturer, manufacturing country, category) into Tableau through a data connection.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>
              <w:t>High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Data Processing 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>
              <w:t>Clean and prepare the data: fix data types, handle nulls and duplicates, and create calculated fields such as average range, sales share and revenue per category.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>
              <w:t>High</w:t>
            </w:r>
          </w:p>
        </w:tc>
      </w:tr>
      <w:tr>
        <w:trPr>
          <w:cantSplit w:val="0"/>
          <w:trHeight w:val="760.6640625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Business Analysis 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>
              <w:t>Calculate KPIs: total annual sales, revenue, market share by manufacturer, average range, battery technology share and average customer rating.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>
              <w:t>High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Business Insights &amp; Analytical Outputs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>
              <w:t>Provide dashboards: sales and revenue by vehicle category, portfolio positioning, manufacturer market share leaderboard, battery treemap and heatmap, production hubs map, and CSAT pie chart.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>
              <w:t>High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User Interaction &amp; Analysis 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>
              <w:t>Allow users to filter by category, manufacturer, country and battery type, hover for tooltips, and compare segments across the two dashboards.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>
              <w:t>Medium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Data Update &amp; Reporting 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>
              <w:t>Refresh the data source and republish the dashboards on Tableau Public; allow sharing the dashboard link and exporting views as image or PDF.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>
              <w:t>Medium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C">
      <w:pPr>
        <w:spacing w:after="0" w:lineRule="auto"/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>
              <w:t>Dashboards use a clear layout with titles, consistent colours and legends so executives, analysts and researchers can understand them without training.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NFR-2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>
              <w:t>Only a published, read-only Tableau Public view is shared; the source dataset contains no personal or confidential data and edit rights stay with the developer.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NFR-3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>
              <w:t>Calculations and totals stay consistent across all charts; the same data source feeds both dashboards so results match.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NFR-4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>
              <w:t>Dashboards load and respond to filters within a few seconds by keeping charts light and using an optimised data extract.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NFR-5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>
              <w:t>Dashboards stay accessible online through the Tableau Public link at any time, from desktop or mobile browsers.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NFR-6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>
              <w:t>New years, manufacturers, categories or battery types can be added by refreshing the data source without redesigning the dashboards.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6534150</wp:posOffset>
          </wp:positionH>
          <wp:positionV relativeFrom="page">
            <wp:posOffset>173355</wp:posOffset>
          </wp:positionV>
          <wp:extent cx="864691" cy="395288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104775</wp:posOffset>
          </wp:positionH>
          <wp:positionV relativeFrom="page">
            <wp:posOffset>78105</wp:posOffset>
          </wp:positionV>
          <wp:extent cx="1376363" cy="58987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iUUeL6gfR5/Qz0TjJIy8Jp2E9g==">CgMxLjA4AHIhMVlsN2l3RGk0cGpKNnI4VkhQaFBDTTI0OWcxT2pzMVRf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