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>
              <w:rPr>
                <w:b w:val="0"/>
              </w:rPr>
              <w:t>26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>
              <w:rPr>
                <w:b w:val="0"/>
              </w:rPr>
              <w:t>Individual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>
              <w:rPr>
                <w:b w:val="0"/>
              </w:rPr>
              <w:t>EV Market Intelligence Dashboard (Tableau)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sectPr w:rsidR="00D00474" w:rsidRPr="005226B4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