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26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Individual</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Electric Vehicle Market Analysis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1. </w:t>
      </w:r>
      <w:r w:rsidDel="00000000" w:rsidR="00000000" w:rsidRPr="00000000">
        <w:rPr>
          <w:rFonts w:ascii="Cambria" w:cs="Cambria" w:eastAsia="Cambria" w:hAnsi="Cambria"/>
          <w:b w:val="1"/>
          <w:bCs w:val="1"/>
          <w:color w:val="000000"/>
          <w:sz w:val="24"/>
          <w:szCs w:val="24"/>
          <w:highlight w:val="white"/>
          <w:rtl w:val="0"/>
        </w:rPr>
        <w:t>Which vehicle categories drive the most annual sales volume, and how does this compare with revenue contribution?</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Dual-axis dot plot of Annual Sales Units and revenue by vehicle category.</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Two-Wheeler Scooter shows the highest labelled volume at about 174.6M units, while several other categories sit between roughly 95M and 155M units.</w:t>
      </w:r>
    </w:p>
    <w:p w:rsidR="00000000" w:rsidDel="00000000" w:rsidP="00000000" w:rsidRDefault="00000000" w:rsidRPr="00000000" w14:paraId="00000011">
      <w:pPr>
        <w:ind w:left="720"/>
        <w:jc w:val="center"/>
        <w:rPr>
          <w:color w:val="000000"/>
          <w:highlight w:val="white"/>
        </w:rPr>
      </w:pPr>
      <w:r>
        <w:drawing>
          <wp:inline>
            <wp:extent cx="4846320" cy="2748854"/>
            <wp:docPr id="3" name="Picture 3"/>
            <wp:cNvGraphicFramePr>
              <a:graphicFrameLocks noChangeAspect="1"/>
            </wp:cNvGraphicFramePr>
            <a:graphic>
              <a:graphicData uri="http://schemas.openxmlformats.org/drawingml/2006/picture">
                <pic:pic>
                  <pic:nvPicPr>
                    <pic:cNvPr id="0" name="q1.png"/>
                    <pic:cNvPicPr/>
                  </pic:nvPicPr>
                  <pic:blipFill>
                    <a:blip r:embed="rId8"/>
                    <a:stretch>
                      <a:fillRect/>
                    </a:stretch>
                  </pic:blipFill>
                  <pic:spPr>
                    <a:xfrm>
                      <a:off x="0" y="0"/>
                      <a:ext cx="4846320" cy="2748854"/>
                    </a:xfrm>
                    <a:prstGeom prst="rect"/>
                  </pic:spPr>
                </pic:pic>
              </a:graphicData>
            </a:graphic>
          </wp:inline>
        </w:drawing>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2. </w:t>
      </w:r>
      <w:r w:rsidDel="00000000" w:rsidR="00000000" w:rsidRPr="00000000">
        <w:rPr>
          <w:rFonts w:ascii="Cambria" w:cs="Cambria" w:eastAsia="Cambria" w:hAnsi="Cambria"/>
          <w:b w:val="1"/>
          <w:bCs w:val="1"/>
          <w:color w:val="000000"/>
          <w:sz w:val="24"/>
          <w:szCs w:val="24"/>
          <w:highlight w:val="white"/>
          <w:rtl w:val="0"/>
        </w:rPr>
        <w:t>How is annual sales volume distributed across manufacturers and across each manufacturer's portfolio?</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Stacked horizontal bar chart of Annual Sales Units by manufacturer, split by colour-coded segments.</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Every manufacturer reaches into the multi-million unit range (axis up to 8M), and the red segment forms the largest share in most bars.</w:t>
      </w:r>
    </w:p>
    <w:p w:rsidR="00000000" w:rsidDel="00000000" w:rsidP="00000000" w:rsidRDefault="00000000" w:rsidRPr="00000000" w14:paraId="00000011">
      <w:pPr>
        <w:ind w:left="720"/>
        <w:jc w:val="center"/>
        <w:rPr>
          <w:color w:val="000000"/>
          <w:highlight w:val="white"/>
        </w:rPr>
      </w:pPr>
      <w:r>
        <w:drawing>
          <wp:inline>
            <wp:extent cx="4846320" cy="3241269"/>
            <wp:docPr id="4" name="Picture 4"/>
            <wp:cNvGraphicFramePr>
              <a:graphicFrameLocks noChangeAspect="1"/>
            </wp:cNvGraphicFramePr>
            <a:graphic>
              <a:graphicData uri="http://schemas.openxmlformats.org/drawingml/2006/picture">
                <pic:pic>
                  <pic:nvPicPr>
                    <pic:cNvPr id="0" name="q2.png"/>
                    <pic:cNvPicPr/>
                  </pic:nvPicPr>
                  <pic:blipFill>
                    <a:blip r:embed="rId9"/>
                    <a:stretch>
                      <a:fillRect/>
                    </a:stretch>
                  </pic:blipFill>
                  <pic:spPr>
                    <a:xfrm>
                      <a:off x="0" y="0"/>
                      <a:ext cx="4846320" cy="3241269"/>
                    </a:xfrm>
                    <a:prstGeom prst="rect"/>
                  </pic:spPr>
                </pic:pic>
              </a:graphicData>
            </a:graphic>
          </wp:inline>
        </w:drawing>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3. </w:t>
      </w:r>
      <w:r w:rsidDel="00000000" w:rsidR="00000000" w:rsidRPr="00000000">
        <w:rPr>
          <w:rFonts w:ascii="Cambria" w:cs="Cambria" w:eastAsia="Cambria" w:hAnsi="Cambria"/>
          <w:b w:val="1"/>
          <w:bCs w:val="1"/>
          <w:color w:val="000000"/>
          <w:sz w:val="24"/>
          <w:szCs w:val="24"/>
          <w:highlight w:val="white"/>
          <w:rtl w:val="0"/>
        </w:rPr>
        <w:t>Which battery technology carries the most weight in the range vs price efficiency benchmark?</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Treemap of battery types (NMC, NCA, LFP, Sodium-Ion) sized and shaded by the benchmark measure.</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NMC and NCA occupy the largest tiles, with LFP and Sodium-Ion below them.</w:t>
      </w:r>
    </w:p>
    <w:p w:rsidR="00000000" w:rsidDel="00000000" w:rsidP="00000000" w:rsidRDefault="00000000" w:rsidRPr="00000000" w14:paraId="00000011">
      <w:pPr>
        <w:ind w:left="720"/>
        <w:jc w:val="center"/>
        <w:rPr>
          <w:color w:val="000000"/>
          <w:highlight w:val="white"/>
        </w:rPr>
      </w:pPr>
      <w:r>
        <w:drawing>
          <wp:inline>
            <wp:extent cx="4846320" cy="2169119"/>
            <wp:docPr id="5" name="Picture 5"/>
            <wp:cNvGraphicFramePr>
              <a:graphicFrameLocks noChangeAspect="1"/>
            </wp:cNvGraphicFramePr>
            <a:graphic>
              <a:graphicData uri="http://schemas.openxmlformats.org/drawingml/2006/picture">
                <pic:pic>
                  <pic:nvPicPr>
                    <pic:cNvPr id="0" name="q3.png"/>
                    <pic:cNvPicPr/>
                  </pic:nvPicPr>
                  <pic:blipFill>
                    <a:blip r:embed="rId10"/>
                    <a:stretch>
                      <a:fillRect/>
                    </a:stretch>
                  </pic:blipFill>
                  <pic:spPr>
                    <a:xfrm>
                      <a:off x="0" y="0"/>
                      <a:ext cx="4846320" cy="2169119"/>
                    </a:xfrm>
                    <a:prstGeom prst="rect"/>
                  </pic:spPr>
                </pic:pic>
              </a:graphicData>
            </a:graphic>
          </wp:inline>
        </w:drawing>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4. </w:t>
      </w:r>
      <w:r w:rsidDel="00000000" w:rsidR="00000000" w:rsidRPr="00000000">
        <w:rPr>
          <w:rFonts w:ascii="Cambria" w:cs="Cambria" w:eastAsia="Cambria" w:hAnsi="Cambria"/>
          <w:b w:val="1"/>
          <w:bCs w:val="1"/>
          <w:color w:val="000000"/>
          <w:sz w:val="24"/>
          <w:szCs w:val="24"/>
          <w:highlight w:val="white"/>
          <w:rtl w:val="0"/>
        </w:rPr>
        <w:t>How does each manufacturer's annual sales compare with the market average?</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Scatter plot of manufacturers with an average reference line (Manufacturer Market Share Leaderboard).</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A few manufacturers stand out at about 4.79M and 4.73M units, while most cluster around or below the average line.</w:t>
      </w:r>
    </w:p>
    <w:p w:rsidR="00000000" w:rsidDel="00000000" w:rsidP="00000000" w:rsidRDefault="00000000" w:rsidRPr="00000000" w14:paraId="00000011">
      <w:pPr>
        <w:ind w:left="720"/>
        <w:jc w:val="center"/>
        <w:rPr>
          <w:color w:val="000000"/>
          <w:highlight w:val="white"/>
        </w:rPr>
      </w:pPr>
      <w:r>
        <w:drawing>
          <wp:inline>
            <wp:extent cx="4846320" cy="2594573"/>
            <wp:docPr id="6" name="Picture 6"/>
            <wp:cNvGraphicFramePr>
              <a:graphicFrameLocks noChangeAspect="1"/>
            </wp:cNvGraphicFramePr>
            <a:graphic>
              <a:graphicData uri="http://schemas.openxmlformats.org/drawingml/2006/picture">
                <pic:pic>
                  <pic:nvPicPr>
                    <pic:cNvPr id="0" name="q4.png"/>
                    <pic:cNvPicPr/>
                  </pic:nvPicPr>
                  <pic:blipFill>
                    <a:blip r:embed="rId11"/>
                    <a:stretch>
                      <a:fillRect/>
                    </a:stretch>
                  </pic:blipFill>
                  <pic:spPr>
                    <a:xfrm>
                      <a:off x="0" y="0"/>
                      <a:ext cx="4846320" cy="2594573"/>
                    </a:xfrm>
                    <a:prstGeom prst="rect"/>
                  </pic:spPr>
                </pic:pic>
              </a:graphicData>
            </a:graphic>
          </wp:inline>
        </w:drawing>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5. </w:t>
      </w:r>
      <w:r w:rsidDel="00000000" w:rsidR="00000000" w:rsidRPr="00000000">
        <w:rPr>
          <w:rFonts w:ascii="Cambria" w:cs="Cambria" w:eastAsia="Cambria" w:hAnsi="Cambria"/>
          <w:b w:val="1"/>
          <w:bCs w:val="1"/>
          <w:color w:val="000000"/>
          <w:sz w:val="24"/>
          <w:szCs w:val="24"/>
          <w:highlight w:val="white"/>
          <w:rtl w:val="0"/>
        </w:rPr>
        <w:t>Where are the main production hubs and export origins located?</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Map visualization with symbols marking production hubs worldwide.</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Hubs cluster in Western Europe and the Nordics, with additional hubs in North America and South and East Asia.</w:t>
      </w:r>
    </w:p>
    <w:p w:rsidR="00000000" w:rsidDel="00000000" w:rsidP="00000000" w:rsidRDefault="00000000" w:rsidRPr="00000000" w14:paraId="00000011">
      <w:pPr>
        <w:ind w:left="720"/>
        <w:jc w:val="center"/>
        <w:rPr>
          <w:color w:val="000000"/>
          <w:highlight w:val="white"/>
        </w:rPr>
      </w:pPr>
      <w:r>
        <w:drawing>
          <wp:inline>
            <wp:extent cx="4846320" cy="3497344"/>
            <wp:docPr id="7" name="Picture 7"/>
            <wp:cNvGraphicFramePr>
              <a:graphicFrameLocks noChangeAspect="1"/>
            </wp:cNvGraphicFramePr>
            <a:graphic>
              <a:graphicData uri="http://schemas.openxmlformats.org/drawingml/2006/picture">
                <pic:pic>
                  <pic:nvPicPr>
                    <pic:cNvPr id="0" name="q5.png"/>
                    <pic:cNvPicPr/>
                  </pic:nvPicPr>
                  <pic:blipFill>
                    <a:blip r:embed="rId12"/>
                    <a:stretch>
                      <a:fillRect/>
                    </a:stretch>
                  </pic:blipFill>
                  <pic:spPr>
                    <a:xfrm>
                      <a:off x="0" y="0"/>
                      <a:ext cx="4846320" cy="3497344"/>
                    </a:xfrm>
                    <a:prstGeom prst="rect"/>
                  </pic:spPr>
                </pic:pic>
              </a:graphicData>
            </a:graphic>
          </wp:inline>
        </w:drawing>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6. </w:t>
      </w:r>
      <w:r w:rsidDel="00000000" w:rsidR="00000000" w:rsidRPr="00000000">
        <w:rPr>
          <w:rFonts w:ascii="Cambria" w:cs="Cambria" w:eastAsia="Cambria" w:hAnsi="Cambria"/>
          <w:b w:val="1"/>
          <w:bCs w:val="1"/>
          <w:color w:val="000000"/>
          <w:sz w:val="24"/>
          <w:szCs w:val="24"/>
          <w:highlight w:val="white"/>
          <w:rtl w:val="0"/>
        </w:rPr>
        <w:t>Which vehicle categories deliver the longest average driving range?</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Horizontal bar chart of Avg. Range Km by vehicle category.</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Crossover (about 1,180 km) and Compact SUV (about 1,100 km) lead the visible categories, followed by Electric Bus at about 810 km.</w:t>
      </w:r>
    </w:p>
    <w:p w:rsidR="00000000" w:rsidDel="00000000" w:rsidP="00000000" w:rsidRDefault="00000000" w:rsidRPr="00000000" w14:paraId="00000011">
      <w:pPr>
        <w:ind w:left="720"/>
        <w:jc w:val="center"/>
        <w:rPr>
          <w:color w:val="000000"/>
          <w:highlight w:val="white"/>
        </w:rPr>
      </w:pPr>
      <w:r>
        <w:drawing>
          <wp:inline>
            <wp:extent cx="4846320" cy="1310484"/>
            <wp:docPr id="8" name="Picture 8"/>
            <wp:cNvGraphicFramePr>
              <a:graphicFrameLocks noChangeAspect="1"/>
            </wp:cNvGraphicFramePr>
            <a:graphic>
              <a:graphicData uri="http://schemas.openxmlformats.org/drawingml/2006/picture">
                <pic:pic>
                  <pic:nvPicPr>
                    <pic:cNvPr id="0" name="q9.png"/>
                    <pic:cNvPicPr/>
                  </pic:nvPicPr>
                  <pic:blipFill>
                    <a:blip r:embed="rId13"/>
                    <a:stretch>
                      <a:fillRect/>
                    </a:stretch>
                  </pic:blipFill>
                  <pic:spPr>
                    <a:xfrm>
                      <a:off x="0" y="0"/>
                      <a:ext cx="4846320" cy="1310484"/>
                    </a:xfrm>
                    <a:prstGeom prst="rect"/>
                  </pic:spPr>
                </pic:pic>
              </a:graphicData>
            </a:graphic>
          </wp:inline>
        </w:drawing>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7. </w:t>
      </w:r>
      <w:r w:rsidDel="00000000" w:rsidR="00000000" w:rsidRPr="00000000">
        <w:rPr>
          <w:rFonts w:ascii="Cambria" w:cs="Cambria" w:eastAsia="Cambria" w:hAnsi="Cambria"/>
          <w:b w:val="1"/>
          <w:bCs w:val="1"/>
          <w:color w:val="000000"/>
          <w:sz w:val="24"/>
          <w:szCs w:val="24"/>
          <w:highlight w:val="white"/>
          <w:rtl w:val="0"/>
        </w:rPr>
        <w:t>How are battery types distributed across vehicle categories?</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Heatmap of vehicle category against battery type (LFP, NCA, NMC, Sodium-Ion, Solid-State).</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LFP and NMC columns are the darkest across most categories, while Sodium-Ion and Solid-State are the lightest.</w:t>
      </w:r>
    </w:p>
    <w:p w:rsidR="00000000" w:rsidDel="00000000" w:rsidP="00000000" w:rsidRDefault="00000000" w:rsidRPr="00000000" w14:paraId="00000011">
      <w:pPr>
        <w:ind w:left="720"/>
        <w:jc w:val="center"/>
        <w:rPr>
          <w:color w:val="000000"/>
          <w:highlight w:val="white"/>
        </w:rPr>
      </w:pPr>
      <w:r>
        <w:drawing>
          <wp:inline>
            <wp:extent cx="4846320" cy="2225351"/>
            <wp:docPr id="9" name="Picture 9"/>
            <wp:cNvGraphicFramePr>
              <a:graphicFrameLocks noChangeAspect="1"/>
            </wp:cNvGraphicFramePr>
            <a:graphic>
              <a:graphicData uri="http://schemas.openxmlformats.org/drawingml/2006/picture">
                <pic:pic>
                  <pic:nvPicPr>
                    <pic:cNvPr id="0" name="q6.png"/>
                    <pic:cNvPicPr/>
                  </pic:nvPicPr>
                  <pic:blipFill>
                    <a:blip r:embed="rId14"/>
                    <a:stretch>
                      <a:fillRect/>
                    </a:stretch>
                  </pic:blipFill>
                  <pic:spPr>
                    <a:xfrm>
                      <a:off x="0" y="0"/>
                      <a:ext cx="4846320" cy="2225351"/>
                    </a:xfrm>
                    <a:prstGeom prst="rect"/>
                  </pic:spPr>
                </pic:pic>
              </a:graphicData>
            </a:graphic>
          </wp:inline>
        </w:drawing>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8. </w:t>
      </w:r>
      <w:r w:rsidDel="00000000" w:rsidR="00000000" w:rsidRPr="00000000">
        <w:rPr>
          <w:rFonts w:ascii="Cambria" w:cs="Cambria" w:eastAsia="Cambria" w:hAnsi="Cambria"/>
          <w:b w:val="1"/>
          <w:bCs w:val="1"/>
          <w:color w:val="000000"/>
          <w:sz w:val="24"/>
          <w:szCs w:val="24"/>
          <w:highlight w:val="white"/>
          <w:rtl w:val="0"/>
        </w:rPr>
        <w:t>How do range and customer rating vary across battery technologies?</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Scatter plot of Avg. Range Km against Avg. Customer Rating, coloured by battery technology.</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Battery technologies form distinct clusters from about 100 to 550 km of range, but ratings stay within a narrow 3.8 to 4.4 band.</w:t>
      </w:r>
    </w:p>
    <w:p w:rsidR="00000000" w:rsidDel="00000000" w:rsidP="00000000" w:rsidRDefault="00000000" w:rsidRPr="00000000" w14:paraId="00000011">
      <w:pPr>
        <w:ind w:left="720"/>
        <w:jc w:val="center"/>
        <w:rPr>
          <w:color w:val="000000"/>
          <w:highlight w:val="white"/>
        </w:rPr>
      </w:pPr>
      <w:r>
        <w:drawing>
          <wp:inline>
            <wp:extent cx="4846320" cy="1563927"/>
            <wp:docPr id="10" name="Picture 10"/>
            <wp:cNvGraphicFramePr>
              <a:graphicFrameLocks noChangeAspect="1"/>
            </wp:cNvGraphicFramePr>
            <a:graphic>
              <a:graphicData uri="http://schemas.openxmlformats.org/drawingml/2006/picture">
                <pic:pic>
                  <pic:nvPicPr>
                    <pic:cNvPr id="0" name="q7.png"/>
                    <pic:cNvPicPr/>
                  </pic:nvPicPr>
                  <pic:blipFill>
                    <a:blip r:embed="rId15"/>
                    <a:stretch>
                      <a:fillRect/>
                    </a:stretch>
                  </pic:blipFill>
                  <pic:spPr>
                    <a:xfrm>
                      <a:off x="0" y="0"/>
                      <a:ext cx="4846320" cy="1563927"/>
                    </a:xfrm>
                    <a:prstGeom prst="rect"/>
                  </pic:spPr>
                </pic:pic>
              </a:graphicData>
            </a:graphic>
          </wp:inline>
        </w:drawing>
      </w:r>
    </w:p>
    <w:p w:rsidR="00000000" w:rsidDel="00000000" w:rsidP="00000000" w:rsidRDefault="00000000" w:rsidRPr="00000000" w14:paraId="00000010">
      <w:pPr>
        <w:tabs>
          <w:tab w:val="left" w:leader="none" w:pos="993"/>
        </w:tabs>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b w:val="1"/>
          <w:bCs w:val="1"/>
          <w:sz w:val="24"/>
          <w:szCs w:val="24"/>
          <w:highlight w:val="white"/>
          <w:rtl w:val="0"/>
        </w:rPr>
        <w:t xml:space="preserve">9. </w:t>
      </w:r>
      <w:r w:rsidDel="00000000" w:rsidR="00000000" w:rsidRPr="00000000">
        <w:rPr>
          <w:rFonts w:ascii="Cambria" w:cs="Cambria" w:eastAsia="Cambria" w:hAnsi="Cambria"/>
          <w:b w:val="1"/>
          <w:bCs w:val="1"/>
          <w:color w:val="000000"/>
          <w:sz w:val="24"/>
          <w:szCs w:val="24"/>
          <w:highlight w:val="white"/>
          <w:rtl w:val="0"/>
        </w:rPr>
        <w:t>What share of total annual sales units does each segment contribute?</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Visualization</w:t>
      </w:r>
      <w:r w:rsidDel="00000000" w:rsidR="00000000" w:rsidRPr="00000000">
        <w:rPr>
          <w:rFonts w:ascii="Cambria" w:cs="Cambria" w:eastAsia="Cambria" w:hAnsi="Cambria"/>
          <w:color w:val="000000"/>
          <w:sz w:val="24"/>
          <w:szCs w:val="24"/>
          <w:highlight w:val="white"/>
          <w:rtl w:val="0"/>
        </w:rPr>
        <w:t>: Pie chart of Annual Sales Units (CSAT &amp; Environmental Impact Matrix).</w:t>
      </w:r>
    </w:p>
    <w:p w:rsidR="00000000" w:rsidDel="00000000" w:rsidP="00000000" w:rsidRDefault="00000000" w:rsidRPr="00000000" w14:paraId="00000011">
      <w:pPr>
        <w:numPr>
          <w:ilvl w:val="1"/>
          <w:numId w:val="1"/>
        </w:numPr>
        <w:ind w:left="1440" w:hanging="360"/>
        <w:rPr>
          <w:color w:val="000000"/>
          <w:highlight w:val="white"/>
        </w:rPr>
      </w:pPr>
      <w:r w:rsidDel="00000000" w:rsidR="00000000" w:rsidRPr="00000000">
        <w:rPr>
          <w:rFonts w:ascii="Cambria" w:cs="Cambria" w:eastAsia="Cambria" w:hAnsi="Cambria"/>
          <w:i w:val="1"/>
          <w:iCs w:val="1"/>
          <w:color w:val="000000"/>
          <w:sz w:val="24"/>
          <w:szCs w:val="24"/>
          <w:highlight w:val="white"/>
          <w:rtl w:val="0"/>
        </w:rPr>
        <w:t>Insight</w:t>
      </w:r>
      <w:r w:rsidDel="00000000" w:rsidR="00000000" w:rsidRPr="00000000">
        <w:rPr>
          <w:rFonts w:ascii="Cambria" w:cs="Cambria" w:eastAsia="Cambria" w:hAnsi="Cambria"/>
          <w:color w:val="000000"/>
          <w:sz w:val="24"/>
          <w:szCs w:val="24"/>
          <w:highlight w:val="white"/>
          <w:rtl w:val="0"/>
        </w:rPr>
        <w:t>: Total volume is about 1.55B units; the two largest slices (about 524.1M and 496.1M) make up roughly 65.8% of it.</w:t>
      </w:r>
    </w:p>
    <w:p w:rsidR="00000000" w:rsidDel="00000000" w:rsidP="00000000" w:rsidRDefault="00000000" w:rsidRPr="00000000" w14:paraId="00000011">
      <w:pPr>
        <w:ind w:left="720"/>
        <w:jc w:val="center"/>
        <w:rPr>
          <w:color w:val="000000"/>
          <w:highlight w:val="white"/>
        </w:rPr>
      </w:pPr>
      <w:r>
        <w:drawing>
          <wp:inline>
            <wp:extent cx="4846320" cy="3480690"/>
            <wp:docPr id="11" name="Picture 11"/>
            <wp:cNvGraphicFramePr>
              <a:graphicFrameLocks noChangeAspect="1"/>
            </wp:cNvGraphicFramePr>
            <a:graphic>
              <a:graphicData uri="http://schemas.openxmlformats.org/drawingml/2006/picture">
                <pic:pic>
                  <pic:nvPicPr>
                    <pic:cNvPr id="0" name="q8.png"/>
                    <pic:cNvPicPr/>
                  </pic:nvPicPr>
                  <pic:blipFill>
                    <a:blip r:embed="rId16"/>
                    <a:stretch>
                      <a:fillRect/>
                    </a:stretch>
                  </pic:blipFill>
                  <pic:spPr>
                    <a:xfrm>
                      <a:off x="0" y="0"/>
                      <a:ext cx="4846320" cy="3480690"/>
                    </a:xfrm>
                    <a:prstGeom prst="rect"/>
                  </pic:spPr>
                </pic:pic>
              </a:graphicData>
            </a:graphic>
          </wp:inline>
        </w:draw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