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26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sidDel="00000000" w:rsidR="00000000" w:rsidRPr="00000000">
              <w:rPr>
                <w:rtl w:val="0"/>
              </w:rPr>
              <w:t>Individual</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rsidDel="00000000" w:rsidR="00000000" w:rsidRPr="00000000">
              <w:rPr>
                <w:rtl w:val="0"/>
              </w:rPr>
              <w:t>Electric Vehicle Market Analysis Dashboard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jc w:val="center"/>
        <w:rPr>
          <w:rFonts w:ascii="Arial" w:cs="Arial" w:eastAsia="Arial" w:hAnsi="Arial"/>
          <w:sz w:val="20"/>
          <w:szCs w:val="20"/>
        </w:rPr>
      </w:pPr>
      <w:r>
        <w:drawing>
          <wp:inline>
            <wp:extent cx="5733288" cy="3176325"/>
            <wp:docPr id="6" name="Picture 6"/>
            <wp:cNvGraphicFramePr>
              <a:graphicFrameLocks noChangeAspect="1"/>
            </wp:cNvGraphicFramePr>
            <a:graphic>
              <a:graphicData uri="http://schemas.openxmlformats.org/drawingml/2006/picture">
                <pic:pic>
                  <pic:nvPicPr>
                    <pic:cNvPr id="0" name="d1.png"/>
                    <pic:cNvPicPr/>
                  </pic:nvPicPr>
                  <pic:blipFill>
                    <a:blip r:embed="rId10"/>
                    <a:stretch>
                      <a:fillRect/>
                    </a:stretch>
                  </pic:blipFill>
                  <pic:spPr>
                    <a:xfrm>
                      <a:off x="0" y="0"/>
                      <a:ext cx="5733288" cy="3176325"/>
                    </a:xfrm>
                    <a:prstGeom prst="rect"/>
                  </pic:spPr>
                </pic:pic>
              </a:graphicData>
            </a:graphic>
          </wp:inline>
        </w:drawing>
      </w:r>
    </w:p>
    <w:p w:rsidR="00000000" w:rsidDel="00000000" w:rsidP="00000000" w:rsidRDefault="00000000" w:rsidRPr="00000000" w14:paraId="0000001A">
      <w:pPr>
        <w:spacing w:after="200" w:line="240" w:lineRule="auto"/>
        <w:jc w:val="center"/>
        <w:rPr/>
      </w:pPr>
      <w:r w:rsidDel="00000000" w:rsidR="00000000" w:rsidRPr="00000000">
        <w:rPr>
          <w:rtl w:val="0"/>
        </w:rPr>
        <w:t>Dashboard 1: Sales volume, category portfolio, range vs price and manufacturer market share</w:t>
      </w:r>
    </w:p>
    <w:p w:rsidR="00000000" w:rsidDel="00000000" w:rsidP="00000000" w:rsidRDefault="00000000" w:rsidRPr="00000000" w14:paraId="00000018">
      <w:pPr>
        <w:spacing w:after="200" w:line="240" w:lineRule="auto"/>
        <w:jc w:val="center"/>
        <w:rPr>
          <w:rFonts w:ascii="Arial" w:cs="Arial" w:eastAsia="Arial" w:hAnsi="Arial"/>
          <w:sz w:val="20"/>
          <w:szCs w:val="20"/>
        </w:rPr>
      </w:pPr>
      <w:r>
        <w:drawing>
          <wp:inline>
            <wp:extent cx="5733288" cy="3523670"/>
            <wp:docPr id="7" name="Picture 7"/>
            <wp:cNvGraphicFramePr>
              <a:graphicFrameLocks noChangeAspect="1"/>
            </wp:cNvGraphicFramePr>
            <a:graphic>
              <a:graphicData uri="http://schemas.openxmlformats.org/drawingml/2006/picture">
                <pic:pic>
                  <pic:nvPicPr>
                    <pic:cNvPr id="0" name="d2.png"/>
                    <pic:cNvPicPr/>
                  </pic:nvPicPr>
                  <pic:blipFill>
                    <a:blip r:embed="rId11"/>
                    <a:stretch>
                      <a:fillRect/>
                    </a:stretch>
                  </pic:blipFill>
                  <pic:spPr>
                    <a:xfrm>
                      <a:off x="0" y="0"/>
                      <a:ext cx="5733288" cy="3523670"/>
                    </a:xfrm>
                    <a:prstGeom prst="rect"/>
                  </pic:spPr>
                </pic:pic>
              </a:graphicData>
            </a:graphic>
          </wp:inline>
        </w:drawing>
      </w:r>
    </w:p>
    <w:p w:rsidR="00000000" w:rsidDel="00000000" w:rsidP="00000000" w:rsidRDefault="00000000" w:rsidRPr="00000000" w14:paraId="0000001A">
      <w:pPr>
        <w:spacing w:after="200" w:line="240" w:lineRule="auto"/>
        <w:jc w:val="center"/>
        <w:rPr/>
      </w:pPr>
      <w:r w:rsidDel="00000000" w:rsidR="00000000" w:rsidRPr="00000000">
        <w:rPr>
          <w:rtl w:val="0"/>
        </w:rPr>
        <w:t>Dashboard 2: Production hubs, category vs battery type, battery degradation profile and CSAT &amp; environmental impact</w:t>
      </w:r>
    </w:p>
    <w:p w:rsidR="00000000" w:rsidDel="00000000" w:rsidP="00000000" w:rsidRDefault="00000000" w:rsidRPr="00000000" w14:paraId="0000001B">
      <w:pPr>
        <w:spacing w:after="200" w:line="240" w:lineRule="auto"/>
        <w:rPr/>
      </w:pPr>
      <w:r w:rsidDel="00000000" w:rsidR="00000000" w:rsidRPr="00000000">
        <w:rPr>
          <w:rtl w:val="0"/>
        </w:rPr>
        <w:t>Major outcomes from the Electric Vehicle Market Analysis dashboards:</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Market Scale</w:t>
      </w:r>
      <w:r w:rsidDel="00000000" w:rsidR="00000000" w:rsidRPr="00000000">
        <w:rPr>
          <w:rtl w:val="0"/>
        </w:rPr>
        <w:t>: Total Annual Sales Units across the five segments in the CSAT &amp; Environmental Impact pie add up to roughly 1.55B units, giving the overall size of the EV market covered by the data.</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Sales Concentration</w:t>
      </w:r>
      <w:r w:rsidDel="00000000" w:rsidR="00000000" w:rsidRPr="00000000">
        <w:rPr>
          <w:rtl w:val="0"/>
        </w:rPr>
        <w:t>: The two largest segments (about 524.1M and 496.1M units) together account for roughly 65.8% of total annual sales units, while the smallest segment contributes only about 7.1% (110.0M units).</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Highest-Volume Category</w:t>
      </w:r>
      <w:r w:rsidDel="00000000" w:rsidR="00000000" w:rsidRPr="00000000">
        <w:rPr>
          <w:rtl w:val="0"/>
        </w:rPr>
        <w:t>: Two-Wheeler Scooter shows the highest labelled sales volume at about 174.6M units, with several other categories labelled between roughly 95M and 155M units.</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Battery Technology Mix</w:t>
      </w:r>
      <w:r w:rsidDel="00000000" w:rsidR="00000000" w:rsidRPr="00000000">
        <w:rPr>
          <w:rtl w:val="0"/>
        </w:rPr>
        <w:t>: NMC and NCA take the largest tiles in the range vs price treemap, and the Category v/s Battery Type heatmap is darkest for LFP and NMC across most vehicle categories, while Sodium-Ion and Solid-State are lightest.</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Range Leaders</w:t>
      </w:r>
      <w:r w:rsidDel="00000000" w:rsidR="00000000" w:rsidRPr="00000000">
        <w:rPr>
          <w:rtl w:val="0"/>
        </w:rPr>
        <w:t>: Crossover (about 1,180 km) and Compact SUV (about 1,100 km) lead the visible categories on Avg. Range Km, followed by Electric Bus at about 810 km.</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Manufacturer Performance</w:t>
      </w:r>
      <w:r w:rsidDel="00000000" w:rsidR="00000000" w:rsidRPr="00000000">
        <w:rPr>
          <w:rtl w:val="0"/>
        </w:rPr>
        <w:t>: A small group of manufacturers stands out at roughly 4.79M and 4.73M annual sales units, while most others cluster around or below the market average line.</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Global Production Hubs</w:t>
      </w:r>
      <w:r w:rsidDel="00000000" w:rsidR="00000000" w:rsidRPr="00000000">
        <w:rPr>
          <w:rtl w:val="0"/>
        </w:rPr>
        <w:t>: Production hubs are concentrated in Western Europe and the Nordics, with further hubs in North America and South and East Asia.</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Range vs Customer Satisfaction</w:t>
      </w:r>
      <w:r w:rsidDel="00000000" w:rsidR="00000000" w:rsidRPr="00000000">
        <w:rPr>
          <w:rtl w:val="0"/>
        </w:rPr>
        <w:t>: Battery technologies form distinct clusters between about 100 and 550 km of average range, yet average customer ratings stay within a narrow 3.8 to 4.4 band, so longer range alone does not guarantee higher satisfaction.</w:t>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6">
      <w:pPr>
        <w:spacing w:after="200" w:line="240" w:lineRule="auto"/>
        <w:rPr>
          <w:sz w:val="28"/>
          <w:szCs w:val="28"/>
        </w:rPr>
      </w:pPr>
      <w:r>
        <w:rPr>
          <w:sz w:val="28"/>
          <w:highlight w:val="yellow"/>
        </w:rPr>
        <w:t>[Paste your Tableau Public dashboard link here after publishing]</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