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b="0" l="0" r="0" t="0"/>
            <wp:wrapNone/>
            <wp:docPr id="15070752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Electric Vehicle Market Analysis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>
        <w:drawing>
          <wp:inline>
            <wp:extent cx="5733288" cy="3176325"/>
            <wp:docPr id="1507075289" name="Picture 1507075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1763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>Story Point 1: Market volume, portfolio positioning and manufacturer share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>
        <w:drawing>
          <wp:inline>
            <wp:extent cx="5733288" cy="3523670"/>
            <wp:docPr id="1507075290" name="Picture 1507075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52367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>Story Point 2: Production hubs, battery technology and customer satisfaction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Observations: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Two-Wheeler Scooters Lead Volume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: The Two-Wheeler Scooter category records the highest labelled sales volume at about 174.6M units.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Sales Concentrated in Two Segments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: The two largest segments contribute about 65.8% of the roughly 1.55B total annual sales units.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NMC and LFP Dominate Battery Mix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: NMC and NCA hold the largest tiles in the range vs price treemap, and LFP and NMC are the most prominent battery types across vehicle categories.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Crossovers and Compact SUVs Offer the Longest 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: Crossover (about 1,180 km) and Compact SUV (about 1,100 km) lead on average range among the visible categories.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Satisfaction Stays Stable Across Technologies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: Average customer ratings remain between 3.8 and 4.4 even as average range varies from about 100 to 550 km across battery technologies.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Publish Story on Tableau Public and Paste Public link below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>
        <w:rPr>
          <w:highlight w:val="yellow"/>
        </w:rPr>
        <w:t>[Paste your Tableau Public story link here after publishing]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