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Electric Vehicle Market Analysis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EV dataset connected as a Tableau data source (Data Source tab). Fields rendered: Category, Manufacturer, Battery Type, Annual Sales Units, Avg. Range Km, Avg. Customer Rating and production country/location.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highlight w:val="yellow"/>
                <w:rtl w:val="0"/>
              </w:rPr>
              <w:t>[Confirm/edit: data checked for nulls and duplicates, field types and names standardised (Category, Battery Type, Manufacturer) before building the 9 sheets]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highlight w:val="yellow"/>
                <w:rtl w:val="0"/>
              </w:rPr>
              <w:t>[Confirm/edit: filters applied on the sheets, e.g. Category, Manufacturer and Battery Type]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highlight w:val="yellow"/>
                <w:rtl w:val="0"/>
              </w:rPr>
              <w:t>Calculation1 (used on the Sales Volume &amp; Revenue Contribution by Vehicle Category sheet). [Add any other calculated fields you created]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- 9 (Dashboard 1: 4 visuals, Dashboard 2: 5 visuals)</w:t>
            </w:r>
          </w:p>
          <w:p>
            <w:r>
              <w:drawing>
                <wp:inline>
                  <wp:extent cx="2743200" cy="15197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9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2743200" cy="16859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85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- 9 (story built from the 2 dashboards)</w:t>
            </w:r>
          </w:p>
          <w:p>
            <w:r>
              <w:drawing>
                <wp:inline>
                  <wp:extent cx="2743200" cy="15197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9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2743200" cy="16859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85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