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051560" cy="500043"/>
                  <wp:docPr id="1" name="Picture 1"/>
                  <wp:cNvGraphicFramePr>
                    <a:graphicFrameLocks noChangeAspect="1"/>
                  </wp:cNvGraphicFramePr>
                  <a:graphic>
                    <a:graphicData uri="http://schemas.openxmlformats.org/drawingml/2006/picture">
                      <pic:pic>
                        <pic:nvPicPr>
                          <pic:cNvPr id="0" name="sw.png"/>
                          <pic:cNvPicPr/>
                        </pic:nvPicPr>
                        <pic:blipFill>
                          <a:blip r:embed="rId9"/>
                          <a:stretch>
                            <a:fillRect/>
                          </a:stretch>
                        </pic:blipFill>
                        <pic:spPr>
                          <a:xfrm>
                            <a:off x="0" y="0"/>
                            <a:ext cx="1051560" cy="500043"/>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371600" cy="633459"/>
                  <wp:docPr id="2" name="Picture 2"/>
                  <wp:cNvGraphicFramePr>
                    <a:graphicFrameLocks noChangeAspect="1"/>
                  </wp:cNvGraphicFramePr>
                  <a:graphic>
                    <a:graphicData uri="http://schemas.openxmlformats.org/drawingml/2006/picture">
                      <pic:pic>
                        <pic:nvPicPr>
                          <pic:cNvPr id="0" name="sb.png"/>
                          <pic:cNvPicPr/>
                        </pic:nvPicPr>
                        <pic:blipFill>
                          <a:blip r:embed="rId10"/>
                          <a:stretch>
                            <a:fillRect/>
                          </a:stretch>
                        </pic:blipFill>
                        <pic:spPr>
                          <a:xfrm>
                            <a:off x="0" y="0"/>
                            <a:ext cx="1371600" cy="633459"/>
                          </a:xfrm>
                          <a:prstGeom prst="rect"/>
                        </pic:spPr>
                      </pic:pic>
                    </a:graphicData>
                  </a:graphic>
                </wp:inline>
              </w:drawing>
            </w:r>
          </w:p>
        </w:tc>
      </w:tr>
    </w:tbl>
    <w:p>
      <w:pPr>
        <w:spacing w:after="160"/>
        <w:jc w:val="center"/>
      </w:pPr>
      <w:r>
        <w:rPr>
          <w:rFonts w:ascii="Arial" w:hAnsi="Arial" w:eastAsia="Arial"/>
          <w:b/>
          <w:sz w:val="28"/>
        </w:rPr>
        <w:t>Scalability &amp; Future Plan</w:t>
      </w:r>
    </w:p>
    <w:tbl>
      <w:tblPr>
        <w:tblStyle w:val="TableGrid"/>
        <w:tblW w:type="auto" w:w="0"/>
        <w:jc w:val="center"/>
        <w:tblLook w:firstColumn="1" w:firstRow="1" w:lastColumn="0" w:lastRow="0" w:noHBand="0" w:noVBand="1" w:val="04A0"/>
      </w:tblPr>
      <w:tblGrid>
        <w:gridCol w:w="4968"/>
        <w:gridCol w:w="4968"/>
      </w:tblGrid>
      <w:tr>
        <w:tc>
          <w:tcPr>
            <w:tcW w:type="dxa" w:w="2880"/>
          </w:tcPr>
          <w:p>
            <w:pPr>
              <w:spacing w:after="60" w:before="60"/>
            </w:pPr>
            <w:r/>
            <w:r>
              <w:rPr>
                <w:rFonts w:ascii="Arial" w:hAnsi="Arial" w:eastAsia="Arial"/>
                <w:b/>
                <w:sz w:val="20"/>
              </w:rPr>
              <w:t>Date</w:t>
            </w:r>
          </w:p>
        </w:tc>
        <w:tc>
          <w:tcPr>
            <w:tcW w:type="dxa" w:w="7056"/>
          </w:tcPr>
          <w:p>
            <w:pPr>
              <w:spacing w:after="60" w:before="60"/>
            </w:pPr>
            <w:r/>
            <w:r>
              <w:rPr>
                <w:rFonts w:ascii="Arial" w:hAnsi="Arial" w:eastAsia="Arial"/>
                <w:b w:val="0"/>
                <w:sz w:val="20"/>
              </w:rPr>
              <w:t>26 October 2026</w:t>
            </w:r>
          </w:p>
        </w:tc>
      </w:tr>
      <w:tr>
        <w:tc>
          <w:tcPr>
            <w:tcW w:type="dxa" w:w="2880"/>
          </w:tcPr>
          <w:p>
            <w:pPr>
              <w:spacing w:after="60" w:before="60"/>
            </w:pPr>
            <w:r/>
            <w:r>
              <w:rPr>
                <w:rFonts w:ascii="Arial" w:hAnsi="Arial" w:eastAsia="Arial"/>
                <w:b/>
                <w:sz w:val="20"/>
              </w:rPr>
              <w:t>Team ID</w:t>
            </w:r>
          </w:p>
        </w:tc>
        <w:tc>
          <w:tcPr>
            <w:tcW w:type="dxa" w:w="7056"/>
          </w:tcPr>
          <w:p>
            <w:pPr>
              <w:spacing w:after="60" w:before="60"/>
            </w:pPr>
            <w:r/>
            <w:r>
              <w:rPr>
                <w:rFonts w:ascii="Arial" w:hAnsi="Arial" w:eastAsia="Arial"/>
                <w:b w:val="0"/>
                <w:sz w:val="20"/>
              </w:rPr>
              <w:t>Individual</w:t>
            </w:r>
          </w:p>
        </w:tc>
      </w:tr>
      <w:tr>
        <w:tc>
          <w:tcPr>
            <w:tcW w:type="dxa" w:w="2880"/>
          </w:tcPr>
          <w:p>
            <w:pPr>
              <w:spacing w:after="60" w:before="60"/>
            </w:pPr>
            <w:r/>
            <w:r>
              <w:rPr>
                <w:rFonts w:ascii="Arial" w:hAnsi="Arial" w:eastAsia="Arial"/>
                <w:b/>
                <w:sz w:val="20"/>
              </w:rPr>
              <w:t>Project Name</w:t>
            </w:r>
          </w:p>
        </w:tc>
        <w:tc>
          <w:tcPr>
            <w:tcW w:type="dxa" w:w="7056"/>
          </w:tcPr>
          <w:p>
            <w:pPr>
              <w:spacing w:after="60" w:before="60"/>
            </w:pPr>
            <w:r/>
            <w:r>
              <w:rPr>
                <w:rFonts w:ascii="Arial" w:hAnsi="Arial" w:eastAsia="Arial"/>
                <w:b w:val="0"/>
                <w:sz w:val="20"/>
              </w:rPr>
              <w:t>Electric Vehicle Market Analysis Dashboard</w:t>
            </w:r>
          </w:p>
        </w:tc>
      </w:tr>
      <w:tr>
        <w:tc>
          <w:tcPr>
            <w:tcW w:type="dxa" w:w="2880"/>
          </w:tcPr>
          <w:p>
            <w:pPr>
              <w:spacing w:after="60" w:before="60"/>
            </w:pPr>
            <w:r/>
            <w:r>
              <w:rPr>
                <w:rFonts w:ascii="Arial" w:hAnsi="Arial" w:eastAsia="Arial"/>
                <w:b/>
                <w:sz w:val="20"/>
              </w:rPr>
              <w:t>Maximum Marks</w:t>
            </w:r>
          </w:p>
        </w:tc>
        <w:tc>
          <w:tcPr>
            <w:tcW w:type="dxa" w:w="7056"/>
          </w:tcPr>
          <w:p>
            <w:pPr>
              <w:spacing w:after="60" w:before="60"/>
            </w:pPr>
            <w:r/>
            <w:r>
              <w:rPr>
                <w:rFonts w:ascii="Arial" w:hAnsi="Arial" w:eastAsia="Arial"/>
                <w:b w:val="0"/>
                <w:sz w:val="20"/>
              </w:rPr>
              <w:t>1 Mark</w:t>
            </w:r>
          </w:p>
        </w:tc>
      </w:tr>
    </w:tbl>
    <w:p/>
    <w:p>
      <w:pPr>
        <w:spacing w:after="40"/>
      </w:pPr>
      <w:r>
        <w:rPr>
          <w:rFonts w:ascii="Arial" w:hAnsi="Arial" w:eastAsia="Arial"/>
          <w:b/>
          <w:sz w:val="22"/>
        </w:rPr>
        <w:t>Scalability &amp; Future Plan:</w:t>
      </w:r>
    </w:p>
    <w:p>
      <w:pPr>
        <w:spacing w:after="160"/>
      </w:pPr>
      <w:r>
        <w:rPr>
          <w:rFonts w:ascii="Arial" w:hAnsi="Arial" w:eastAsia="Arial"/>
          <w:b w:val="0"/>
          <w:sz w:val="20"/>
        </w:rPr>
        <w:t>This document outlines how the current project solution can be scaled to handle larger user bases, increased data loads, or extended features in the future. It also captures the team's roadmap for enhancing and evolving the project beyond its current state.</w:t>
      </w:r>
    </w:p>
    <w:p>
      <w:pPr>
        <w:keepNext/>
        <w:spacing w:before="200" w:after="80"/>
      </w:pPr>
      <w:r>
        <w:rPr>
          <w:rFonts w:ascii="Arial" w:hAnsi="Arial" w:eastAsia="Arial"/>
          <w:b/>
          <w:sz w:val="22"/>
        </w:rPr>
        <w:t>Current System Limitations:</w:t>
      </w:r>
    </w:p>
    <w:tbl>
      <w:tblPr>
        <w:tblStyle w:val="TableGrid"/>
        <w:tblW w:type="auto" w:w="0"/>
        <w:jc w:val="center"/>
        <w:tblLayout w:type="fixed"/>
        <w:tblLook w:firstColumn="1" w:firstRow="1" w:lastColumn="0" w:lastRow="0" w:noHBand="0" w:noVBand="1" w:val="04A0"/>
      </w:tblPr>
      <w:tblGrid>
        <w:gridCol w:w="749"/>
        <w:gridCol w:w="4032"/>
        <w:gridCol w:w="3456"/>
        <w:gridCol w:w="1872"/>
      </w:tblGrid>
      <w:tr>
        <w:trPr>
          <w:cantSplit/>
        </w:trPr>
        <w:tc>
          <w:tcPr>
            <w:tcW w:type="dxa" w:w="749"/>
            <w:shd w:val="clear" w:fill="F2F2F2"/>
          </w:tcPr>
          <w:p>
            <w:pPr>
              <w:spacing w:after="60" w:before="60"/>
            </w:pPr>
            <w:r/>
            <w:r>
              <w:rPr>
                <w:rFonts w:ascii="Arial" w:hAnsi="Arial" w:eastAsia="Arial"/>
                <w:b/>
                <w:sz w:val="18"/>
              </w:rPr>
              <w:t>S.No</w:t>
            </w:r>
          </w:p>
        </w:tc>
        <w:tc>
          <w:tcPr>
            <w:tcW w:type="dxa" w:w="4032"/>
            <w:shd w:val="clear" w:fill="F2F2F2"/>
          </w:tcPr>
          <w:p>
            <w:pPr>
              <w:spacing w:after="60" w:before="60"/>
            </w:pPr>
            <w:r/>
            <w:r>
              <w:rPr>
                <w:rFonts w:ascii="Arial" w:hAnsi="Arial" w:eastAsia="Arial"/>
                <w:b/>
                <w:sz w:val="18"/>
              </w:rPr>
              <w:t>Limitation</w:t>
            </w:r>
          </w:p>
        </w:tc>
        <w:tc>
          <w:tcPr>
            <w:tcW w:type="dxa" w:w="3456"/>
            <w:shd w:val="clear" w:fill="F2F2F2"/>
          </w:tcPr>
          <w:p>
            <w:pPr>
              <w:spacing w:after="60" w:before="60"/>
            </w:pPr>
            <w:r/>
            <w:r>
              <w:rPr>
                <w:rFonts w:ascii="Arial" w:hAnsi="Arial" w:eastAsia="Arial"/>
                <w:b/>
                <w:sz w:val="18"/>
              </w:rPr>
              <w:t>Impact</w:t>
            </w:r>
          </w:p>
        </w:tc>
        <w:tc>
          <w:tcPr>
            <w:tcW w:type="dxa" w:w="1872"/>
            <w:shd w:val="clear" w:fill="F2F2F2"/>
          </w:tcPr>
          <w:p>
            <w:pPr>
              <w:spacing w:after="60" w:before="60"/>
            </w:pPr>
            <w:r/>
            <w:r>
              <w:rPr>
                <w:rFonts w:ascii="Arial" w:hAnsi="Arial" w:eastAsia="Arial"/>
                <w:b/>
                <w:sz w:val="18"/>
              </w:rPr>
              <w:t>Priority to Address (High / Medium / Low)</w:t>
            </w:r>
          </w:p>
        </w:tc>
      </w:tr>
      <w:tr>
        <w:trPr>
          <w:cantSplit/>
        </w:trPr>
        <w:tc>
          <w:tcPr>
            <w:tcW w:type="dxa" w:w="749"/>
          </w:tcPr>
          <w:p>
            <w:pPr>
              <w:spacing w:after="60" w:before="60"/>
            </w:pPr>
            <w:r/>
            <w:r>
              <w:rPr>
                <w:rFonts w:ascii="Arial" w:hAnsi="Arial" w:eastAsia="Arial"/>
                <w:b w:val="0"/>
                <w:sz w:val="18"/>
              </w:rPr>
              <w:t>1</w:t>
            </w:r>
          </w:p>
        </w:tc>
        <w:tc>
          <w:tcPr>
            <w:tcW w:type="dxa" w:w="4032"/>
          </w:tcPr>
          <w:p>
            <w:pPr>
              <w:spacing w:after="60" w:before="60"/>
            </w:pPr>
            <w:r/>
            <w:r>
              <w:rPr>
                <w:rFonts w:ascii="Arial" w:hAnsi="Arial" w:eastAsia="Arial"/>
                <w:b w:val="0"/>
                <w:sz w:val="18"/>
              </w:rPr>
              <w:t>Data is a static snapshot with no automatic refresh</w:t>
            </w:r>
          </w:p>
        </w:tc>
        <w:tc>
          <w:tcPr>
            <w:tcW w:type="dxa" w:w="3456"/>
          </w:tcPr>
          <w:p>
            <w:pPr>
              <w:spacing w:after="60" w:before="60"/>
            </w:pPr>
            <w:r/>
            <w:r>
              <w:rPr>
                <w:rFonts w:ascii="Arial" w:hAnsi="Arial" w:eastAsia="Arial"/>
                <w:b w:val="0"/>
                <w:sz w:val="18"/>
              </w:rPr>
              <w:t>Insights can become outdated as the market changes</w:t>
            </w:r>
          </w:p>
        </w:tc>
        <w:tc>
          <w:tcPr>
            <w:tcW w:type="dxa" w:w="1872"/>
          </w:tcPr>
          <w:p>
            <w:pPr>
              <w:spacing w:after="60" w:before="60"/>
            </w:pPr>
            <w:r/>
            <w:r>
              <w:rPr>
                <w:rFonts w:ascii="Arial" w:hAnsi="Arial" w:eastAsia="Arial"/>
                <w:b w:val="0"/>
                <w:sz w:val="18"/>
              </w:rPr>
              <w:t>High</w:t>
            </w:r>
          </w:p>
        </w:tc>
      </w:tr>
      <w:tr>
        <w:trPr>
          <w:cantSplit/>
        </w:trPr>
        <w:tc>
          <w:tcPr>
            <w:tcW w:type="dxa" w:w="749"/>
          </w:tcPr>
          <w:p>
            <w:pPr>
              <w:spacing w:after="60" w:before="60"/>
            </w:pPr>
            <w:r/>
            <w:r>
              <w:rPr>
                <w:rFonts w:ascii="Arial" w:hAnsi="Arial" w:eastAsia="Arial"/>
                <w:b w:val="0"/>
                <w:sz w:val="18"/>
              </w:rPr>
              <w:t>2</w:t>
            </w:r>
          </w:p>
        </w:tc>
        <w:tc>
          <w:tcPr>
            <w:tcW w:type="dxa" w:w="4032"/>
          </w:tcPr>
          <w:p>
            <w:pPr>
              <w:spacing w:after="60" w:before="60"/>
            </w:pPr>
            <w:r/>
            <w:r>
              <w:rPr>
                <w:rFonts w:ascii="Arial" w:hAnsi="Arial" w:eastAsia="Arial"/>
                <w:b w:val="0"/>
                <w:sz w:val="18"/>
              </w:rPr>
              <w:t>Published on Tableau Public, so data and visuals are publicly visible</w:t>
            </w:r>
          </w:p>
        </w:tc>
        <w:tc>
          <w:tcPr>
            <w:tcW w:type="dxa" w:w="3456"/>
          </w:tcPr>
          <w:p>
            <w:pPr>
              <w:spacing w:after="60" w:before="60"/>
            </w:pPr>
            <w:r/>
            <w:r>
              <w:rPr>
                <w:rFonts w:ascii="Arial" w:hAnsi="Arial" w:eastAsia="Arial"/>
                <w:b w:val="0"/>
                <w:sz w:val="18"/>
              </w:rPr>
              <w:t>Not suitable for confidential or sensitive data</w:t>
            </w:r>
          </w:p>
        </w:tc>
        <w:tc>
          <w:tcPr>
            <w:tcW w:type="dxa" w:w="1872"/>
          </w:tcPr>
          <w:p>
            <w:pPr>
              <w:spacing w:after="60" w:before="60"/>
            </w:pPr>
            <w:r/>
            <w:r>
              <w:rPr>
                <w:rFonts w:ascii="Arial" w:hAnsi="Arial" w:eastAsia="Arial"/>
                <w:b w:val="0"/>
                <w:sz w:val="18"/>
              </w:rPr>
              <w:t>Medium</w:t>
            </w:r>
          </w:p>
        </w:tc>
      </w:tr>
      <w:tr>
        <w:trPr>
          <w:cantSplit/>
        </w:trPr>
        <w:tc>
          <w:tcPr>
            <w:tcW w:type="dxa" w:w="749"/>
          </w:tcPr>
          <w:p>
            <w:pPr>
              <w:spacing w:after="60" w:before="60"/>
            </w:pPr>
            <w:r/>
            <w:r>
              <w:rPr>
                <w:rFonts w:ascii="Arial" w:hAnsi="Arial" w:eastAsia="Arial"/>
                <w:b w:val="0"/>
                <w:sz w:val="18"/>
              </w:rPr>
              <w:t>3</w:t>
            </w:r>
          </w:p>
        </w:tc>
        <w:tc>
          <w:tcPr>
            <w:tcW w:type="dxa" w:w="4032"/>
          </w:tcPr>
          <w:p>
            <w:pPr>
              <w:spacing w:after="60" w:before="60"/>
            </w:pPr>
            <w:r/>
            <w:r>
              <w:rPr>
                <w:rFonts w:ascii="Arial" w:hAnsi="Arial" w:eastAsia="Arial"/>
                <w:b w:val="0"/>
                <w:sz w:val="18"/>
              </w:rPr>
              <w:t>Dense charts (scatter plots, labels) can overlap on small screens</w:t>
            </w:r>
          </w:p>
        </w:tc>
        <w:tc>
          <w:tcPr>
            <w:tcW w:type="dxa" w:w="3456"/>
          </w:tcPr>
          <w:p>
            <w:pPr>
              <w:spacing w:after="60" w:before="60"/>
            </w:pPr>
            <w:r/>
            <w:r>
              <w:rPr>
                <w:rFonts w:ascii="Arial" w:hAnsi="Arial" w:eastAsia="Arial"/>
                <w:b w:val="0"/>
                <w:sz w:val="18"/>
              </w:rPr>
              <w:t>Reduced readability on mobile and small displays</w:t>
            </w:r>
          </w:p>
        </w:tc>
        <w:tc>
          <w:tcPr>
            <w:tcW w:type="dxa" w:w="1872"/>
          </w:tcPr>
          <w:p>
            <w:pPr>
              <w:spacing w:after="60" w:before="60"/>
            </w:pPr>
            <w:r/>
            <w:r>
              <w:rPr>
                <w:rFonts w:ascii="Arial" w:hAnsi="Arial" w:eastAsia="Arial"/>
                <w:b w:val="0"/>
                <w:sz w:val="18"/>
              </w:rPr>
              <w:t>Low</w:t>
            </w:r>
          </w:p>
        </w:tc>
      </w:tr>
    </w:tbl>
    <w:p>
      <w:pPr>
        <w:keepNext/>
        <w:spacing w:before="200" w:after="80"/>
      </w:pPr>
      <w:r>
        <w:rPr>
          <w:rFonts w:ascii="Arial" w:hAnsi="Arial" w:eastAsia="Arial"/>
          <w:b/>
          <w:sz w:val="22"/>
        </w:rPr>
        <w:t>Scalability Plan:</w:t>
      </w:r>
    </w:p>
    <w:tbl>
      <w:tblPr>
        <w:tblStyle w:val="TableGrid"/>
        <w:tblW w:type="auto" w:w="0"/>
        <w:jc w:val="center"/>
        <w:tblLayout w:type="fixed"/>
        <w:tblLook w:firstColumn="1" w:firstRow="1" w:lastColumn="0" w:lastRow="0" w:noHBand="0" w:noVBand="1" w:val="04A0"/>
      </w:tblPr>
      <w:tblGrid>
        <w:gridCol w:w="749"/>
        <w:gridCol w:w="1872"/>
        <w:gridCol w:w="3312"/>
        <w:gridCol w:w="4176"/>
      </w:tblGrid>
      <w:tr>
        <w:trPr>
          <w:cantSplit/>
        </w:trPr>
        <w:tc>
          <w:tcPr>
            <w:tcW w:type="dxa" w:w="749"/>
            <w:shd w:val="clear" w:fill="F2F2F2"/>
          </w:tcPr>
          <w:p>
            <w:pPr>
              <w:spacing w:after="60" w:before="60"/>
            </w:pPr>
            <w:r/>
            <w:r>
              <w:rPr>
                <w:rFonts w:ascii="Arial" w:hAnsi="Arial" w:eastAsia="Arial"/>
                <w:b/>
                <w:sz w:val="18"/>
              </w:rPr>
              <w:t>S.No</w:t>
            </w:r>
          </w:p>
        </w:tc>
        <w:tc>
          <w:tcPr>
            <w:tcW w:type="dxa" w:w="1872"/>
            <w:shd w:val="clear" w:fill="F2F2F2"/>
          </w:tcPr>
          <w:p>
            <w:pPr>
              <w:spacing w:after="60" w:before="60"/>
            </w:pPr>
            <w:r/>
            <w:r>
              <w:rPr>
                <w:rFonts w:ascii="Arial" w:hAnsi="Arial" w:eastAsia="Arial"/>
                <w:b/>
                <w:sz w:val="18"/>
              </w:rPr>
              <w:t>Scalability Aspect</w:t>
            </w:r>
          </w:p>
        </w:tc>
        <w:tc>
          <w:tcPr>
            <w:tcW w:type="dxa" w:w="3312"/>
            <w:shd w:val="clear" w:fill="F2F2F2"/>
          </w:tcPr>
          <w:p>
            <w:pPr>
              <w:spacing w:after="60" w:before="60"/>
            </w:pPr>
            <w:r/>
            <w:r>
              <w:rPr>
                <w:rFonts w:ascii="Arial" w:hAnsi="Arial" w:eastAsia="Arial"/>
                <w:b/>
                <w:sz w:val="18"/>
              </w:rPr>
              <w:t>Current State</w:t>
            </w:r>
          </w:p>
        </w:tc>
        <w:tc>
          <w:tcPr>
            <w:tcW w:type="dxa" w:w="4176"/>
            <w:shd w:val="clear" w:fill="F2F2F2"/>
          </w:tcPr>
          <w:p>
            <w:pPr>
              <w:spacing w:after="60" w:before="60"/>
            </w:pPr>
            <w:r/>
            <w:r>
              <w:rPr>
                <w:rFonts w:ascii="Arial" w:hAnsi="Arial" w:eastAsia="Arial"/>
                <w:b/>
                <w:sz w:val="18"/>
              </w:rPr>
              <w:t>Proposed Upgrade / Solution</w:t>
            </w:r>
          </w:p>
        </w:tc>
      </w:tr>
      <w:tr>
        <w:trPr>
          <w:cantSplit/>
        </w:trPr>
        <w:tc>
          <w:tcPr>
            <w:tcW w:type="dxa" w:w="749"/>
          </w:tcPr>
          <w:p>
            <w:pPr>
              <w:spacing w:after="60" w:before="60"/>
            </w:pPr>
            <w:r/>
            <w:r>
              <w:rPr>
                <w:rFonts w:ascii="Arial" w:hAnsi="Arial" w:eastAsia="Arial"/>
                <w:b w:val="0"/>
                <w:sz w:val="18"/>
              </w:rPr>
              <w:t>1</w:t>
            </w:r>
          </w:p>
        </w:tc>
        <w:tc>
          <w:tcPr>
            <w:tcW w:type="dxa" w:w="1872"/>
          </w:tcPr>
          <w:p>
            <w:pPr>
              <w:spacing w:after="60" w:before="60"/>
            </w:pPr>
            <w:r/>
            <w:r>
              <w:rPr>
                <w:rFonts w:ascii="Arial" w:hAnsi="Arial" w:eastAsia="Arial"/>
                <w:b w:val="0"/>
                <w:sz w:val="18"/>
              </w:rPr>
              <w:t>User Load</w:t>
            </w:r>
          </w:p>
        </w:tc>
        <w:tc>
          <w:tcPr>
            <w:tcW w:type="dxa" w:w="3312"/>
          </w:tcPr>
          <w:p>
            <w:pPr>
              <w:spacing w:after="60" w:before="60"/>
            </w:pPr>
            <w:r/>
            <w:r>
              <w:rPr>
                <w:rFonts w:ascii="Arial" w:hAnsi="Arial" w:eastAsia="Arial"/>
                <w:b w:val="0"/>
                <w:sz w:val="18"/>
              </w:rPr>
              <w:t>Single author with public viewing on Tableau Public</w:t>
            </w:r>
          </w:p>
        </w:tc>
        <w:tc>
          <w:tcPr>
            <w:tcW w:type="dxa" w:w="4176"/>
          </w:tcPr>
          <w:p>
            <w:pPr>
              <w:spacing w:after="60" w:before="60"/>
            </w:pPr>
            <w:r/>
            <w:r>
              <w:rPr>
                <w:rFonts w:ascii="Arial" w:hAnsi="Arial" w:eastAsia="Arial"/>
                <w:b w:val="0"/>
                <w:sz w:val="18"/>
              </w:rPr>
              <w:t>Move to Tableau Cloud / Server to support many concurrent users</w:t>
            </w:r>
          </w:p>
        </w:tc>
      </w:tr>
      <w:tr>
        <w:trPr>
          <w:cantSplit/>
        </w:trPr>
        <w:tc>
          <w:tcPr>
            <w:tcW w:type="dxa" w:w="749"/>
          </w:tcPr>
          <w:p>
            <w:pPr>
              <w:spacing w:after="60" w:before="60"/>
            </w:pPr>
            <w:r/>
            <w:r>
              <w:rPr>
                <w:rFonts w:ascii="Arial" w:hAnsi="Arial" w:eastAsia="Arial"/>
                <w:b w:val="0"/>
                <w:sz w:val="18"/>
              </w:rPr>
              <w:t>2</w:t>
            </w:r>
          </w:p>
        </w:tc>
        <w:tc>
          <w:tcPr>
            <w:tcW w:type="dxa" w:w="1872"/>
          </w:tcPr>
          <w:p>
            <w:pPr>
              <w:spacing w:after="60" w:before="60"/>
            </w:pPr>
            <w:r/>
            <w:r>
              <w:rPr>
                <w:rFonts w:ascii="Arial" w:hAnsi="Arial" w:eastAsia="Arial"/>
                <w:b w:val="0"/>
                <w:sz w:val="18"/>
              </w:rPr>
              <w:t>Data Storage</w:t>
            </w:r>
          </w:p>
        </w:tc>
        <w:tc>
          <w:tcPr>
            <w:tcW w:type="dxa" w:w="3312"/>
          </w:tcPr>
          <w:p>
            <w:pPr>
              <w:spacing w:after="60" w:before="60"/>
            </w:pPr>
            <w:r/>
            <w:r>
              <w:rPr>
                <w:rFonts w:ascii="Arial" w:hAnsi="Arial" w:eastAsia="Arial"/>
                <w:b w:val="0"/>
                <w:sz w:val="18"/>
              </w:rPr>
              <w:t>Local file based dataset</w:t>
            </w:r>
          </w:p>
        </w:tc>
        <w:tc>
          <w:tcPr>
            <w:tcW w:type="dxa" w:w="4176"/>
          </w:tcPr>
          <w:p>
            <w:pPr>
              <w:spacing w:after="60" w:before="60"/>
            </w:pPr>
            <w:r/>
            <w:r>
              <w:rPr>
                <w:rFonts w:ascii="Arial" w:hAnsi="Arial" w:eastAsia="Arial"/>
                <w:b w:val="0"/>
                <w:sz w:val="18"/>
              </w:rPr>
              <w:t>Store data in a cloud database or warehouse with scheduled extract refresh</w:t>
            </w:r>
          </w:p>
        </w:tc>
      </w:tr>
      <w:tr>
        <w:trPr>
          <w:cantSplit/>
        </w:trPr>
        <w:tc>
          <w:tcPr>
            <w:tcW w:type="dxa" w:w="749"/>
          </w:tcPr>
          <w:p>
            <w:pPr>
              <w:spacing w:after="60" w:before="60"/>
            </w:pPr>
            <w:r/>
            <w:r>
              <w:rPr>
                <w:rFonts w:ascii="Arial" w:hAnsi="Arial" w:eastAsia="Arial"/>
                <w:b w:val="0"/>
                <w:sz w:val="18"/>
              </w:rPr>
              <w:t>3</w:t>
            </w:r>
          </w:p>
        </w:tc>
        <w:tc>
          <w:tcPr>
            <w:tcW w:type="dxa" w:w="1872"/>
          </w:tcPr>
          <w:p>
            <w:pPr>
              <w:spacing w:after="60" w:before="60"/>
            </w:pPr>
            <w:r/>
            <w:r>
              <w:rPr>
                <w:rFonts w:ascii="Arial" w:hAnsi="Arial" w:eastAsia="Arial"/>
                <w:b w:val="0"/>
                <w:sz w:val="18"/>
              </w:rPr>
              <w:t>Performance</w:t>
            </w:r>
          </w:p>
        </w:tc>
        <w:tc>
          <w:tcPr>
            <w:tcW w:type="dxa" w:w="3312"/>
          </w:tcPr>
          <w:p>
            <w:pPr>
              <w:spacing w:after="60" w:before="60"/>
            </w:pPr>
            <w:r/>
            <w:r>
              <w:rPr>
                <w:rFonts w:ascii="Arial" w:hAnsi="Arial" w:eastAsia="Arial"/>
                <w:b w:val="0"/>
                <w:sz w:val="18"/>
              </w:rPr>
              <w:t>Many individual marks in scatter plots</w:t>
            </w:r>
          </w:p>
        </w:tc>
        <w:tc>
          <w:tcPr>
            <w:tcW w:type="dxa" w:w="4176"/>
          </w:tcPr>
          <w:p>
            <w:pPr>
              <w:spacing w:after="60" w:before="60"/>
            </w:pPr>
            <w:r/>
            <w:r>
              <w:rPr>
                <w:rFonts w:ascii="Arial" w:hAnsi="Arial" w:eastAsia="Arial"/>
                <w:b w:val="0"/>
                <w:sz w:val="18"/>
              </w:rPr>
              <w:t>Aggregate data, use extracts and filters, and use performance recording</w:t>
            </w:r>
          </w:p>
        </w:tc>
      </w:tr>
      <w:tr>
        <w:trPr>
          <w:cantSplit/>
        </w:trPr>
        <w:tc>
          <w:tcPr>
            <w:tcW w:type="dxa" w:w="749"/>
          </w:tcPr>
          <w:p>
            <w:pPr>
              <w:spacing w:after="60" w:before="60"/>
            </w:pPr>
            <w:r/>
            <w:r>
              <w:rPr>
                <w:rFonts w:ascii="Arial" w:hAnsi="Arial" w:eastAsia="Arial"/>
                <w:b w:val="0"/>
                <w:sz w:val="18"/>
              </w:rPr>
              <w:t>4</w:t>
            </w:r>
          </w:p>
        </w:tc>
        <w:tc>
          <w:tcPr>
            <w:tcW w:type="dxa" w:w="1872"/>
          </w:tcPr>
          <w:p>
            <w:pPr>
              <w:spacing w:after="60" w:before="60"/>
            </w:pPr>
            <w:r/>
            <w:r>
              <w:rPr>
                <w:rFonts w:ascii="Arial" w:hAnsi="Arial" w:eastAsia="Arial"/>
                <w:b w:val="0"/>
                <w:sz w:val="18"/>
              </w:rPr>
              <w:t>Security</w:t>
            </w:r>
          </w:p>
        </w:tc>
        <w:tc>
          <w:tcPr>
            <w:tcW w:type="dxa" w:w="3312"/>
          </w:tcPr>
          <w:p>
            <w:pPr>
              <w:spacing w:after="60" w:before="60"/>
            </w:pPr>
            <w:r/>
            <w:r>
              <w:rPr>
                <w:rFonts w:ascii="Arial" w:hAnsi="Arial" w:eastAsia="Arial"/>
                <w:b w:val="0"/>
                <w:sz w:val="18"/>
              </w:rPr>
              <w:t>Public access with no authentication</w:t>
            </w:r>
          </w:p>
        </w:tc>
        <w:tc>
          <w:tcPr>
            <w:tcW w:type="dxa" w:w="4176"/>
          </w:tcPr>
          <w:p>
            <w:pPr>
              <w:spacing w:after="60" w:before="60"/>
            </w:pPr>
            <w:r/>
            <w:r>
              <w:rPr>
                <w:rFonts w:ascii="Arial" w:hAnsi="Arial" w:eastAsia="Arial"/>
                <w:b w:val="0"/>
                <w:sz w:val="18"/>
              </w:rPr>
              <w:t>Private projects, user permissions and row-level security</w:t>
            </w:r>
          </w:p>
        </w:tc>
      </w:tr>
    </w:tbl>
    <w:p>
      <w:pPr>
        <w:keepNext/>
        <w:spacing w:before="200" w:after="80"/>
      </w:pPr>
      <w:r>
        <w:rPr>
          <w:rFonts w:ascii="Arial" w:hAnsi="Arial" w:eastAsia="Arial"/>
          <w:b/>
          <w:sz w:val="22"/>
        </w:rPr>
        <w:t>Future Roadmap:</w:t>
      </w:r>
    </w:p>
    <w:tbl>
      <w:tblPr>
        <w:tblStyle w:val="TableGrid"/>
        <w:tblW w:type="auto" w:w="0"/>
        <w:jc w:val="center"/>
        <w:tblLayout w:type="fixed"/>
        <w:tblLook w:firstColumn="1" w:firstRow="1" w:lastColumn="0" w:lastRow="0" w:noHBand="0" w:noVBand="1" w:val="04A0"/>
      </w:tblPr>
      <w:tblGrid>
        <w:gridCol w:w="1152"/>
        <w:gridCol w:w="4320"/>
        <w:gridCol w:w="1728"/>
        <w:gridCol w:w="2736"/>
      </w:tblGrid>
      <w:tr>
        <w:trPr>
          <w:cantSplit/>
        </w:trPr>
        <w:tc>
          <w:tcPr>
            <w:tcW w:type="dxa" w:w="1152"/>
            <w:shd w:val="clear" w:fill="F2F2F2"/>
          </w:tcPr>
          <w:p>
            <w:pPr>
              <w:spacing w:after="60" w:before="60"/>
            </w:pPr>
            <w:r/>
            <w:r>
              <w:rPr>
                <w:rFonts w:ascii="Arial" w:hAnsi="Arial" w:eastAsia="Arial"/>
                <w:b/>
                <w:sz w:val="18"/>
              </w:rPr>
              <w:t>Phase</w:t>
            </w:r>
          </w:p>
        </w:tc>
        <w:tc>
          <w:tcPr>
            <w:tcW w:type="dxa" w:w="4320"/>
            <w:shd w:val="clear" w:fill="F2F2F2"/>
          </w:tcPr>
          <w:p>
            <w:pPr>
              <w:spacing w:after="60" w:before="60"/>
            </w:pPr>
            <w:r/>
            <w:r>
              <w:rPr>
                <w:rFonts w:ascii="Arial" w:hAnsi="Arial" w:eastAsia="Arial"/>
                <w:b/>
                <w:sz w:val="18"/>
              </w:rPr>
              <w:t>Planned Feature / Enhancement</w:t>
            </w:r>
          </w:p>
        </w:tc>
        <w:tc>
          <w:tcPr>
            <w:tcW w:type="dxa" w:w="1728"/>
            <w:shd w:val="clear" w:fill="F2F2F2"/>
          </w:tcPr>
          <w:p>
            <w:pPr>
              <w:spacing w:after="60" w:before="60"/>
            </w:pPr>
            <w:r/>
            <w:r>
              <w:rPr>
                <w:rFonts w:ascii="Arial" w:hAnsi="Arial" w:eastAsia="Arial"/>
                <w:b/>
                <w:sz w:val="18"/>
              </w:rPr>
              <w:t>Target Timeline</w:t>
            </w:r>
          </w:p>
        </w:tc>
        <w:tc>
          <w:tcPr>
            <w:tcW w:type="dxa" w:w="2736"/>
            <w:shd w:val="clear" w:fill="F2F2F2"/>
          </w:tcPr>
          <w:p>
            <w:pPr>
              <w:spacing w:after="60" w:before="60"/>
            </w:pPr>
            <w:r/>
            <w:r>
              <w:rPr>
                <w:rFonts w:ascii="Arial" w:hAnsi="Arial" w:eastAsia="Arial"/>
                <w:b/>
                <w:sz w:val="18"/>
              </w:rPr>
              <w:t>Expected Impact</w:t>
            </w:r>
          </w:p>
        </w:tc>
      </w:tr>
      <w:tr>
        <w:trPr>
          <w:cantSplit/>
        </w:trPr>
        <w:tc>
          <w:tcPr>
            <w:tcW w:type="dxa" w:w="1152"/>
          </w:tcPr>
          <w:p>
            <w:pPr>
              <w:spacing w:after="60" w:before="60"/>
            </w:pPr>
            <w:r/>
            <w:r>
              <w:rPr>
                <w:rFonts w:ascii="Arial" w:hAnsi="Arial" w:eastAsia="Arial"/>
                <w:b w:val="0"/>
                <w:sz w:val="18"/>
              </w:rPr>
              <w:t>Phase 2</w:t>
            </w:r>
          </w:p>
        </w:tc>
        <w:tc>
          <w:tcPr>
            <w:tcW w:type="dxa" w:w="4320"/>
          </w:tcPr>
          <w:p>
            <w:pPr>
              <w:spacing w:after="60" w:before="60"/>
            </w:pPr>
            <w:r/>
            <w:r>
              <w:rPr>
                <w:rFonts w:ascii="Arial" w:hAnsi="Arial" w:eastAsia="Arial"/>
                <w:b w:val="0"/>
                <w:sz w:val="18"/>
              </w:rPr>
              <w:t>Add time-based sales data, trend analysis and forecasting</w:t>
            </w:r>
          </w:p>
        </w:tc>
        <w:tc>
          <w:tcPr>
            <w:tcW w:type="dxa" w:w="1728"/>
          </w:tcPr>
          <w:p>
            <w:pPr>
              <w:spacing w:after="60" w:before="60"/>
            </w:pPr>
            <w:r/>
            <w:r>
              <w:rPr>
                <w:rFonts w:ascii="Arial" w:hAnsi="Arial" w:eastAsia="Arial"/>
                <w:b w:val="0"/>
                <w:sz w:val="18"/>
              </w:rPr>
              <w:t>1 to 2 months</w:t>
            </w:r>
          </w:p>
        </w:tc>
        <w:tc>
          <w:tcPr>
            <w:tcW w:type="dxa" w:w="2736"/>
          </w:tcPr>
          <w:p>
            <w:pPr>
              <w:spacing w:after="60" w:before="60"/>
            </w:pPr>
            <w:r/>
            <w:r>
              <w:rPr>
                <w:rFonts w:ascii="Arial" w:hAnsi="Arial" w:eastAsia="Arial"/>
                <w:b w:val="0"/>
                <w:sz w:val="18"/>
              </w:rPr>
              <w:t>Shows growth and seasonality</w:t>
            </w:r>
          </w:p>
        </w:tc>
      </w:tr>
      <w:tr>
        <w:trPr>
          <w:cantSplit/>
        </w:trPr>
        <w:tc>
          <w:tcPr>
            <w:tcW w:type="dxa" w:w="1152"/>
          </w:tcPr>
          <w:p>
            <w:pPr>
              <w:spacing w:after="60" w:before="60"/>
            </w:pPr>
            <w:r/>
            <w:r>
              <w:rPr>
                <w:rFonts w:ascii="Arial" w:hAnsi="Arial" w:eastAsia="Arial"/>
                <w:b w:val="0"/>
                <w:sz w:val="18"/>
              </w:rPr>
              <w:t>Phase 3</w:t>
            </w:r>
          </w:p>
        </w:tc>
        <w:tc>
          <w:tcPr>
            <w:tcW w:type="dxa" w:w="4320"/>
          </w:tcPr>
          <w:p>
            <w:pPr>
              <w:spacing w:after="60" w:before="60"/>
            </w:pPr>
            <w:r/>
            <w:r>
              <w:rPr>
                <w:rFonts w:ascii="Arial" w:hAnsi="Arial" w:eastAsia="Arial"/>
                <w:b w:val="0"/>
                <w:sz w:val="18"/>
              </w:rPr>
              <w:t>Add pricing, charging infrastructure and live data connection</w:t>
            </w:r>
          </w:p>
        </w:tc>
        <w:tc>
          <w:tcPr>
            <w:tcW w:type="dxa" w:w="1728"/>
          </w:tcPr>
          <w:p>
            <w:pPr>
              <w:spacing w:after="60" w:before="60"/>
            </w:pPr>
            <w:r/>
            <w:r>
              <w:rPr>
                <w:rFonts w:ascii="Arial" w:hAnsi="Arial" w:eastAsia="Arial"/>
                <w:b w:val="0"/>
                <w:sz w:val="18"/>
              </w:rPr>
              <w:t>3 to 4 months</w:t>
            </w:r>
          </w:p>
        </w:tc>
        <w:tc>
          <w:tcPr>
            <w:tcW w:type="dxa" w:w="2736"/>
          </w:tcPr>
          <w:p>
            <w:pPr>
              <w:spacing w:after="60" w:before="60"/>
            </w:pPr>
            <w:r/>
            <w:r>
              <w:rPr>
                <w:rFonts w:ascii="Arial" w:hAnsi="Arial" w:eastAsia="Arial"/>
                <w:b w:val="0"/>
                <w:sz w:val="18"/>
              </w:rPr>
              <w:t>Richer analysis with up-to-date data</w:t>
            </w:r>
          </w:p>
        </w:tc>
      </w:tr>
      <w:tr>
        <w:trPr>
          <w:cantSplit/>
        </w:trPr>
        <w:tc>
          <w:tcPr>
            <w:tcW w:type="dxa" w:w="1152"/>
          </w:tcPr>
          <w:p>
            <w:pPr>
              <w:spacing w:after="60" w:before="60"/>
            </w:pPr>
            <w:r/>
            <w:r>
              <w:rPr>
                <w:rFonts w:ascii="Arial" w:hAnsi="Arial" w:eastAsia="Arial"/>
                <w:b w:val="0"/>
                <w:sz w:val="18"/>
              </w:rPr>
              <w:t>Phase 4</w:t>
            </w:r>
          </w:p>
        </w:tc>
        <w:tc>
          <w:tcPr>
            <w:tcW w:type="dxa" w:w="4320"/>
          </w:tcPr>
          <w:p>
            <w:pPr>
              <w:spacing w:after="60" w:before="60"/>
            </w:pPr>
            <w:r/>
            <w:r>
              <w:rPr>
                <w:rFonts w:ascii="Arial" w:hAnsi="Arial" w:eastAsia="Arial"/>
                <w:b w:val="0"/>
                <w:sz w:val="18"/>
              </w:rPr>
              <w:t>Deploy on Tableau Cloud / Server with mobile layouts and access control</w:t>
            </w:r>
          </w:p>
        </w:tc>
        <w:tc>
          <w:tcPr>
            <w:tcW w:type="dxa" w:w="1728"/>
          </w:tcPr>
          <w:p>
            <w:pPr>
              <w:spacing w:after="60" w:before="60"/>
            </w:pPr>
            <w:r/>
            <w:r>
              <w:rPr>
                <w:rFonts w:ascii="Arial" w:hAnsi="Arial" w:eastAsia="Arial"/>
                <w:b w:val="0"/>
                <w:sz w:val="18"/>
              </w:rPr>
              <w:t>6 months</w:t>
            </w:r>
          </w:p>
        </w:tc>
        <w:tc>
          <w:tcPr>
            <w:tcW w:type="dxa" w:w="2736"/>
          </w:tcPr>
          <w:p>
            <w:pPr>
              <w:spacing w:after="60" w:before="60"/>
            </w:pPr>
            <w:r/>
            <w:r>
              <w:rPr>
                <w:rFonts w:ascii="Arial" w:hAnsi="Arial" w:eastAsia="Arial"/>
                <w:b w:val="0"/>
                <w:sz w:val="18"/>
              </w:rPr>
              <w:t>Wider, secure access for more users</w:t>
            </w:r>
          </w:p>
        </w:tc>
      </w:tr>
    </w:tbl>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