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7D37F1" w14:textId="67523EAE" w:rsidR="0086162D" w:rsidRDefault="00081635" w:rsidP="00081635">
      <w:pPr>
        <w:pStyle w:val="4"/>
      </w:pPr>
      <w:r>
        <w:rPr>
          <w:rFonts w:hint="eastAsia"/>
        </w:rPr>
        <w:t>財務分析</w:t>
      </w:r>
    </w:p>
    <w:p w14:paraId="5C65811B" w14:textId="618F494B" w:rsidR="00081635" w:rsidRDefault="000A5F36" w:rsidP="0086556C">
      <w:pPr>
        <w:pStyle w:val="1"/>
      </w:pPr>
      <w:r>
        <w:rPr>
          <w:rFonts w:hint="eastAsia"/>
        </w:rPr>
        <w:t>収益と費用の認識と測定</w:t>
      </w:r>
    </w:p>
    <w:p w14:paraId="4A54A877" w14:textId="03A0D756" w:rsidR="0086556C" w:rsidRDefault="00312E5D" w:rsidP="00081635">
      <w:pPr>
        <w:pStyle w:val="2"/>
      </w:pPr>
      <w:r>
        <w:rPr>
          <w:rFonts w:hint="eastAsia"/>
        </w:rPr>
        <w:t>収益の認識と測定</w:t>
      </w:r>
    </w:p>
    <w:p w14:paraId="6FE556B8" w14:textId="6162FD02" w:rsidR="000C6A8B" w:rsidRDefault="00DA6407" w:rsidP="00DA6407">
      <w:pPr>
        <w:pStyle w:val="3"/>
      </w:pPr>
      <w:r>
        <w:rPr>
          <w:rFonts w:hint="eastAsia"/>
        </w:rPr>
        <w:t>サマリー</w:t>
      </w:r>
    </w:p>
    <w:tbl>
      <w:tblPr>
        <w:tblStyle w:val="ac"/>
        <w:tblW w:w="0" w:type="auto"/>
        <w:tblLook w:val="04A0" w:firstRow="1" w:lastRow="0" w:firstColumn="1" w:lastColumn="0" w:noHBand="0" w:noVBand="1"/>
      </w:tblPr>
      <w:tblGrid>
        <w:gridCol w:w="625"/>
        <w:gridCol w:w="9841"/>
      </w:tblGrid>
      <w:tr w:rsidR="0041451B" w14:paraId="444BF44E" w14:textId="77777777" w:rsidTr="00171B45">
        <w:tc>
          <w:tcPr>
            <w:tcW w:w="511" w:type="dxa"/>
            <w:tcBorders>
              <w:top w:val="nil"/>
              <w:left w:val="nil"/>
              <w:bottom w:val="nil"/>
              <w:right w:val="nil"/>
            </w:tcBorders>
          </w:tcPr>
          <w:p w14:paraId="0275CD04" w14:textId="77777777" w:rsidR="0041451B" w:rsidRDefault="0041451B" w:rsidP="004A7A3D">
            <w:pPr>
              <w:jc w:val="center"/>
              <w:rPr>
                <w:iCs/>
              </w:rPr>
            </w:pPr>
            <w:r>
              <w:rPr>
                <w:rFonts w:hint="eastAsia"/>
                <w:iCs/>
              </w:rPr>
              <w:t>(</w:t>
            </w:r>
            <w:r>
              <w:rPr>
                <w:iCs/>
              </w:rPr>
              <w:t>1)</w:t>
            </w:r>
          </w:p>
        </w:tc>
        <w:tc>
          <w:tcPr>
            <w:tcW w:w="9955" w:type="dxa"/>
            <w:tcBorders>
              <w:top w:val="nil"/>
              <w:left w:val="nil"/>
              <w:bottom w:val="nil"/>
              <w:right w:val="nil"/>
            </w:tcBorders>
          </w:tcPr>
          <w:p w14:paraId="7C46D450" w14:textId="64C9D983" w:rsidR="0041451B" w:rsidRDefault="0041451B" w:rsidP="00171B45">
            <w:pPr>
              <w:rPr>
                <w:rFonts w:hint="eastAsia"/>
                <w:iCs/>
              </w:rPr>
            </w:pPr>
            <w:r w:rsidRPr="002C2314">
              <w:rPr>
                <w:rFonts w:hint="eastAsia"/>
                <w:b/>
                <w:bCs/>
                <w:iCs/>
                <w:color w:val="FF0000"/>
              </w:rPr>
              <w:t>デリバティブ取引により生じる正味の債権及び債務</w:t>
            </w:r>
            <w:r>
              <w:rPr>
                <w:rFonts w:hint="eastAsia"/>
                <w:iCs/>
              </w:rPr>
              <w:t>は，</w:t>
            </w:r>
            <w:r w:rsidRPr="002C2314">
              <w:rPr>
                <w:rFonts w:hint="eastAsia"/>
                <w:b/>
                <w:bCs/>
                <w:iCs/>
                <w:color w:val="FF0000"/>
              </w:rPr>
              <w:t>時価を</w:t>
            </w:r>
            <w:r>
              <w:rPr>
                <w:rFonts w:hint="eastAsia"/>
                <w:iCs/>
              </w:rPr>
              <w:t>もって</w:t>
            </w:r>
            <w:r w:rsidRPr="002C2314">
              <w:rPr>
                <w:rFonts w:hint="eastAsia"/>
                <w:b/>
                <w:bCs/>
                <w:iCs/>
                <w:color w:val="FF0000"/>
              </w:rPr>
              <w:t>貸借対照表価額</w:t>
            </w:r>
            <w:r>
              <w:rPr>
                <w:rFonts w:hint="eastAsia"/>
                <w:iCs/>
              </w:rPr>
              <w:t>と</w:t>
            </w:r>
            <w:r w:rsidR="002C2314">
              <w:rPr>
                <w:rFonts w:hint="eastAsia"/>
                <w:iCs/>
              </w:rPr>
              <w:t>される．</w:t>
            </w:r>
          </w:p>
        </w:tc>
      </w:tr>
      <w:tr w:rsidR="0041451B" w14:paraId="39D7952D" w14:textId="77777777" w:rsidTr="00171B45">
        <w:tc>
          <w:tcPr>
            <w:tcW w:w="511" w:type="dxa"/>
            <w:tcBorders>
              <w:top w:val="nil"/>
              <w:left w:val="nil"/>
              <w:bottom w:val="nil"/>
              <w:right w:val="nil"/>
            </w:tcBorders>
          </w:tcPr>
          <w:p w14:paraId="30E82CD4" w14:textId="77777777" w:rsidR="0041451B" w:rsidRDefault="0041451B" w:rsidP="004A7A3D">
            <w:pPr>
              <w:jc w:val="center"/>
              <w:rPr>
                <w:iCs/>
              </w:rPr>
            </w:pPr>
            <w:r>
              <w:rPr>
                <w:rFonts w:hint="eastAsia"/>
                <w:iCs/>
              </w:rPr>
              <w:t>(</w:t>
            </w:r>
            <w:r>
              <w:rPr>
                <w:iCs/>
              </w:rPr>
              <w:t>2)</w:t>
            </w:r>
          </w:p>
        </w:tc>
        <w:tc>
          <w:tcPr>
            <w:tcW w:w="9955" w:type="dxa"/>
            <w:tcBorders>
              <w:top w:val="nil"/>
              <w:left w:val="nil"/>
              <w:bottom w:val="nil"/>
              <w:right w:val="nil"/>
            </w:tcBorders>
          </w:tcPr>
          <w:p w14:paraId="560C8859" w14:textId="6E596562" w:rsidR="0041451B" w:rsidRDefault="002C2314" w:rsidP="00171B45">
            <w:pPr>
              <w:rPr>
                <w:rFonts w:hint="eastAsia"/>
                <w:iCs/>
              </w:rPr>
            </w:pPr>
            <w:r>
              <w:rPr>
                <w:rFonts w:hint="eastAsia"/>
                <w:iCs/>
              </w:rPr>
              <w:t>デリバティブ取引により生じる正味の債権及び債務の</w:t>
            </w:r>
            <w:r w:rsidRPr="00420D42">
              <w:rPr>
                <w:rFonts w:hint="eastAsia"/>
                <w:b/>
                <w:bCs/>
                <w:iCs/>
                <w:color w:val="FF0000"/>
              </w:rPr>
              <w:t>時価の変動</w:t>
            </w:r>
            <w:r>
              <w:rPr>
                <w:rFonts w:hint="eastAsia"/>
                <w:iCs/>
              </w:rPr>
              <w:t>は，企業にとって</w:t>
            </w:r>
            <w:r w:rsidRPr="00420D42">
              <w:rPr>
                <w:rFonts w:hint="eastAsia"/>
                <w:b/>
                <w:bCs/>
                <w:iCs/>
                <w:color w:val="FF0000"/>
              </w:rPr>
              <w:t>財務活動の成果</w:t>
            </w:r>
            <w:r>
              <w:rPr>
                <w:rFonts w:hint="eastAsia"/>
                <w:iCs/>
              </w:rPr>
              <w:t>であると考えられるため，</w:t>
            </w:r>
            <w:r w:rsidRPr="00420D42">
              <w:rPr>
                <w:rFonts w:hint="eastAsia"/>
                <w:b/>
                <w:bCs/>
                <w:iCs/>
                <w:color w:val="FF0000"/>
              </w:rPr>
              <w:t>評価差額</w:t>
            </w:r>
            <w:r w:rsidR="00420D42">
              <w:rPr>
                <w:rFonts w:hint="eastAsia"/>
                <w:iCs/>
              </w:rPr>
              <w:t>は原則として（ヘッジ取引に係るものを除き）当期の</w:t>
            </w:r>
            <w:r w:rsidR="00420D42" w:rsidRPr="000D4319">
              <w:rPr>
                <w:rFonts w:hint="eastAsia"/>
                <w:b/>
                <w:bCs/>
                <w:iCs/>
                <w:color w:val="FF0000"/>
              </w:rPr>
              <w:t>損益</w:t>
            </w:r>
            <w:r w:rsidR="00420D42">
              <w:rPr>
                <w:rFonts w:hint="eastAsia"/>
                <w:iCs/>
              </w:rPr>
              <w:t>として処理される．</w:t>
            </w:r>
          </w:p>
        </w:tc>
      </w:tr>
      <w:tr w:rsidR="0041451B" w14:paraId="5E9D0C59" w14:textId="77777777" w:rsidTr="00171B45">
        <w:tc>
          <w:tcPr>
            <w:tcW w:w="511" w:type="dxa"/>
            <w:tcBorders>
              <w:top w:val="nil"/>
              <w:left w:val="nil"/>
              <w:bottom w:val="nil"/>
              <w:right w:val="nil"/>
            </w:tcBorders>
          </w:tcPr>
          <w:p w14:paraId="1E82A6D5" w14:textId="77777777" w:rsidR="0041451B" w:rsidRDefault="0041451B" w:rsidP="004A7A3D">
            <w:pPr>
              <w:jc w:val="center"/>
              <w:rPr>
                <w:iCs/>
              </w:rPr>
            </w:pPr>
            <w:r>
              <w:rPr>
                <w:rFonts w:hint="eastAsia"/>
                <w:iCs/>
              </w:rPr>
              <w:t>(</w:t>
            </w:r>
            <w:r>
              <w:rPr>
                <w:iCs/>
              </w:rPr>
              <w:t>3)</w:t>
            </w:r>
          </w:p>
        </w:tc>
        <w:tc>
          <w:tcPr>
            <w:tcW w:w="9955" w:type="dxa"/>
            <w:tcBorders>
              <w:top w:val="nil"/>
              <w:left w:val="nil"/>
              <w:bottom w:val="nil"/>
              <w:right w:val="nil"/>
            </w:tcBorders>
          </w:tcPr>
          <w:p w14:paraId="1546F7CC" w14:textId="58CA34FE" w:rsidR="0041451B" w:rsidRDefault="000D4319" w:rsidP="00171B45">
            <w:pPr>
              <w:rPr>
                <w:rFonts w:hint="eastAsia"/>
                <w:iCs/>
              </w:rPr>
            </w:pPr>
            <w:r>
              <w:rPr>
                <w:rFonts w:hint="eastAsia"/>
                <w:iCs/>
              </w:rPr>
              <w:t>デリバティブ取引により生じる</w:t>
            </w:r>
            <w:r w:rsidR="006C3B6F">
              <w:rPr>
                <w:rFonts w:hint="eastAsia"/>
                <w:iCs/>
              </w:rPr>
              <w:t>正味の債権及び債務は，1年内に現金化，支払または返済されるため</w:t>
            </w:r>
            <w:r w:rsidR="00CC045B">
              <w:rPr>
                <w:rFonts w:hint="eastAsia"/>
                <w:iCs/>
              </w:rPr>
              <w:t>，原則として貸借対照表の</w:t>
            </w:r>
            <w:r w:rsidR="00CC045B" w:rsidRPr="00CC045B">
              <w:rPr>
                <w:rFonts w:hint="eastAsia"/>
                <w:b/>
                <w:bCs/>
                <w:iCs/>
                <w:color w:val="FF0000"/>
              </w:rPr>
              <w:t>流動資産</w:t>
            </w:r>
            <w:r w:rsidR="00CC045B">
              <w:rPr>
                <w:rFonts w:hint="eastAsia"/>
                <w:iCs/>
              </w:rPr>
              <w:t>または</w:t>
            </w:r>
            <w:r w:rsidR="00CC045B" w:rsidRPr="00CC045B">
              <w:rPr>
                <w:rFonts w:hint="eastAsia"/>
                <w:b/>
                <w:bCs/>
                <w:iCs/>
                <w:color w:val="FF0000"/>
              </w:rPr>
              <w:t>流動負債</w:t>
            </w:r>
            <w:r w:rsidR="00CC045B">
              <w:rPr>
                <w:rFonts w:hint="eastAsia"/>
                <w:iCs/>
              </w:rPr>
              <w:t>に表示される．</w:t>
            </w:r>
          </w:p>
        </w:tc>
      </w:tr>
      <w:tr w:rsidR="0041451B" w14:paraId="61229E5D" w14:textId="77777777" w:rsidTr="00171B45">
        <w:tc>
          <w:tcPr>
            <w:tcW w:w="511" w:type="dxa"/>
            <w:tcBorders>
              <w:top w:val="nil"/>
              <w:left w:val="nil"/>
              <w:bottom w:val="nil"/>
              <w:right w:val="nil"/>
            </w:tcBorders>
          </w:tcPr>
          <w:p w14:paraId="49EF97DC" w14:textId="77777777" w:rsidR="0041451B" w:rsidRDefault="0041451B" w:rsidP="004A7A3D">
            <w:pPr>
              <w:jc w:val="center"/>
              <w:rPr>
                <w:iCs/>
              </w:rPr>
            </w:pPr>
            <w:r>
              <w:rPr>
                <w:rFonts w:hint="eastAsia"/>
                <w:iCs/>
              </w:rPr>
              <w:t>(</w:t>
            </w:r>
            <w:r>
              <w:rPr>
                <w:iCs/>
              </w:rPr>
              <w:t>4)</w:t>
            </w:r>
          </w:p>
        </w:tc>
        <w:tc>
          <w:tcPr>
            <w:tcW w:w="9955" w:type="dxa"/>
            <w:tcBorders>
              <w:top w:val="nil"/>
              <w:left w:val="nil"/>
              <w:bottom w:val="nil"/>
              <w:right w:val="nil"/>
            </w:tcBorders>
          </w:tcPr>
          <w:p w14:paraId="07A1B17C" w14:textId="5BE35484" w:rsidR="00DA0F3D" w:rsidRDefault="001E7060" w:rsidP="00171B45">
            <w:pPr>
              <w:rPr>
                <w:rFonts w:hint="eastAsia"/>
                <w:iCs/>
              </w:rPr>
            </w:pPr>
            <w:r>
              <w:rPr>
                <w:rFonts w:hint="eastAsia"/>
                <w:iCs/>
              </w:rPr>
              <w:t>デリバティブ取引の会計処理は，会計方針に関する事項の重要な資産の評価基準及び</w:t>
            </w:r>
            <w:r w:rsidR="00D67A5F">
              <w:rPr>
                <w:rFonts w:hint="eastAsia"/>
                <w:iCs/>
              </w:rPr>
              <w:t>評価方法が開示される．また，デリバティブ取引の時価は，金融商品に関する時価の開示において</w:t>
            </w:r>
            <w:r w:rsidR="00DA0F3D">
              <w:rPr>
                <w:rFonts w:hint="eastAsia"/>
                <w:iCs/>
              </w:rPr>
              <w:t>，他の金融商品とともに開示される．</w:t>
            </w:r>
          </w:p>
        </w:tc>
      </w:tr>
      <w:tr w:rsidR="00CC045B" w14:paraId="468A9A57" w14:textId="77777777" w:rsidTr="00171B45">
        <w:tc>
          <w:tcPr>
            <w:tcW w:w="511" w:type="dxa"/>
            <w:tcBorders>
              <w:top w:val="nil"/>
              <w:left w:val="nil"/>
              <w:bottom w:val="nil"/>
              <w:right w:val="nil"/>
            </w:tcBorders>
          </w:tcPr>
          <w:p w14:paraId="5127A8CC" w14:textId="694E1D65" w:rsidR="00CC045B" w:rsidRDefault="004A7A3D" w:rsidP="004A7A3D">
            <w:pPr>
              <w:jc w:val="center"/>
              <w:rPr>
                <w:rFonts w:hint="eastAsia"/>
                <w:iCs/>
              </w:rPr>
            </w:pPr>
            <w:r>
              <w:rPr>
                <w:rFonts w:hint="eastAsia"/>
                <w:iCs/>
              </w:rPr>
              <w:t>(</w:t>
            </w:r>
            <w:r>
              <w:rPr>
                <w:iCs/>
              </w:rPr>
              <w:t>5)</w:t>
            </w:r>
          </w:p>
        </w:tc>
        <w:tc>
          <w:tcPr>
            <w:tcW w:w="9955" w:type="dxa"/>
            <w:tcBorders>
              <w:top w:val="nil"/>
              <w:left w:val="nil"/>
              <w:bottom w:val="nil"/>
              <w:right w:val="nil"/>
            </w:tcBorders>
          </w:tcPr>
          <w:p w14:paraId="79838B79" w14:textId="4CCC22B7" w:rsidR="001B4E64" w:rsidRDefault="00DA0F3D" w:rsidP="00171B45">
            <w:pPr>
              <w:rPr>
                <w:rFonts w:hint="eastAsia"/>
                <w:iCs/>
              </w:rPr>
            </w:pPr>
            <w:r>
              <w:rPr>
                <w:rFonts w:hint="eastAsia"/>
                <w:iCs/>
              </w:rPr>
              <w:t>デリバティブ取引のうちヘッジ会計が適用されない</w:t>
            </w:r>
            <w:r w:rsidR="001B4E64">
              <w:rPr>
                <w:rFonts w:hint="eastAsia"/>
                <w:iCs/>
              </w:rPr>
              <w:t>ものについては，取引対象物の種類ごとに，契約額・時価・評価損益が開示される．</w:t>
            </w:r>
          </w:p>
        </w:tc>
      </w:tr>
      <w:tr w:rsidR="00CC045B" w14:paraId="1974E6F4" w14:textId="77777777" w:rsidTr="00171B45">
        <w:tc>
          <w:tcPr>
            <w:tcW w:w="511" w:type="dxa"/>
            <w:tcBorders>
              <w:top w:val="nil"/>
              <w:left w:val="nil"/>
              <w:bottom w:val="nil"/>
              <w:right w:val="nil"/>
            </w:tcBorders>
          </w:tcPr>
          <w:p w14:paraId="4E4FDF56" w14:textId="55493B32" w:rsidR="00CC045B" w:rsidRDefault="004A7A3D" w:rsidP="004A7A3D">
            <w:pPr>
              <w:jc w:val="center"/>
              <w:rPr>
                <w:rFonts w:hint="eastAsia"/>
                <w:iCs/>
              </w:rPr>
            </w:pPr>
            <w:r>
              <w:rPr>
                <w:rFonts w:hint="eastAsia"/>
                <w:iCs/>
              </w:rPr>
              <w:t>(</w:t>
            </w:r>
            <w:r>
              <w:rPr>
                <w:iCs/>
              </w:rPr>
              <w:t>6)</w:t>
            </w:r>
          </w:p>
        </w:tc>
        <w:tc>
          <w:tcPr>
            <w:tcW w:w="9955" w:type="dxa"/>
            <w:tcBorders>
              <w:top w:val="nil"/>
              <w:left w:val="nil"/>
              <w:bottom w:val="nil"/>
              <w:right w:val="nil"/>
            </w:tcBorders>
          </w:tcPr>
          <w:p w14:paraId="6937B703" w14:textId="0E9F37BF" w:rsidR="00CC045B" w:rsidRDefault="000D502F" w:rsidP="00171B45">
            <w:pPr>
              <w:rPr>
                <w:rFonts w:hint="eastAsia"/>
                <w:iCs/>
              </w:rPr>
            </w:pPr>
            <w:r>
              <w:rPr>
                <w:rFonts w:hint="eastAsia"/>
                <w:iCs/>
              </w:rPr>
              <w:t>リスクをヘッジする目的で利用されるデリバティブ取引を</w:t>
            </w:r>
            <w:r w:rsidRPr="00D84AE5">
              <w:rPr>
                <w:rFonts w:hint="eastAsia"/>
                <w:b/>
                <w:bCs/>
                <w:iCs/>
                <w:color w:val="FF0000"/>
              </w:rPr>
              <w:t>ヘッジ取引</w:t>
            </w:r>
            <w:r>
              <w:rPr>
                <w:rFonts w:hint="eastAsia"/>
                <w:iCs/>
              </w:rPr>
              <w:t>と言い，一定の要件を満たした場合に</w:t>
            </w:r>
            <w:r w:rsidR="00445A42">
              <w:rPr>
                <w:rFonts w:hint="eastAsia"/>
                <w:iCs/>
              </w:rPr>
              <w:t>，</w:t>
            </w:r>
            <w:r w:rsidR="00445A42" w:rsidRPr="00D84AE5">
              <w:rPr>
                <w:rFonts w:hint="eastAsia"/>
                <w:b/>
                <w:bCs/>
                <w:iCs/>
                <w:color w:val="FF0000"/>
              </w:rPr>
              <w:t>ヘッジ会計</w:t>
            </w:r>
            <w:r w:rsidR="00445A42">
              <w:rPr>
                <w:rFonts w:hint="eastAsia"/>
                <w:iCs/>
              </w:rPr>
              <w:t>を適用することができる．</w:t>
            </w:r>
          </w:p>
        </w:tc>
      </w:tr>
      <w:tr w:rsidR="00CC045B" w14:paraId="583AC731" w14:textId="77777777" w:rsidTr="00171B45">
        <w:tc>
          <w:tcPr>
            <w:tcW w:w="511" w:type="dxa"/>
            <w:tcBorders>
              <w:top w:val="nil"/>
              <w:left w:val="nil"/>
              <w:bottom w:val="nil"/>
              <w:right w:val="nil"/>
            </w:tcBorders>
          </w:tcPr>
          <w:p w14:paraId="34CCD198" w14:textId="6E78B4C8" w:rsidR="00CC045B" w:rsidRDefault="004A7A3D" w:rsidP="004A7A3D">
            <w:pPr>
              <w:jc w:val="center"/>
              <w:rPr>
                <w:rFonts w:hint="eastAsia"/>
                <w:iCs/>
              </w:rPr>
            </w:pPr>
            <w:r>
              <w:rPr>
                <w:rFonts w:hint="eastAsia"/>
                <w:iCs/>
              </w:rPr>
              <w:t>(</w:t>
            </w:r>
            <w:r>
              <w:rPr>
                <w:iCs/>
              </w:rPr>
              <w:t>7)</w:t>
            </w:r>
          </w:p>
        </w:tc>
        <w:tc>
          <w:tcPr>
            <w:tcW w:w="9955" w:type="dxa"/>
            <w:tcBorders>
              <w:top w:val="nil"/>
              <w:left w:val="nil"/>
              <w:bottom w:val="nil"/>
              <w:right w:val="nil"/>
            </w:tcBorders>
          </w:tcPr>
          <w:p w14:paraId="30917B7A" w14:textId="3B5B8F1E" w:rsidR="00CC045B" w:rsidRDefault="00445A42" w:rsidP="00171B45">
            <w:pPr>
              <w:rPr>
                <w:iCs/>
              </w:rPr>
            </w:pPr>
            <w:r>
              <w:rPr>
                <w:rFonts w:hint="eastAsia"/>
                <w:iCs/>
              </w:rPr>
              <w:t>ヘッジ取引は，</w:t>
            </w:r>
            <w:r w:rsidRPr="00F65A8C">
              <w:rPr>
                <w:rFonts w:hint="eastAsia"/>
                <w:b/>
                <w:bCs/>
                <w:iCs/>
                <w:color w:val="FF0000"/>
              </w:rPr>
              <w:t>ヘッジ対象</w:t>
            </w:r>
            <w:r>
              <w:rPr>
                <w:rFonts w:hint="eastAsia"/>
                <w:iCs/>
              </w:rPr>
              <w:t>がさらされているリスクに応じて，</w:t>
            </w:r>
            <w:r w:rsidRPr="00F65A8C">
              <w:rPr>
                <w:rFonts w:hint="eastAsia"/>
                <w:b/>
                <w:bCs/>
                <w:iCs/>
                <w:color w:val="FF0000"/>
              </w:rPr>
              <w:t>相場変動を相殺するヘッジ取引</w:t>
            </w:r>
            <w:r>
              <w:rPr>
                <w:rFonts w:hint="eastAsia"/>
                <w:iCs/>
              </w:rPr>
              <w:t>と</w:t>
            </w:r>
            <w:r w:rsidRPr="00F65A8C">
              <w:rPr>
                <w:rFonts w:hint="eastAsia"/>
                <w:b/>
                <w:bCs/>
                <w:iCs/>
                <w:color w:val="FF0000"/>
              </w:rPr>
              <w:t>キャッシュフローを</w:t>
            </w:r>
            <w:r w:rsidR="004A7A3D" w:rsidRPr="00F65A8C">
              <w:rPr>
                <w:rFonts w:hint="eastAsia"/>
                <w:b/>
                <w:bCs/>
                <w:iCs/>
                <w:color w:val="FF0000"/>
              </w:rPr>
              <w:t>固定するヘッジ取引</w:t>
            </w:r>
            <w:r w:rsidR="004A7A3D">
              <w:rPr>
                <w:rFonts w:hint="eastAsia"/>
                <w:iCs/>
              </w:rPr>
              <w:t>に分けられる．</w:t>
            </w:r>
          </w:p>
        </w:tc>
      </w:tr>
      <w:tr w:rsidR="00CC045B" w14:paraId="1CE0AE6F" w14:textId="77777777" w:rsidTr="00171B45">
        <w:tc>
          <w:tcPr>
            <w:tcW w:w="511" w:type="dxa"/>
            <w:tcBorders>
              <w:top w:val="nil"/>
              <w:left w:val="nil"/>
              <w:bottom w:val="nil"/>
              <w:right w:val="nil"/>
            </w:tcBorders>
          </w:tcPr>
          <w:p w14:paraId="61F894C4" w14:textId="1621A3C7" w:rsidR="00CC045B" w:rsidRDefault="004A7A3D" w:rsidP="004A7A3D">
            <w:pPr>
              <w:jc w:val="center"/>
              <w:rPr>
                <w:rFonts w:hint="eastAsia"/>
                <w:iCs/>
              </w:rPr>
            </w:pPr>
            <w:r>
              <w:rPr>
                <w:rFonts w:hint="eastAsia"/>
                <w:iCs/>
              </w:rPr>
              <w:t>(</w:t>
            </w:r>
            <w:r>
              <w:rPr>
                <w:iCs/>
              </w:rPr>
              <w:t>8)</w:t>
            </w:r>
          </w:p>
        </w:tc>
        <w:tc>
          <w:tcPr>
            <w:tcW w:w="9955" w:type="dxa"/>
            <w:tcBorders>
              <w:top w:val="nil"/>
              <w:left w:val="nil"/>
              <w:bottom w:val="nil"/>
              <w:right w:val="nil"/>
            </w:tcBorders>
          </w:tcPr>
          <w:p w14:paraId="1870079C" w14:textId="66E40AAB" w:rsidR="00CC045B" w:rsidRDefault="008E441E" w:rsidP="00171B45">
            <w:pPr>
              <w:rPr>
                <w:rFonts w:hint="eastAsia"/>
                <w:iCs/>
              </w:rPr>
            </w:pPr>
            <w:r w:rsidRPr="00F65A8C">
              <w:rPr>
                <w:rFonts w:hint="eastAsia"/>
                <w:b/>
                <w:bCs/>
                <w:iCs/>
                <w:color w:val="FF0000"/>
              </w:rPr>
              <w:t>ヘッジ会計</w:t>
            </w:r>
            <w:r>
              <w:rPr>
                <w:rFonts w:hint="eastAsia"/>
                <w:iCs/>
              </w:rPr>
              <w:t>とは，</w:t>
            </w:r>
            <w:r w:rsidRPr="00F65A8C">
              <w:rPr>
                <w:rFonts w:hint="eastAsia"/>
                <w:b/>
                <w:bCs/>
                <w:iCs/>
              </w:rPr>
              <w:t>企業のリスク管理方針</w:t>
            </w:r>
            <w:r>
              <w:rPr>
                <w:rFonts w:hint="eastAsia"/>
                <w:iCs/>
              </w:rPr>
              <w:t>と</w:t>
            </w:r>
            <w:r w:rsidRPr="00F65A8C">
              <w:rPr>
                <w:rFonts w:hint="eastAsia"/>
                <w:b/>
                <w:bCs/>
                <w:iCs/>
                <w:color w:val="FF0000"/>
              </w:rPr>
              <w:t>ヘッジ有効性</w:t>
            </w:r>
            <w:r>
              <w:rPr>
                <w:rFonts w:hint="eastAsia"/>
                <w:iCs/>
              </w:rPr>
              <w:t>の2つの要件を満たすヘッジ取引について</w:t>
            </w:r>
            <w:r w:rsidR="00A46C0D">
              <w:rPr>
                <w:rFonts w:hint="eastAsia"/>
                <w:iCs/>
              </w:rPr>
              <w:t>，ヘッジ対象に係る損益とヘッジ手段に係る損益を同一の会計期間に認識し，</w:t>
            </w:r>
            <w:r w:rsidR="00502CA4">
              <w:rPr>
                <w:rFonts w:hint="eastAsia"/>
                <w:iCs/>
              </w:rPr>
              <w:t>ヘッジの効果を会計に反映させるための特殊な会計処理である．</w:t>
            </w:r>
          </w:p>
        </w:tc>
      </w:tr>
      <w:tr w:rsidR="004A7A3D" w14:paraId="3EE92308" w14:textId="77777777" w:rsidTr="00171B45">
        <w:tc>
          <w:tcPr>
            <w:tcW w:w="511" w:type="dxa"/>
            <w:tcBorders>
              <w:top w:val="nil"/>
              <w:left w:val="nil"/>
              <w:bottom w:val="nil"/>
              <w:right w:val="nil"/>
            </w:tcBorders>
          </w:tcPr>
          <w:p w14:paraId="66292109" w14:textId="232AB22F" w:rsidR="004A7A3D" w:rsidRDefault="004A7A3D" w:rsidP="004A7A3D">
            <w:pPr>
              <w:jc w:val="center"/>
              <w:rPr>
                <w:rFonts w:hint="eastAsia"/>
                <w:iCs/>
              </w:rPr>
            </w:pPr>
            <w:r>
              <w:rPr>
                <w:rFonts w:hint="eastAsia"/>
                <w:iCs/>
              </w:rPr>
              <w:t>(</w:t>
            </w:r>
            <w:r>
              <w:rPr>
                <w:iCs/>
              </w:rPr>
              <w:t>9)</w:t>
            </w:r>
          </w:p>
        </w:tc>
        <w:tc>
          <w:tcPr>
            <w:tcW w:w="9955" w:type="dxa"/>
            <w:tcBorders>
              <w:top w:val="nil"/>
              <w:left w:val="nil"/>
              <w:bottom w:val="nil"/>
              <w:right w:val="nil"/>
            </w:tcBorders>
          </w:tcPr>
          <w:p w14:paraId="52E539D9" w14:textId="13DD06F6" w:rsidR="00684603" w:rsidRDefault="00502CA4" w:rsidP="00171B45">
            <w:pPr>
              <w:rPr>
                <w:rFonts w:hint="eastAsia"/>
                <w:iCs/>
              </w:rPr>
            </w:pPr>
            <w:r>
              <w:rPr>
                <w:rFonts w:hint="eastAsia"/>
                <w:iCs/>
              </w:rPr>
              <w:t>ヘッジ会計には4つの方法</w:t>
            </w:r>
            <w:r w:rsidR="00D369F6">
              <w:rPr>
                <w:rFonts w:hint="eastAsia"/>
                <w:iCs/>
              </w:rPr>
              <w:t>が認められているが，原則として</w:t>
            </w:r>
            <w:r w:rsidR="00F65A8C" w:rsidRPr="00F65A8C">
              <w:rPr>
                <w:rFonts w:hint="eastAsia"/>
                <w:b/>
                <w:bCs/>
                <w:iCs/>
                <w:color w:val="FF0000"/>
              </w:rPr>
              <w:t>繰延</w:t>
            </w:r>
            <w:r w:rsidR="00D369F6" w:rsidRPr="00F65A8C">
              <w:rPr>
                <w:rFonts w:hint="eastAsia"/>
                <w:b/>
                <w:bCs/>
                <w:iCs/>
                <w:color w:val="FF0000"/>
              </w:rPr>
              <w:t>ヘッジ</w:t>
            </w:r>
            <w:r w:rsidR="00D369F6">
              <w:rPr>
                <w:rFonts w:hint="eastAsia"/>
                <w:iCs/>
              </w:rPr>
              <w:t>が適用される．その他</w:t>
            </w:r>
            <w:r w:rsidR="00291DB3">
              <w:rPr>
                <w:rFonts w:hint="eastAsia"/>
                <w:iCs/>
              </w:rPr>
              <w:t>，ヘッジ対象の資産または負債に係る相場変動等の損益と，ヘッジ手段</w:t>
            </w:r>
            <w:r w:rsidR="00684603">
              <w:rPr>
                <w:rFonts w:hint="eastAsia"/>
                <w:iCs/>
              </w:rPr>
              <w:t>に係る損益を同一の会計期間に認識する</w:t>
            </w:r>
            <w:r w:rsidR="00684603" w:rsidRPr="00433FC8">
              <w:rPr>
                <w:rFonts w:hint="eastAsia"/>
                <w:b/>
                <w:bCs/>
                <w:iCs/>
                <w:color w:val="FF0000"/>
              </w:rPr>
              <w:t>時価ヘッジ</w:t>
            </w:r>
            <w:r w:rsidR="00684603">
              <w:rPr>
                <w:rFonts w:hint="eastAsia"/>
                <w:iCs/>
              </w:rPr>
              <w:t>のほか，</w:t>
            </w:r>
            <w:r w:rsidR="00684603" w:rsidRPr="00433FC8">
              <w:rPr>
                <w:rFonts w:hint="eastAsia"/>
                <w:b/>
                <w:bCs/>
                <w:iCs/>
                <w:color w:val="FF0000"/>
              </w:rPr>
              <w:t>金利スワップの特例処理</w:t>
            </w:r>
            <w:r w:rsidR="00684603">
              <w:rPr>
                <w:rFonts w:hint="eastAsia"/>
                <w:iCs/>
              </w:rPr>
              <w:t>と</w:t>
            </w:r>
            <w:r w:rsidR="00684603" w:rsidRPr="00433FC8">
              <w:rPr>
                <w:rFonts w:hint="eastAsia"/>
                <w:b/>
                <w:bCs/>
                <w:iCs/>
                <w:color w:val="FF0000"/>
              </w:rPr>
              <w:t>為替予約等の</w:t>
            </w:r>
            <w:r w:rsidR="000829D9" w:rsidRPr="00433FC8">
              <w:rPr>
                <w:rFonts w:hint="eastAsia"/>
                <w:b/>
                <w:bCs/>
                <w:iCs/>
                <w:color w:val="FF0000"/>
              </w:rPr>
              <w:t>振当処理</w:t>
            </w:r>
            <w:r w:rsidR="000829D9">
              <w:rPr>
                <w:rFonts w:hint="eastAsia"/>
                <w:iCs/>
              </w:rPr>
              <w:t>がある．</w:t>
            </w:r>
          </w:p>
        </w:tc>
      </w:tr>
      <w:tr w:rsidR="004A7A3D" w14:paraId="12F93788" w14:textId="77777777" w:rsidTr="00171B45">
        <w:tc>
          <w:tcPr>
            <w:tcW w:w="511" w:type="dxa"/>
            <w:tcBorders>
              <w:top w:val="nil"/>
              <w:left w:val="nil"/>
              <w:bottom w:val="nil"/>
              <w:right w:val="nil"/>
            </w:tcBorders>
          </w:tcPr>
          <w:p w14:paraId="10F1C4A6" w14:textId="52B0A16F" w:rsidR="004A7A3D" w:rsidRDefault="004A7A3D" w:rsidP="004A7A3D">
            <w:pPr>
              <w:jc w:val="center"/>
              <w:rPr>
                <w:rFonts w:hint="eastAsia"/>
                <w:iCs/>
              </w:rPr>
            </w:pPr>
            <w:r>
              <w:rPr>
                <w:rFonts w:hint="eastAsia"/>
                <w:iCs/>
              </w:rPr>
              <w:t>(</w:t>
            </w:r>
            <w:r>
              <w:rPr>
                <w:iCs/>
              </w:rPr>
              <w:t>10)</w:t>
            </w:r>
          </w:p>
        </w:tc>
        <w:tc>
          <w:tcPr>
            <w:tcW w:w="9955" w:type="dxa"/>
            <w:tcBorders>
              <w:top w:val="nil"/>
              <w:left w:val="nil"/>
              <w:bottom w:val="nil"/>
              <w:right w:val="nil"/>
            </w:tcBorders>
          </w:tcPr>
          <w:p w14:paraId="2611C682" w14:textId="2D7C9C47" w:rsidR="00261761" w:rsidRDefault="000829D9" w:rsidP="00171B45">
            <w:pPr>
              <w:rPr>
                <w:rFonts w:hint="eastAsia"/>
                <w:iCs/>
              </w:rPr>
            </w:pPr>
            <w:r>
              <w:rPr>
                <w:rFonts w:hint="eastAsia"/>
                <w:iCs/>
              </w:rPr>
              <w:t>日本では，2021年4月1日以後に</w:t>
            </w:r>
            <w:r w:rsidR="00B94D64">
              <w:rPr>
                <w:rFonts w:hint="eastAsia"/>
                <w:iCs/>
              </w:rPr>
              <w:t>開始する連結会計年度から「</w:t>
            </w:r>
            <w:r w:rsidR="00B94D64" w:rsidRPr="00105566">
              <w:rPr>
                <w:rFonts w:hint="eastAsia"/>
                <w:b/>
                <w:bCs/>
                <w:iCs/>
                <w:color w:val="FF0000"/>
              </w:rPr>
              <w:t>収益認識に関する会計基準</w:t>
            </w:r>
            <w:r w:rsidR="00B94D64">
              <w:rPr>
                <w:rFonts w:hint="eastAsia"/>
                <w:iCs/>
              </w:rPr>
              <w:t>（</w:t>
            </w:r>
            <w:r w:rsidR="00B94D64" w:rsidRPr="00105566">
              <w:rPr>
                <w:rFonts w:hint="eastAsia"/>
                <w:b/>
                <w:bCs/>
                <w:iCs/>
                <w:color w:val="FF0000"/>
              </w:rPr>
              <w:t>収益認識会計基準</w:t>
            </w:r>
            <w:r w:rsidR="00B94D64" w:rsidRPr="00105566">
              <w:rPr>
                <w:rFonts w:hint="eastAsia"/>
                <w:iCs/>
              </w:rPr>
              <w:t>）</w:t>
            </w:r>
            <w:r w:rsidR="00B94D64">
              <w:rPr>
                <w:rFonts w:hint="eastAsia"/>
                <w:iCs/>
              </w:rPr>
              <w:t>」が適用され，</w:t>
            </w:r>
            <w:r w:rsidR="00261761">
              <w:rPr>
                <w:rFonts w:hint="eastAsia"/>
                <w:iCs/>
              </w:rPr>
              <w:t>収益認識に関する日本基準とIFRSは同様となった．</w:t>
            </w:r>
          </w:p>
        </w:tc>
      </w:tr>
      <w:tr w:rsidR="004A7A3D" w14:paraId="088B93C9" w14:textId="77777777" w:rsidTr="00171B45">
        <w:tc>
          <w:tcPr>
            <w:tcW w:w="511" w:type="dxa"/>
            <w:tcBorders>
              <w:top w:val="nil"/>
              <w:left w:val="nil"/>
              <w:bottom w:val="nil"/>
              <w:right w:val="nil"/>
            </w:tcBorders>
          </w:tcPr>
          <w:p w14:paraId="7DD408C3" w14:textId="457E1FAB" w:rsidR="004A7A3D" w:rsidRDefault="004A7A3D" w:rsidP="004A7A3D">
            <w:pPr>
              <w:jc w:val="center"/>
              <w:rPr>
                <w:rFonts w:hint="eastAsia"/>
                <w:iCs/>
              </w:rPr>
            </w:pPr>
            <w:r>
              <w:rPr>
                <w:rFonts w:hint="eastAsia"/>
                <w:iCs/>
              </w:rPr>
              <w:t>(</w:t>
            </w:r>
            <w:r>
              <w:rPr>
                <w:iCs/>
              </w:rPr>
              <w:t>11)</w:t>
            </w:r>
          </w:p>
        </w:tc>
        <w:tc>
          <w:tcPr>
            <w:tcW w:w="9955" w:type="dxa"/>
            <w:tcBorders>
              <w:top w:val="nil"/>
              <w:left w:val="nil"/>
              <w:bottom w:val="nil"/>
              <w:right w:val="nil"/>
            </w:tcBorders>
          </w:tcPr>
          <w:p w14:paraId="4A610F0F" w14:textId="5D490413" w:rsidR="00261761" w:rsidRDefault="00261761" w:rsidP="00171B45">
            <w:pPr>
              <w:rPr>
                <w:rFonts w:hint="eastAsia"/>
                <w:iCs/>
              </w:rPr>
            </w:pPr>
            <w:r>
              <w:rPr>
                <w:rFonts w:hint="eastAsia"/>
                <w:iCs/>
              </w:rPr>
              <w:t>ただし，これまでの実務慣行などに配慮し，財務諸表間の比較可能性を大きく損なわせない範囲で，</w:t>
            </w:r>
            <w:r w:rsidRPr="00105566">
              <w:rPr>
                <w:rFonts w:hint="eastAsia"/>
                <w:b/>
                <w:bCs/>
                <w:iCs/>
                <w:color w:val="FF0000"/>
              </w:rPr>
              <w:t>代替的な取り扱い</w:t>
            </w:r>
            <w:r>
              <w:rPr>
                <w:rFonts w:hint="eastAsia"/>
                <w:iCs/>
              </w:rPr>
              <w:t>が定めされている．</w:t>
            </w:r>
          </w:p>
        </w:tc>
      </w:tr>
    </w:tbl>
    <w:p w14:paraId="54F5C20D" w14:textId="3F3640AF" w:rsidR="00052D0A" w:rsidRDefault="00052D0A" w:rsidP="000C6A8B"/>
    <w:p w14:paraId="1F5C5105" w14:textId="77777777" w:rsidR="00052D0A" w:rsidRDefault="00052D0A">
      <w:pPr>
        <w:widowControl/>
        <w:jc w:val="left"/>
      </w:pPr>
      <w:r>
        <w:br w:type="page"/>
      </w:r>
    </w:p>
    <w:p w14:paraId="08B708EC" w14:textId="417518CE" w:rsidR="000C6A8B" w:rsidRPr="000C6A8B" w:rsidRDefault="00DA6407" w:rsidP="00DA6407">
      <w:pPr>
        <w:pStyle w:val="3"/>
        <w:rPr>
          <w:rFonts w:hint="eastAsia"/>
        </w:rPr>
      </w:pPr>
      <w:r>
        <w:rPr>
          <w:rFonts w:hint="eastAsia"/>
        </w:rPr>
        <w:lastRenderedPageBreak/>
        <w:t>例題</w:t>
      </w:r>
    </w:p>
    <w:p w14:paraId="4C44E884" w14:textId="0A98F496" w:rsidR="00312E5D" w:rsidRPr="00312E5D" w:rsidRDefault="00312E5D" w:rsidP="00312E5D">
      <w:pPr>
        <w:rPr>
          <w:rFonts w:hint="eastAsia"/>
        </w:rPr>
      </w:pPr>
      <w:r>
        <w:rPr>
          <w:rFonts w:hint="eastAsia"/>
          <w:iCs/>
        </w:rPr>
        <w:t>【例題1</w:t>
      </w:r>
      <w:r>
        <w:rPr>
          <w:iCs/>
        </w:rPr>
        <w:t>-1</w:t>
      </w:r>
      <w:r>
        <w:rPr>
          <w:rFonts w:hint="eastAsia"/>
          <w:iCs/>
        </w:rPr>
        <w:t>】</w:t>
      </w:r>
    </w:p>
    <w:tbl>
      <w:tblPr>
        <w:tblStyle w:val="ac"/>
        <w:tblW w:w="0" w:type="auto"/>
        <w:tblLook w:val="04A0" w:firstRow="1" w:lastRow="0" w:firstColumn="1" w:lastColumn="0" w:noHBand="0" w:noVBand="1"/>
      </w:tblPr>
      <w:tblGrid>
        <w:gridCol w:w="511"/>
        <w:gridCol w:w="9955"/>
      </w:tblGrid>
      <w:tr w:rsidR="001A5927" w14:paraId="7DB8C388" w14:textId="77777777" w:rsidTr="0057796F">
        <w:tc>
          <w:tcPr>
            <w:tcW w:w="10466" w:type="dxa"/>
            <w:gridSpan w:val="2"/>
            <w:tcBorders>
              <w:top w:val="nil"/>
              <w:left w:val="nil"/>
              <w:bottom w:val="nil"/>
              <w:right w:val="nil"/>
            </w:tcBorders>
          </w:tcPr>
          <w:p w14:paraId="105DE8CD" w14:textId="0019BC62" w:rsidR="00312E5D" w:rsidRDefault="00312E5D" w:rsidP="001A5927">
            <w:pPr>
              <w:rPr>
                <w:rFonts w:hint="eastAsia"/>
                <w:iCs/>
              </w:rPr>
            </w:pPr>
            <w:r>
              <w:rPr>
                <w:rFonts w:hint="eastAsia"/>
                <w:iCs/>
              </w:rPr>
              <w:t>デリバティブの会計に関する次の問いに答えなさい．</w:t>
            </w:r>
          </w:p>
        </w:tc>
      </w:tr>
      <w:tr w:rsidR="001A5927" w14:paraId="7AAE8142" w14:textId="77777777" w:rsidTr="0057796F">
        <w:tc>
          <w:tcPr>
            <w:tcW w:w="511" w:type="dxa"/>
            <w:tcBorders>
              <w:top w:val="nil"/>
              <w:left w:val="nil"/>
              <w:bottom w:val="nil"/>
              <w:right w:val="nil"/>
            </w:tcBorders>
          </w:tcPr>
          <w:p w14:paraId="3432280D" w14:textId="200D6AF8" w:rsidR="001A5927" w:rsidRDefault="00942BA7" w:rsidP="001A5927">
            <w:pPr>
              <w:rPr>
                <w:iCs/>
              </w:rPr>
            </w:pPr>
            <w:r>
              <w:rPr>
                <w:rFonts w:hint="eastAsia"/>
                <w:iCs/>
              </w:rPr>
              <w:t>(</w:t>
            </w:r>
            <w:r>
              <w:rPr>
                <w:iCs/>
              </w:rPr>
              <w:t>1)</w:t>
            </w:r>
          </w:p>
        </w:tc>
        <w:tc>
          <w:tcPr>
            <w:tcW w:w="9955" w:type="dxa"/>
            <w:tcBorders>
              <w:top w:val="nil"/>
              <w:left w:val="nil"/>
              <w:bottom w:val="nil"/>
              <w:right w:val="nil"/>
            </w:tcBorders>
          </w:tcPr>
          <w:p w14:paraId="03374714" w14:textId="50D4BAB0" w:rsidR="001A5927" w:rsidRDefault="00942BA7" w:rsidP="001A5927">
            <w:pPr>
              <w:rPr>
                <w:rFonts w:hint="eastAsia"/>
                <w:iCs/>
              </w:rPr>
            </w:pPr>
            <w:r>
              <w:rPr>
                <w:rFonts w:hint="eastAsia"/>
                <w:iCs/>
              </w:rPr>
              <w:t>複数年度に跨る先物契約を結んでいる場合の，決算時と</w:t>
            </w:r>
            <w:r w:rsidR="00986AFA">
              <w:rPr>
                <w:rFonts w:hint="eastAsia"/>
                <w:iCs/>
              </w:rPr>
              <w:t>決済時の損益処理について説明しないさい．</w:t>
            </w:r>
          </w:p>
        </w:tc>
      </w:tr>
      <w:tr w:rsidR="00CD4AAA" w14:paraId="346F3D58" w14:textId="77777777" w:rsidTr="0057796F">
        <w:tc>
          <w:tcPr>
            <w:tcW w:w="511" w:type="dxa"/>
            <w:tcBorders>
              <w:top w:val="nil"/>
              <w:left w:val="nil"/>
              <w:bottom w:val="nil"/>
              <w:right w:val="nil"/>
            </w:tcBorders>
          </w:tcPr>
          <w:p w14:paraId="5A18EF97" w14:textId="503975BB" w:rsidR="00CD4AAA" w:rsidRDefault="00CD4AAA" w:rsidP="00CD4AAA">
            <w:pPr>
              <w:rPr>
                <w:iCs/>
              </w:rPr>
            </w:pPr>
            <w:r>
              <w:rPr>
                <w:rFonts w:hint="eastAsia"/>
                <w:iCs/>
              </w:rPr>
              <w:t>(</w:t>
            </w:r>
            <w:r>
              <w:rPr>
                <w:iCs/>
              </w:rPr>
              <w:t>2)</w:t>
            </w:r>
          </w:p>
        </w:tc>
        <w:tc>
          <w:tcPr>
            <w:tcW w:w="9955" w:type="dxa"/>
            <w:tcBorders>
              <w:top w:val="nil"/>
              <w:left w:val="nil"/>
              <w:bottom w:val="nil"/>
              <w:right w:val="nil"/>
            </w:tcBorders>
          </w:tcPr>
          <w:p w14:paraId="09AC5CC2" w14:textId="7352B131" w:rsidR="00CD4AAA" w:rsidRDefault="00CD4AAA" w:rsidP="00CD4AAA">
            <w:pPr>
              <w:rPr>
                <w:iCs/>
              </w:rPr>
            </w:pPr>
            <w:r>
              <w:rPr>
                <w:rFonts w:hint="eastAsia"/>
                <w:iCs/>
              </w:rPr>
              <w:t>複数年度に跨る</w:t>
            </w:r>
            <w:r>
              <w:rPr>
                <w:rFonts w:hint="eastAsia"/>
                <w:iCs/>
              </w:rPr>
              <w:t>先渡</w:t>
            </w:r>
            <w:r>
              <w:rPr>
                <w:rFonts w:hint="eastAsia"/>
                <w:iCs/>
              </w:rPr>
              <w:t>契約を結んでいる場合の，決算時と決済時の損益処理について説明しないさい．</w:t>
            </w:r>
          </w:p>
        </w:tc>
      </w:tr>
      <w:tr w:rsidR="00CD4AAA" w14:paraId="1B5B408E" w14:textId="77777777" w:rsidTr="0057796F">
        <w:tc>
          <w:tcPr>
            <w:tcW w:w="511" w:type="dxa"/>
            <w:tcBorders>
              <w:top w:val="nil"/>
              <w:left w:val="nil"/>
              <w:bottom w:val="nil"/>
              <w:right w:val="nil"/>
            </w:tcBorders>
          </w:tcPr>
          <w:p w14:paraId="343522FD" w14:textId="4D946294" w:rsidR="00CD4AAA" w:rsidRDefault="00CD4AAA" w:rsidP="00CD4AAA">
            <w:pPr>
              <w:rPr>
                <w:iCs/>
              </w:rPr>
            </w:pPr>
            <w:r>
              <w:rPr>
                <w:rFonts w:hint="eastAsia"/>
                <w:iCs/>
              </w:rPr>
              <w:t>(</w:t>
            </w:r>
            <w:r>
              <w:rPr>
                <w:iCs/>
              </w:rPr>
              <w:t>3)</w:t>
            </w:r>
          </w:p>
        </w:tc>
        <w:tc>
          <w:tcPr>
            <w:tcW w:w="9955" w:type="dxa"/>
            <w:tcBorders>
              <w:top w:val="nil"/>
              <w:left w:val="nil"/>
              <w:bottom w:val="nil"/>
              <w:right w:val="nil"/>
            </w:tcBorders>
          </w:tcPr>
          <w:p w14:paraId="758C1DAC" w14:textId="0DB4954B" w:rsidR="00CD4AAA" w:rsidRDefault="001D6245" w:rsidP="00CD4AAA">
            <w:pPr>
              <w:rPr>
                <w:rFonts w:hint="eastAsia"/>
                <w:iCs/>
              </w:rPr>
            </w:pPr>
            <w:r>
              <w:rPr>
                <w:rFonts w:hint="eastAsia"/>
                <w:iCs/>
              </w:rPr>
              <w:t>コールオプションを売却している場合にオプションの時価が上昇した時の損益への影響について</w:t>
            </w:r>
            <w:r w:rsidR="005B1192">
              <w:rPr>
                <w:rFonts w:hint="eastAsia"/>
                <w:iCs/>
              </w:rPr>
              <w:t>説明なさい．</w:t>
            </w:r>
          </w:p>
        </w:tc>
      </w:tr>
      <w:tr w:rsidR="007B197A" w14:paraId="58F933E1" w14:textId="77777777" w:rsidTr="0057796F">
        <w:tc>
          <w:tcPr>
            <w:tcW w:w="511" w:type="dxa"/>
            <w:tcBorders>
              <w:top w:val="nil"/>
              <w:left w:val="nil"/>
              <w:bottom w:val="nil"/>
              <w:right w:val="nil"/>
            </w:tcBorders>
          </w:tcPr>
          <w:p w14:paraId="49528D0D" w14:textId="060BAECB" w:rsidR="007B197A" w:rsidRDefault="007B197A" w:rsidP="007B197A">
            <w:pPr>
              <w:rPr>
                <w:iCs/>
              </w:rPr>
            </w:pPr>
            <w:r>
              <w:rPr>
                <w:rFonts w:hint="eastAsia"/>
                <w:iCs/>
              </w:rPr>
              <w:t>(</w:t>
            </w:r>
            <w:r>
              <w:rPr>
                <w:iCs/>
              </w:rPr>
              <w:t>4)</w:t>
            </w:r>
          </w:p>
        </w:tc>
        <w:tc>
          <w:tcPr>
            <w:tcW w:w="9955" w:type="dxa"/>
            <w:tcBorders>
              <w:top w:val="nil"/>
              <w:left w:val="nil"/>
              <w:bottom w:val="nil"/>
              <w:right w:val="nil"/>
            </w:tcBorders>
          </w:tcPr>
          <w:p w14:paraId="7EFA075B" w14:textId="2077E01E" w:rsidR="007B197A" w:rsidRDefault="007B197A" w:rsidP="007B197A">
            <w:pPr>
              <w:rPr>
                <w:iCs/>
              </w:rPr>
            </w:pPr>
            <w:r>
              <w:rPr>
                <w:rFonts w:hint="eastAsia"/>
                <w:iCs/>
              </w:rPr>
              <w:t>複数年度に跨る</w:t>
            </w:r>
            <w:r>
              <w:rPr>
                <w:rFonts w:hint="eastAsia"/>
                <w:iCs/>
              </w:rPr>
              <w:t>スワップ契約</w:t>
            </w:r>
            <w:r>
              <w:rPr>
                <w:rFonts w:hint="eastAsia"/>
                <w:iCs/>
              </w:rPr>
              <w:t>を</w:t>
            </w:r>
            <w:r>
              <w:rPr>
                <w:rFonts w:hint="eastAsia"/>
                <w:iCs/>
              </w:rPr>
              <w:t>締結した</w:t>
            </w:r>
            <w:r>
              <w:rPr>
                <w:rFonts w:hint="eastAsia"/>
                <w:iCs/>
              </w:rPr>
              <w:t>場合の，</w:t>
            </w:r>
            <w:r w:rsidR="009E2228">
              <w:rPr>
                <w:rFonts w:hint="eastAsia"/>
                <w:iCs/>
              </w:rPr>
              <w:t>契約締結後における各決算期の会計処理</w:t>
            </w:r>
            <w:r>
              <w:rPr>
                <w:rFonts w:hint="eastAsia"/>
                <w:iCs/>
              </w:rPr>
              <w:t>について説明しないさい．</w:t>
            </w:r>
          </w:p>
        </w:tc>
      </w:tr>
    </w:tbl>
    <w:p w14:paraId="0DD77679" w14:textId="34D1045F" w:rsidR="00001397" w:rsidRPr="0041064A" w:rsidRDefault="00F07B6B" w:rsidP="00081635">
      <w:pPr>
        <w:rPr>
          <w:iCs/>
        </w:rPr>
      </w:pPr>
      <w:r>
        <w:rPr>
          <w:rFonts w:hint="eastAsia"/>
          <w:iCs/>
        </w:rPr>
        <w:t>≪解答・解説≫</w:t>
      </w:r>
    </w:p>
    <w:tbl>
      <w:tblPr>
        <w:tblStyle w:val="ac"/>
        <w:tblW w:w="0" w:type="auto"/>
        <w:tblLook w:val="04A0" w:firstRow="1" w:lastRow="0" w:firstColumn="1" w:lastColumn="0" w:noHBand="0" w:noVBand="1"/>
      </w:tblPr>
      <w:tblGrid>
        <w:gridCol w:w="511"/>
        <w:gridCol w:w="9955"/>
      </w:tblGrid>
      <w:tr w:rsidR="004B0413" w14:paraId="2A4AFE2C" w14:textId="77777777" w:rsidTr="00171B45">
        <w:tc>
          <w:tcPr>
            <w:tcW w:w="511" w:type="dxa"/>
            <w:tcBorders>
              <w:top w:val="nil"/>
              <w:left w:val="nil"/>
              <w:bottom w:val="nil"/>
              <w:right w:val="nil"/>
            </w:tcBorders>
          </w:tcPr>
          <w:p w14:paraId="265E58F1" w14:textId="34F215F0" w:rsidR="004B0413" w:rsidRDefault="004B0413" w:rsidP="004B0413">
            <w:pPr>
              <w:rPr>
                <w:iCs/>
              </w:rPr>
            </w:pPr>
            <w:r>
              <w:rPr>
                <w:rFonts w:hint="eastAsia"/>
                <w:iCs/>
              </w:rPr>
              <w:t>(</w:t>
            </w:r>
            <w:r>
              <w:rPr>
                <w:iCs/>
              </w:rPr>
              <w:t>1)</w:t>
            </w:r>
          </w:p>
        </w:tc>
        <w:tc>
          <w:tcPr>
            <w:tcW w:w="9955" w:type="dxa"/>
            <w:tcBorders>
              <w:top w:val="nil"/>
              <w:left w:val="nil"/>
              <w:bottom w:val="nil"/>
              <w:right w:val="nil"/>
            </w:tcBorders>
          </w:tcPr>
          <w:p w14:paraId="6691D948" w14:textId="688E3785" w:rsidR="004B0413" w:rsidRDefault="00B119F1" w:rsidP="004B0413">
            <w:pPr>
              <w:rPr>
                <w:iCs/>
              </w:rPr>
            </w:pPr>
            <w:r>
              <w:rPr>
                <w:rFonts w:hint="eastAsia"/>
                <w:iCs/>
              </w:rPr>
              <w:t>≪</w:t>
            </w:r>
            <w:r>
              <w:rPr>
                <w:rFonts w:hint="eastAsia"/>
                <w:iCs/>
              </w:rPr>
              <w:t>先物契約</w:t>
            </w:r>
            <w:r>
              <w:rPr>
                <w:rFonts w:hint="eastAsia"/>
                <w:iCs/>
              </w:rPr>
              <w:t>≫</w:t>
            </w:r>
          </w:p>
          <w:p w14:paraId="0CC5F09B" w14:textId="5ADF2CE4" w:rsidR="00322F71" w:rsidRDefault="00322F71" w:rsidP="004B0413">
            <w:pPr>
              <w:rPr>
                <w:iCs/>
              </w:rPr>
            </w:pPr>
            <w:r>
              <w:rPr>
                <w:rFonts w:hint="eastAsia"/>
                <w:iCs/>
              </w:rPr>
              <w:t>〈決算時〉</w:t>
            </w:r>
          </w:p>
          <w:p w14:paraId="093594B5" w14:textId="1A6ED36F" w:rsidR="00322F71" w:rsidRDefault="00D72C6E" w:rsidP="004B0413">
            <w:pPr>
              <w:rPr>
                <w:iCs/>
              </w:rPr>
            </w:pPr>
            <w:r>
              <w:rPr>
                <w:rFonts w:hint="eastAsia"/>
                <w:iCs/>
              </w:rPr>
              <w:t>決算時の契約による債券・債務を時価評価して評価差額を先物損益として計上．</w:t>
            </w:r>
          </w:p>
          <w:p w14:paraId="52C2AD89" w14:textId="77777777" w:rsidR="00322F71" w:rsidRDefault="00322F71" w:rsidP="004B0413">
            <w:pPr>
              <w:rPr>
                <w:iCs/>
              </w:rPr>
            </w:pPr>
            <w:r>
              <w:rPr>
                <w:rFonts w:hint="eastAsia"/>
                <w:iCs/>
              </w:rPr>
              <w:t>〈決済時〉</w:t>
            </w:r>
          </w:p>
          <w:p w14:paraId="0C86CBF4" w14:textId="5232CCE6" w:rsidR="00D72C6E" w:rsidRDefault="00D93ACB" w:rsidP="004B0413">
            <w:pPr>
              <w:rPr>
                <w:rFonts w:hint="eastAsia"/>
                <w:iCs/>
              </w:rPr>
            </w:pPr>
            <w:r>
              <w:rPr>
                <w:rFonts w:hint="eastAsia"/>
                <w:iCs/>
              </w:rPr>
              <w:t>決済時に帳簿</w:t>
            </w:r>
            <w:r w:rsidR="00D836EE">
              <w:rPr>
                <w:rFonts w:hint="eastAsia"/>
                <w:iCs/>
              </w:rPr>
              <w:t>価額</w:t>
            </w:r>
            <w:r w:rsidR="00834EBC">
              <w:rPr>
                <w:rFonts w:hint="eastAsia"/>
                <w:iCs/>
              </w:rPr>
              <w:t>と決済時の時価の差額を先物</w:t>
            </w:r>
            <w:r w:rsidR="00B119F1">
              <w:rPr>
                <w:rFonts w:hint="eastAsia"/>
                <w:iCs/>
              </w:rPr>
              <w:t>損益として計上．</w:t>
            </w:r>
          </w:p>
        </w:tc>
      </w:tr>
      <w:tr w:rsidR="004B0413" w14:paraId="64210DCD" w14:textId="77777777" w:rsidTr="00171B45">
        <w:tc>
          <w:tcPr>
            <w:tcW w:w="511" w:type="dxa"/>
            <w:tcBorders>
              <w:top w:val="nil"/>
              <w:left w:val="nil"/>
              <w:bottom w:val="nil"/>
              <w:right w:val="nil"/>
            </w:tcBorders>
          </w:tcPr>
          <w:p w14:paraId="1A05B01C" w14:textId="46405913" w:rsidR="004B0413" w:rsidRDefault="004B0413" w:rsidP="004B0413">
            <w:pPr>
              <w:rPr>
                <w:iCs/>
              </w:rPr>
            </w:pPr>
            <w:r>
              <w:rPr>
                <w:rFonts w:hint="eastAsia"/>
                <w:iCs/>
              </w:rPr>
              <w:t>(</w:t>
            </w:r>
            <w:r>
              <w:rPr>
                <w:iCs/>
              </w:rPr>
              <w:t>2)</w:t>
            </w:r>
          </w:p>
        </w:tc>
        <w:tc>
          <w:tcPr>
            <w:tcW w:w="9955" w:type="dxa"/>
            <w:tcBorders>
              <w:top w:val="nil"/>
              <w:left w:val="nil"/>
              <w:bottom w:val="nil"/>
              <w:right w:val="nil"/>
            </w:tcBorders>
          </w:tcPr>
          <w:p w14:paraId="77CEDFDA" w14:textId="24741F6A" w:rsidR="00771BAD" w:rsidRDefault="00771BAD" w:rsidP="004B0413">
            <w:pPr>
              <w:rPr>
                <w:iCs/>
              </w:rPr>
            </w:pPr>
            <w:r>
              <w:rPr>
                <w:rFonts w:hint="eastAsia"/>
                <w:iCs/>
              </w:rPr>
              <w:t>≪先渡契約≫</w:t>
            </w:r>
          </w:p>
          <w:p w14:paraId="5262235C" w14:textId="77777777" w:rsidR="00771BAD" w:rsidRDefault="00771BAD" w:rsidP="004B0413">
            <w:pPr>
              <w:rPr>
                <w:iCs/>
              </w:rPr>
            </w:pPr>
            <w:r>
              <w:rPr>
                <w:rFonts w:hint="eastAsia"/>
                <w:iCs/>
              </w:rPr>
              <w:t>〈決算時〉</w:t>
            </w:r>
          </w:p>
          <w:p w14:paraId="29B7B88C" w14:textId="7B111685" w:rsidR="00771BAD" w:rsidRDefault="00195A95" w:rsidP="004B0413">
            <w:pPr>
              <w:rPr>
                <w:rFonts w:hint="eastAsia"/>
                <w:iCs/>
              </w:rPr>
            </w:pPr>
            <w:r>
              <w:rPr>
                <w:rFonts w:hint="eastAsia"/>
                <w:iCs/>
              </w:rPr>
              <w:t>決済時に契約による債券・債務を</w:t>
            </w:r>
            <w:r w:rsidR="0049352E">
              <w:rPr>
                <w:rFonts w:hint="eastAsia"/>
                <w:iCs/>
              </w:rPr>
              <w:t>時価評価して評価差額を先渡損益として計上．</w:t>
            </w:r>
          </w:p>
          <w:p w14:paraId="1683666A" w14:textId="77777777" w:rsidR="00771BAD" w:rsidRDefault="00771BAD" w:rsidP="004B0413">
            <w:pPr>
              <w:rPr>
                <w:iCs/>
              </w:rPr>
            </w:pPr>
            <w:r>
              <w:rPr>
                <w:rFonts w:hint="eastAsia"/>
                <w:iCs/>
              </w:rPr>
              <w:t>〈</w:t>
            </w:r>
            <w:r>
              <w:rPr>
                <w:rFonts w:hint="eastAsia"/>
                <w:iCs/>
              </w:rPr>
              <w:t>決済</w:t>
            </w:r>
            <w:r>
              <w:rPr>
                <w:rFonts w:hint="eastAsia"/>
                <w:iCs/>
              </w:rPr>
              <w:t>時〉</w:t>
            </w:r>
          </w:p>
          <w:p w14:paraId="6741D8A5" w14:textId="106A3F6F" w:rsidR="0049352E" w:rsidRDefault="0049352E" w:rsidP="004B0413">
            <w:pPr>
              <w:rPr>
                <w:rFonts w:hint="eastAsia"/>
                <w:iCs/>
              </w:rPr>
            </w:pPr>
            <w:r>
              <w:rPr>
                <w:rFonts w:hint="eastAsia"/>
                <w:iCs/>
              </w:rPr>
              <w:t>決済時に帳簿価額と決済時</w:t>
            </w:r>
            <w:r w:rsidR="00CC20C7">
              <w:rPr>
                <w:rFonts w:hint="eastAsia"/>
                <w:iCs/>
              </w:rPr>
              <w:t>の時価の差額を先物損益として計上．</w:t>
            </w:r>
          </w:p>
        </w:tc>
      </w:tr>
      <w:tr w:rsidR="004B0413" w14:paraId="0AEB2BFC" w14:textId="77777777" w:rsidTr="00171B45">
        <w:tc>
          <w:tcPr>
            <w:tcW w:w="511" w:type="dxa"/>
            <w:tcBorders>
              <w:top w:val="nil"/>
              <w:left w:val="nil"/>
              <w:bottom w:val="nil"/>
              <w:right w:val="nil"/>
            </w:tcBorders>
          </w:tcPr>
          <w:p w14:paraId="631B65D6" w14:textId="2DA61348" w:rsidR="004B0413" w:rsidRDefault="004B0413" w:rsidP="004B0413">
            <w:pPr>
              <w:rPr>
                <w:iCs/>
              </w:rPr>
            </w:pPr>
            <w:r>
              <w:rPr>
                <w:rFonts w:hint="eastAsia"/>
                <w:iCs/>
              </w:rPr>
              <w:t>(</w:t>
            </w:r>
            <w:r>
              <w:rPr>
                <w:iCs/>
              </w:rPr>
              <w:t>3)</w:t>
            </w:r>
          </w:p>
        </w:tc>
        <w:tc>
          <w:tcPr>
            <w:tcW w:w="9955" w:type="dxa"/>
            <w:tcBorders>
              <w:top w:val="nil"/>
              <w:left w:val="nil"/>
              <w:bottom w:val="nil"/>
              <w:right w:val="nil"/>
            </w:tcBorders>
          </w:tcPr>
          <w:p w14:paraId="2D1E9FF4" w14:textId="5290C064" w:rsidR="004B0413" w:rsidRDefault="00CC20C7" w:rsidP="004B0413">
            <w:pPr>
              <w:rPr>
                <w:rFonts w:hint="eastAsia"/>
                <w:iCs/>
              </w:rPr>
            </w:pPr>
            <w:r>
              <w:rPr>
                <w:rFonts w:hint="eastAsia"/>
                <w:iCs/>
              </w:rPr>
              <w:t>コールオプションを</w:t>
            </w:r>
            <w:r w:rsidR="004E584B">
              <w:rPr>
                <w:rFonts w:hint="eastAsia"/>
                <w:iCs/>
              </w:rPr>
              <w:t>売却している場合，オプションの時価が上昇すると，評価差額を損失として</w:t>
            </w:r>
            <w:r w:rsidR="009C0DC2">
              <w:rPr>
                <w:rFonts w:hint="eastAsia"/>
                <w:iCs/>
              </w:rPr>
              <w:t>オプション損益に計上することとなる．</w:t>
            </w:r>
          </w:p>
        </w:tc>
      </w:tr>
      <w:tr w:rsidR="004B0413" w14:paraId="46B7F306" w14:textId="77777777" w:rsidTr="00171B45">
        <w:tc>
          <w:tcPr>
            <w:tcW w:w="511" w:type="dxa"/>
            <w:tcBorders>
              <w:top w:val="nil"/>
              <w:left w:val="nil"/>
              <w:bottom w:val="nil"/>
              <w:right w:val="nil"/>
            </w:tcBorders>
          </w:tcPr>
          <w:p w14:paraId="7B031BF0" w14:textId="573E81C7" w:rsidR="004B0413" w:rsidRDefault="004B0413" w:rsidP="004B0413">
            <w:pPr>
              <w:rPr>
                <w:iCs/>
              </w:rPr>
            </w:pPr>
            <w:r>
              <w:rPr>
                <w:rFonts w:hint="eastAsia"/>
                <w:iCs/>
              </w:rPr>
              <w:t>(</w:t>
            </w:r>
            <w:r>
              <w:rPr>
                <w:iCs/>
              </w:rPr>
              <w:t>4)</w:t>
            </w:r>
          </w:p>
        </w:tc>
        <w:tc>
          <w:tcPr>
            <w:tcW w:w="9955" w:type="dxa"/>
            <w:tcBorders>
              <w:top w:val="nil"/>
              <w:left w:val="nil"/>
              <w:bottom w:val="nil"/>
              <w:right w:val="nil"/>
            </w:tcBorders>
          </w:tcPr>
          <w:p w14:paraId="4153CBA3" w14:textId="55E1AAC6" w:rsidR="004B0413" w:rsidRDefault="0091565B" w:rsidP="004B0413">
            <w:pPr>
              <w:rPr>
                <w:rFonts w:hint="eastAsia"/>
                <w:iCs/>
              </w:rPr>
            </w:pPr>
            <w:r>
              <w:rPr>
                <w:rFonts w:hint="eastAsia"/>
                <w:iCs/>
              </w:rPr>
              <w:t>スワップ</w:t>
            </w:r>
            <w:r w:rsidR="009A7A29">
              <w:rPr>
                <w:rFonts w:hint="eastAsia"/>
                <w:iCs/>
              </w:rPr>
              <w:t>契約</w:t>
            </w:r>
            <w:r>
              <w:rPr>
                <w:rFonts w:hint="eastAsia"/>
                <w:iCs/>
              </w:rPr>
              <w:t>締結後</w:t>
            </w:r>
            <w:r w:rsidR="009A7A29">
              <w:rPr>
                <w:rFonts w:hint="eastAsia"/>
                <w:iCs/>
              </w:rPr>
              <w:t>の各決算期においては，スワップの価値を時価評価し評価差額を</w:t>
            </w:r>
            <w:r w:rsidR="001B6E13">
              <w:rPr>
                <w:rFonts w:hint="eastAsia"/>
                <w:iCs/>
              </w:rPr>
              <w:t>当期のスワップ損益に計上する．</w:t>
            </w:r>
          </w:p>
        </w:tc>
      </w:tr>
    </w:tbl>
    <w:p w14:paraId="509D8552" w14:textId="77777777" w:rsidR="000E5868" w:rsidRPr="0057796F" w:rsidRDefault="000E5868" w:rsidP="00081635"/>
    <w:p w14:paraId="63CF4332" w14:textId="59359D7F" w:rsidR="0057796F" w:rsidRDefault="00387D50" w:rsidP="00081635">
      <w:pPr>
        <w:rPr>
          <w:iCs/>
        </w:rPr>
      </w:pPr>
      <w:r>
        <w:rPr>
          <w:rFonts w:hint="eastAsia"/>
          <w:iCs/>
        </w:rPr>
        <w:t>【例題1</w:t>
      </w:r>
      <w:r>
        <w:rPr>
          <w:iCs/>
        </w:rPr>
        <w:t>-</w:t>
      </w:r>
      <w:r>
        <w:rPr>
          <w:iCs/>
        </w:rPr>
        <w:t>2</w:t>
      </w:r>
      <w:r>
        <w:rPr>
          <w:rFonts w:hint="eastAsia"/>
          <w:iCs/>
        </w:rPr>
        <w:t>】</w:t>
      </w:r>
    </w:p>
    <w:tbl>
      <w:tblPr>
        <w:tblStyle w:val="ac"/>
        <w:tblW w:w="0" w:type="auto"/>
        <w:tblLook w:val="04A0" w:firstRow="1" w:lastRow="0" w:firstColumn="1" w:lastColumn="0" w:noHBand="0" w:noVBand="1"/>
      </w:tblPr>
      <w:tblGrid>
        <w:gridCol w:w="10456"/>
      </w:tblGrid>
      <w:tr w:rsidR="00FB2F88" w14:paraId="5B2433B8" w14:textId="77777777" w:rsidTr="00171B45">
        <w:tc>
          <w:tcPr>
            <w:tcW w:w="10456" w:type="dxa"/>
            <w:tcBorders>
              <w:top w:val="nil"/>
              <w:left w:val="nil"/>
              <w:bottom w:val="nil"/>
              <w:right w:val="nil"/>
            </w:tcBorders>
          </w:tcPr>
          <w:p w14:paraId="0704B86F" w14:textId="77777777" w:rsidR="00FB2F88" w:rsidRDefault="00FB2F88" w:rsidP="00171B45">
            <w:pPr>
              <w:rPr>
                <w:rFonts w:hint="eastAsia"/>
                <w:iCs/>
              </w:rPr>
            </w:pPr>
            <w:r>
              <w:rPr>
                <w:rFonts w:hint="eastAsia"/>
                <w:iCs/>
              </w:rPr>
              <w:t>ヘッジ目的のデリバティブ取引に対して，ヘッジ会計が適用されない場合がある理由を説明しなさい．また，ヘッジ会計が適用された場合の意義と留意点について説明しなさい．</w:t>
            </w:r>
          </w:p>
        </w:tc>
      </w:tr>
    </w:tbl>
    <w:p w14:paraId="389A91B1" w14:textId="4D5E5AF1" w:rsidR="00FB2F88" w:rsidRDefault="00FB2F88" w:rsidP="00081635">
      <w:pPr>
        <w:rPr>
          <w:iCs/>
        </w:rPr>
      </w:pPr>
      <w:r>
        <w:rPr>
          <w:rFonts w:hint="eastAsia"/>
          <w:iCs/>
        </w:rPr>
        <w:t>≪解答・解説≫</w:t>
      </w:r>
    </w:p>
    <w:tbl>
      <w:tblPr>
        <w:tblStyle w:val="ac"/>
        <w:tblW w:w="0" w:type="auto"/>
        <w:tblLook w:val="04A0" w:firstRow="1" w:lastRow="0" w:firstColumn="1" w:lastColumn="0" w:noHBand="0" w:noVBand="1"/>
      </w:tblPr>
      <w:tblGrid>
        <w:gridCol w:w="426"/>
        <w:gridCol w:w="10030"/>
      </w:tblGrid>
      <w:tr w:rsidR="00FB2F88" w14:paraId="2061C085" w14:textId="77777777" w:rsidTr="00171B45">
        <w:tc>
          <w:tcPr>
            <w:tcW w:w="426" w:type="dxa"/>
            <w:tcBorders>
              <w:top w:val="nil"/>
              <w:left w:val="nil"/>
              <w:bottom w:val="nil"/>
              <w:right w:val="nil"/>
            </w:tcBorders>
          </w:tcPr>
          <w:p w14:paraId="6D43EDFE" w14:textId="77777777" w:rsidR="00FB2F88" w:rsidRDefault="00FB2F88" w:rsidP="00171B45">
            <w:pPr>
              <w:rPr>
                <w:rFonts w:hint="eastAsia"/>
                <w:iCs/>
              </w:rPr>
            </w:pPr>
          </w:p>
        </w:tc>
        <w:tc>
          <w:tcPr>
            <w:tcW w:w="10030" w:type="dxa"/>
            <w:tcBorders>
              <w:top w:val="nil"/>
              <w:left w:val="nil"/>
              <w:bottom w:val="nil"/>
              <w:right w:val="nil"/>
            </w:tcBorders>
          </w:tcPr>
          <w:p w14:paraId="620E07E8" w14:textId="77777777" w:rsidR="00FB2F88" w:rsidRDefault="00FB2F88" w:rsidP="00171B45">
            <w:pPr>
              <w:rPr>
                <w:iCs/>
              </w:rPr>
            </w:pPr>
            <w:r>
              <w:rPr>
                <w:rFonts w:hint="eastAsia"/>
                <w:iCs/>
              </w:rPr>
              <w:t>ヘッジ会計については，</w:t>
            </w:r>
            <w:r w:rsidRPr="002C12C9">
              <w:rPr>
                <w:rFonts w:hint="eastAsia"/>
                <w:iCs/>
                <w:color w:val="FF0000"/>
              </w:rPr>
              <w:t>厳格な適用要件を定められているため</w:t>
            </w:r>
            <w:r>
              <w:rPr>
                <w:rFonts w:hint="eastAsia"/>
                <w:iCs/>
              </w:rPr>
              <w:t>，ヘッジ目的のデリバティブ取引であっても，ヘッジ会計が適用されない場合がある．</w:t>
            </w:r>
          </w:p>
          <w:p w14:paraId="4F523901" w14:textId="77777777" w:rsidR="00FB2F88" w:rsidRDefault="00FB2F88" w:rsidP="00171B45">
            <w:pPr>
              <w:rPr>
                <w:rFonts w:hint="eastAsia"/>
                <w:iCs/>
              </w:rPr>
            </w:pPr>
            <w:r>
              <w:rPr>
                <w:rFonts w:hint="eastAsia"/>
                <w:iCs/>
              </w:rPr>
              <w:t>ヘッジ会計が適用されると，ヘッジ対象及びヘッジ手段に係る損益を</w:t>
            </w:r>
            <w:r w:rsidRPr="000E509F">
              <w:rPr>
                <w:rFonts w:hint="eastAsia"/>
                <w:iCs/>
                <w:u w:val="single"/>
              </w:rPr>
              <w:t>同一の会計期間に認識</w:t>
            </w:r>
            <w:r>
              <w:rPr>
                <w:rFonts w:hint="eastAsia"/>
                <w:iCs/>
              </w:rPr>
              <w:t>し，ヘッジの効果を財務諸表に反映させることとなるため，</w:t>
            </w:r>
            <w:r w:rsidRPr="00006807">
              <w:rPr>
                <w:rFonts w:hint="eastAsia"/>
                <w:iCs/>
                <w:color w:val="4472C4" w:themeColor="accent1"/>
              </w:rPr>
              <w:t>ヘッジ会計には，ヘッジ対象とヘッジ手段の損益のタイミングを揃える</w:t>
            </w:r>
            <w:r>
              <w:rPr>
                <w:rFonts w:hint="eastAsia"/>
                <w:iCs/>
              </w:rPr>
              <w:t>という意義がある．ただし，</w:t>
            </w:r>
            <w:r w:rsidRPr="00D83F79">
              <w:rPr>
                <w:rFonts w:hint="eastAsia"/>
                <w:iCs/>
                <w:color w:val="FF0000"/>
              </w:rPr>
              <w:t>デリバティブ取引（ヘッジ手段になることも多い）に関する時価評価損益が計上されない場合がある</w:t>
            </w:r>
            <w:r>
              <w:rPr>
                <w:rFonts w:hint="eastAsia"/>
                <w:iCs/>
              </w:rPr>
              <w:t>ことには，留意が必要である．</w:t>
            </w:r>
          </w:p>
        </w:tc>
      </w:tr>
    </w:tbl>
    <w:p w14:paraId="0AAA968D" w14:textId="425AA922" w:rsidR="00052D0A" w:rsidRDefault="00052D0A" w:rsidP="00081635">
      <w:pPr>
        <w:rPr>
          <w:iCs/>
        </w:rPr>
      </w:pPr>
    </w:p>
    <w:p w14:paraId="2B1748A8" w14:textId="77777777" w:rsidR="00052D0A" w:rsidRDefault="00052D0A">
      <w:pPr>
        <w:widowControl/>
        <w:jc w:val="left"/>
        <w:rPr>
          <w:iCs/>
        </w:rPr>
      </w:pPr>
      <w:r>
        <w:rPr>
          <w:iCs/>
        </w:rPr>
        <w:br w:type="page"/>
      </w:r>
    </w:p>
    <w:p w14:paraId="598F282F" w14:textId="50B8CCEC" w:rsidR="00FB2F88" w:rsidRDefault="00FB2F88" w:rsidP="00FB2F88">
      <w:pPr>
        <w:rPr>
          <w:iCs/>
        </w:rPr>
      </w:pPr>
      <w:r>
        <w:rPr>
          <w:rFonts w:hint="eastAsia"/>
          <w:iCs/>
        </w:rPr>
        <w:lastRenderedPageBreak/>
        <w:t>【例題1</w:t>
      </w:r>
      <w:r>
        <w:rPr>
          <w:iCs/>
        </w:rPr>
        <w:t>-</w:t>
      </w:r>
      <w:r>
        <w:rPr>
          <w:iCs/>
        </w:rPr>
        <w:t>3</w:t>
      </w:r>
      <w:r>
        <w:rPr>
          <w:rFonts w:hint="eastAsia"/>
          <w:iCs/>
        </w:rPr>
        <w:t>】</w:t>
      </w:r>
    </w:p>
    <w:tbl>
      <w:tblPr>
        <w:tblStyle w:val="ac"/>
        <w:tblW w:w="0" w:type="auto"/>
        <w:tblLook w:val="04A0" w:firstRow="1" w:lastRow="0" w:firstColumn="1" w:lastColumn="0" w:noHBand="0" w:noVBand="1"/>
      </w:tblPr>
      <w:tblGrid>
        <w:gridCol w:w="10456"/>
      </w:tblGrid>
      <w:tr w:rsidR="00FB2F88" w14:paraId="3EB7641D" w14:textId="77777777" w:rsidTr="00171B45">
        <w:tc>
          <w:tcPr>
            <w:tcW w:w="10456" w:type="dxa"/>
            <w:tcBorders>
              <w:top w:val="nil"/>
              <w:left w:val="nil"/>
              <w:bottom w:val="nil"/>
              <w:right w:val="nil"/>
            </w:tcBorders>
          </w:tcPr>
          <w:p w14:paraId="640569C4" w14:textId="28B1CDC3" w:rsidR="00FB2F88" w:rsidRDefault="00C809FE" w:rsidP="00171B45">
            <w:pPr>
              <w:rPr>
                <w:rFonts w:hint="eastAsia"/>
                <w:iCs/>
              </w:rPr>
            </w:pPr>
            <w:r>
              <w:rPr>
                <w:rFonts w:hint="eastAsia"/>
                <w:iCs/>
              </w:rPr>
              <w:t>デリバティブ取引にヘッジ会計が適用される場合，ヘッジ手段に評価差額に対する損益の認識について</w:t>
            </w:r>
            <w:r w:rsidR="007B532B">
              <w:rPr>
                <w:rFonts w:hint="eastAsia"/>
                <w:iCs/>
              </w:rPr>
              <w:t>，繰越ヘッジと時価ヘッジを比較して説明しなさい．</w:t>
            </w:r>
          </w:p>
        </w:tc>
      </w:tr>
    </w:tbl>
    <w:p w14:paraId="1C887332" w14:textId="77777777" w:rsidR="00FB2F88" w:rsidRDefault="00FB2F88" w:rsidP="00FB2F88">
      <w:pPr>
        <w:rPr>
          <w:iCs/>
        </w:rPr>
      </w:pPr>
      <w:r>
        <w:rPr>
          <w:rFonts w:hint="eastAsia"/>
          <w:iCs/>
        </w:rPr>
        <w:t>≪解答・解説≫</w:t>
      </w:r>
    </w:p>
    <w:tbl>
      <w:tblPr>
        <w:tblStyle w:val="ac"/>
        <w:tblW w:w="0" w:type="auto"/>
        <w:tblLook w:val="04A0" w:firstRow="1" w:lastRow="0" w:firstColumn="1" w:lastColumn="0" w:noHBand="0" w:noVBand="1"/>
      </w:tblPr>
      <w:tblGrid>
        <w:gridCol w:w="426"/>
        <w:gridCol w:w="10030"/>
      </w:tblGrid>
      <w:tr w:rsidR="00FB2F88" w14:paraId="3503449C" w14:textId="77777777" w:rsidTr="00171B45">
        <w:tc>
          <w:tcPr>
            <w:tcW w:w="426" w:type="dxa"/>
            <w:tcBorders>
              <w:top w:val="nil"/>
              <w:left w:val="nil"/>
              <w:bottom w:val="nil"/>
              <w:right w:val="nil"/>
            </w:tcBorders>
          </w:tcPr>
          <w:p w14:paraId="39B803A8" w14:textId="77777777" w:rsidR="00FB2F88" w:rsidRDefault="00FB2F88" w:rsidP="00171B45">
            <w:pPr>
              <w:rPr>
                <w:rFonts w:hint="eastAsia"/>
                <w:iCs/>
              </w:rPr>
            </w:pPr>
          </w:p>
        </w:tc>
        <w:tc>
          <w:tcPr>
            <w:tcW w:w="10030" w:type="dxa"/>
            <w:tcBorders>
              <w:top w:val="nil"/>
              <w:left w:val="nil"/>
              <w:bottom w:val="nil"/>
              <w:right w:val="nil"/>
            </w:tcBorders>
          </w:tcPr>
          <w:p w14:paraId="1CE74262" w14:textId="25A14103" w:rsidR="003B22EB" w:rsidRDefault="003B22EB" w:rsidP="00171B45">
            <w:pPr>
              <w:rPr>
                <w:iCs/>
              </w:rPr>
            </w:pPr>
            <w:r>
              <w:rPr>
                <w:rFonts w:hint="eastAsia"/>
                <w:iCs/>
              </w:rPr>
              <w:t>〈</w:t>
            </w:r>
            <w:r>
              <w:rPr>
                <w:rFonts w:hint="eastAsia"/>
                <w:iCs/>
              </w:rPr>
              <w:t>繰延ヘッジを適用する場合</w:t>
            </w:r>
            <w:r>
              <w:rPr>
                <w:rFonts w:hint="eastAsia"/>
                <w:iCs/>
              </w:rPr>
              <w:t>〉</w:t>
            </w:r>
          </w:p>
          <w:p w14:paraId="1A19F83A" w14:textId="09BDCEF5" w:rsidR="00FB2F88" w:rsidRDefault="003037BA" w:rsidP="00171B45">
            <w:pPr>
              <w:rPr>
                <w:iCs/>
              </w:rPr>
            </w:pPr>
            <w:r>
              <w:rPr>
                <w:rFonts w:hint="eastAsia"/>
                <w:iCs/>
              </w:rPr>
              <w:t>ヘッジ手段に係る評価差額は</w:t>
            </w:r>
            <w:r w:rsidR="0012040E">
              <w:rPr>
                <w:rFonts w:hint="eastAsia"/>
                <w:iCs/>
              </w:rPr>
              <w:t>，当期の損益に含まれず，</w:t>
            </w:r>
            <w:r w:rsidR="0012040E" w:rsidRPr="00DF6612">
              <w:rPr>
                <w:rFonts w:hint="eastAsia"/>
                <w:iCs/>
                <w:color w:val="FF0000"/>
              </w:rPr>
              <w:t>ヘッジ対象に係る損益が認識されるまで</w:t>
            </w:r>
            <w:r w:rsidR="003B22EB" w:rsidRPr="00DF6612">
              <w:rPr>
                <w:rFonts w:hint="eastAsia"/>
                <w:iCs/>
                <w:color w:val="FF0000"/>
              </w:rPr>
              <w:t>繰延ヘッジ損益として繰り延べられる</w:t>
            </w:r>
            <w:r w:rsidR="003B22EB">
              <w:rPr>
                <w:rFonts w:hint="eastAsia"/>
                <w:iCs/>
              </w:rPr>
              <w:t>．</w:t>
            </w:r>
            <w:r w:rsidR="00DF6612">
              <w:rPr>
                <w:rFonts w:hint="eastAsia"/>
                <w:iCs/>
              </w:rPr>
              <w:t>すなわち，</w:t>
            </w:r>
            <w:r w:rsidR="005646EB">
              <w:rPr>
                <w:rFonts w:hint="eastAsia"/>
                <w:iCs/>
              </w:rPr>
              <w:t>ヘッジ手段の評価差額は当期の損益には影響を与えず，</w:t>
            </w:r>
            <w:r w:rsidR="005646EB" w:rsidRPr="005646EB">
              <w:rPr>
                <w:rFonts w:hint="eastAsia"/>
                <w:iCs/>
                <w:color w:val="FF0000"/>
              </w:rPr>
              <w:t>繰越ヘッジとして貸借対照表の純資産の部に計上</w:t>
            </w:r>
            <w:r w:rsidR="005646EB">
              <w:rPr>
                <w:rFonts w:hint="eastAsia"/>
                <w:iCs/>
              </w:rPr>
              <w:t>される．</w:t>
            </w:r>
          </w:p>
          <w:p w14:paraId="10A85248" w14:textId="77777777" w:rsidR="00CF7495" w:rsidRDefault="00CF7495" w:rsidP="00171B45">
            <w:pPr>
              <w:rPr>
                <w:iCs/>
              </w:rPr>
            </w:pPr>
            <w:r>
              <w:rPr>
                <w:rFonts w:hint="eastAsia"/>
                <w:iCs/>
              </w:rPr>
              <w:t>〈</w:t>
            </w:r>
            <w:r>
              <w:rPr>
                <w:rFonts w:hint="eastAsia"/>
                <w:iCs/>
              </w:rPr>
              <w:t>時価</w:t>
            </w:r>
            <w:r>
              <w:rPr>
                <w:rFonts w:hint="eastAsia"/>
                <w:iCs/>
              </w:rPr>
              <w:t>ヘッジを適用する場合〉</w:t>
            </w:r>
          </w:p>
          <w:p w14:paraId="02A2A792" w14:textId="710C6D25" w:rsidR="00CF7495" w:rsidRDefault="001E1A9A" w:rsidP="00171B45">
            <w:pPr>
              <w:rPr>
                <w:rFonts w:hint="eastAsia"/>
                <w:iCs/>
              </w:rPr>
            </w:pPr>
            <w:r>
              <w:rPr>
                <w:rFonts w:hint="eastAsia"/>
                <w:iCs/>
              </w:rPr>
              <w:t>ヘッジ手段の評価差額は原則，</w:t>
            </w:r>
            <w:r w:rsidRPr="001E1A9A">
              <w:rPr>
                <w:rFonts w:hint="eastAsia"/>
                <w:iCs/>
                <w:color w:val="FF0000"/>
              </w:rPr>
              <w:t>当期の営業外損益として損益計算書に計上</w:t>
            </w:r>
            <w:r>
              <w:rPr>
                <w:rFonts w:hint="eastAsia"/>
                <w:iCs/>
              </w:rPr>
              <w:t>される．</w:t>
            </w:r>
          </w:p>
        </w:tc>
      </w:tr>
    </w:tbl>
    <w:p w14:paraId="596BF3D5" w14:textId="77777777" w:rsidR="00FB2F88" w:rsidRDefault="00FB2F88" w:rsidP="00FB2F88">
      <w:pPr>
        <w:rPr>
          <w:iCs/>
        </w:rPr>
      </w:pPr>
    </w:p>
    <w:p w14:paraId="06C1D01C" w14:textId="0D75AC7E" w:rsidR="00814ADD" w:rsidRDefault="00814ADD" w:rsidP="00814ADD">
      <w:pPr>
        <w:rPr>
          <w:iCs/>
        </w:rPr>
      </w:pPr>
      <w:r>
        <w:rPr>
          <w:rFonts w:hint="eastAsia"/>
          <w:iCs/>
        </w:rPr>
        <w:t>【例題1</w:t>
      </w:r>
      <w:r>
        <w:rPr>
          <w:iCs/>
        </w:rPr>
        <w:t>-</w:t>
      </w:r>
      <w:r>
        <w:rPr>
          <w:iCs/>
        </w:rPr>
        <w:t>4</w:t>
      </w:r>
      <w:r>
        <w:rPr>
          <w:rFonts w:hint="eastAsia"/>
          <w:iCs/>
        </w:rPr>
        <w:t>】</w:t>
      </w:r>
    </w:p>
    <w:tbl>
      <w:tblPr>
        <w:tblStyle w:val="ac"/>
        <w:tblW w:w="0" w:type="auto"/>
        <w:tblLook w:val="04A0" w:firstRow="1" w:lastRow="0" w:firstColumn="1" w:lastColumn="0" w:noHBand="0" w:noVBand="1"/>
      </w:tblPr>
      <w:tblGrid>
        <w:gridCol w:w="10456"/>
      </w:tblGrid>
      <w:tr w:rsidR="00814ADD" w14:paraId="09397981" w14:textId="77777777" w:rsidTr="00171B45">
        <w:tc>
          <w:tcPr>
            <w:tcW w:w="10456" w:type="dxa"/>
            <w:tcBorders>
              <w:top w:val="nil"/>
              <w:left w:val="nil"/>
              <w:bottom w:val="nil"/>
              <w:right w:val="nil"/>
            </w:tcBorders>
          </w:tcPr>
          <w:p w14:paraId="54598468" w14:textId="49BA2DD8" w:rsidR="00814ADD" w:rsidRDefault="00814ADD" w:rsidP="00171B45">
            <w:pPr>
              <w:rPr>
                <w:rFonts w:hint="eastAsia"/>
                <w:iCs/>
              </w:rPr>
            </w:pPr>
            <w:r>
              <w:rPr>
                <w:rFonts w:hint="eastAsia"/>
                <w:iCs/>
              </w:rPr>
              <w:t>金利スワップの想定元本</w:t>
            </w:r>
            <w:r w:rsidR="00F475B8">
              <w:rPr>
                <w:rFonts w:hint="eastAsia"/>
                <w:iCs/>
              </w:rPr>
              <w:t>，利息の受払条件（利率，利息の受払日等）及び</w:t>
            </w:r>
            <w:r w:rsidR="005472D7">
              <w:rPr>
                <w:rFonts w:hint="eastAsia"/>
                <w:iCs/>
              </w:rPr>
              <w:t>契約期間が，金利変換の対象となる資産または負債とほぼ同一</w:t>
            </w:r>
            <w:r w:rsidR="003A7EC5">
              <w:rPr>
                <w:rFonts w:hint="eastAsia"/>
                <w:iCs/>
              </w:rPr>
              <w:t>である場合，金利スワップの特例処理を行った時と行わないときの相違について説明しなさい</w:t>
            </w:r>
            <w:r>
              <w:rPr>
                <w:rFonts w:hint="eastAsia"/>
                <w:iCs/>
              </w:rPr>
              <w:t>．</w:t>
            </w:r>
          </w:p>
        </w:tc>
      </w:tr>
    </w:tbl>
    <w:p w14:paraId="7CF6F6AB" w14:textId="77777777" w:rsidR="00814ADD" w:rsidRDefault="00814ADD" w:rsidP="00814ADD">
      <w:pPr>
        <w:rPr>
          <w:iCs/>
        </w:rPr>
      </w:pPr>
      <w:r>
        <w:rPr>
          <w:rFonts w:hint="eastAsia"/>
          <w:iCs/>
        </w:rPr>
        <w:t>≪解答・解説≫</w:t>
      </w:r>
    </w:p>
    <w:tbl>
      <w:tblPr>
        <w:tblStyle w:val="ac"/>
        <w:tblW w:w="0" w:type="auto"/>
        <w:tblLook w:val="04A0" w:firstRow="1" w:lastRow="0" w:firstColumn="1" w:lastColumn="0" w:noHBand="0" w:noVBand="1"/>
      </w:tblPr>
      <w:tblGrid>
        <w:gridCol w:w="426"/>
        <w:gridCol w:w="10030"/>
      </w:tblGrid>
      <w:tr w:rsidR="00814ADD" w14:paraId="3C685F3C" w14:textId="77777777" w:rsidTr="00171B45">
        <w:tc>
          <w:tcPr>
            <w:tcW w:w="426" w:type="dxa"/>
            <w:tcBorders>
              <w:top w:val="nil"/>
              <w:left w:val="nil"/>
              <w:bottom w:val="nil"/>
              <w:right w:val="nil"/>
            </w:tcBorders>
          </w:tcPr>
          <w:p w14:paraId="2961EFCA" w14:textId="77777777" w:rsidR="00814ADD" w:rsidRDefault="00814ADD" w:rsidP="00171B45">
            <w:pPr>
              <w:rPr>
                <w:rFonts w:hint="eastAsia"/>
                <w:iCs/>
              </w:rPr>
            </w:pPr>
          </w:p>
        </w:tc>
        <w:tc>
          <w:tcPr>
            <w:tcW w:w="10030" w:type="dxa"/>
            <w:tcBorders>
              <w:top w:val="nil"/>
              <w:left w:val="nil"/>
              <w:bottom w:val="nil"/>
              <w:right w:val="nil"/>
            </w:tcBorders>
          </w:tcPr>
          <w:p w14:paraId="2D38E0FD" w14:textId="7B07F7F3" w:rsidR="00814ADD" w:rsidRDefault="00814ADD" w:rsidP="00171B45">
            <w:pPr>
              <w:rPr>
                <w:iCs/>
              </w:rPr>
            </w:pPr>
            <w:r>
              <w:rPr>
                <w:rFonts w:hint="eastAsia"/>
                <w:iCs/>
              </w:rPr>
              <w:t>〈</w:t>
            </w:r>
            <w:r w:rsidR="00EB3E4C">
              <w:rPr>
                <w:rFonts w:hint="eastAsia"/>
                <w:iCs/>
              </w:rPr>
              <w:t>金利スワップの特例処理を行った</w:t>
            </w:r>
            <w:r>
              <w:rPr>
                <w:rFonts w:hint="eastAsia"/>
                <w:iCs/>
              </w:rPr>
              <w:t>場合〉</w:t>
            </w:r>
          </w:p>
          <w:p w14:paraId="7A1C241F" w14:textId="0C6314FB" w:rsidR="00814ADD" w:rsidRDefault="0024053F" w:rsidP="00171B45">
            <w:pPr>
              <w:rPr>
                <w:iCs/>
              </w:rPr>
            </w:pPr>
            <w:r w:rsidRPr="00C1066F">
              <w:rPr>
                <w:rFonts w:hint="eastAsia"/>
                <w:iCs/>
              </w:rPr>
              <w:t>金利変換の対象となる</w:t>
            </w:r>
            <w:r w:rsidR="00295F85" w:rsidRPr="00C1066F">
              <w:rPr>
                <w:rFonts w:hint="eastAsia"/>
                <w:iCs/>
              </w:rPr>
              <w:t>「</w:t>
            </w:r>
            <w:r w:rsidRPr="00C1066F">
              <w:rPr>
                <w:rFonts w:hint="eastAsia"/>
                <w:iCs/>
              </w:rPr>
              <w:t>資産または負債</w:t>
            </w:r>
            <w:r w:rsidR="00295F85" w:rsidRPr="00C1066F">
              <w:rPr>
                <w:rFonts w:hint="eastAsia"/>
                <w:iCs/>
              </w:rPr>
              <w:t>」</w:t>
            </w:r>
            <w:r w:rsidRPr="00C1066F">
              <w:rPr>
                <w:rFonts w:hint="eastAsia"/>
                <w:iCs/>
              </w:rPr>
              <w:t>と</w:t>
            </w:r>
            <w:r w:rsidR="00295F85" w:rsidRPr="00C1066F">
              <w:rPr>
                <w:rFonts w:hint="eastAsia"/>
                <w:iCs/>
              </w:rPr>
              <w:t>「</w:t>
            </w:r>
            <w:r w:rsidRPr="00C1066F">
              <w:rPr>
                <w:rFonts w:hint="eastAsia"/>
                <w:iCs/>
              </w:rPr>
              <w:t>金利スワップ</w:t>
            </w:r>
            <w:r w:rsidR="00295F85" w:rsidRPr="00C1066F">
              <w:rPr>
                <w:rFonts w:hint="eastAsia"/>
                <w:iCs/>
              </w:rPr>
              <w:t>」</w:t>
            </w:r>
            <w:r w:rsidRPr="00C1066F">
              <w:rPr>
                <w:rFonts w:hint="eastAsia"/>
                <w:iCs/>
              </w:rPr>
              <w:t>が</w:t>
            </w:r>
            <w:r w:rsidRPr="00295F85">
              <w:rPr>
                <w:rFonts w:hint="eastAsia"/>
                <w:iCs/>
                <w:color w:val="FF0000"/>
              </w:rPr>
              <w:t>一体処理</w:t>
            </w:r>
            <w:r>
              <w:rPr>
                <w:rFonts w:hint="eastAsia"/>
                <w:iCs/>
              </w:rPr>
              <w:t>されるため，</w:t>
            </w:r>
            <w:r w:rsidR="00A03F96">
              <w:rPr>
                <w:rFonts w:hint="eastAsia"/>
                <w:iCs/>
              </w:rPr>
              <w:t>スワップ後の支払利息（または</w:t>
            </w:r>
            <w:r w:rsidR="001302C1">
              <w:rPr>
                <w:rFonts w:hint="eastAsia"/>
                <w:iCs/>
              </w:rPr>
              <w:t>受取利息</w:t>
            </w:r>
            <w:r w:rsidR="00A03F96">
              <w:rPr>
                <w:rFonts w:hint="eastAsia"/>
                <w:iCs/>
              </w:rPr>
              <w:t>）</w:t>
            </w:r>
            <w:r w:rsidR="001302C1">
              <w:rPr>
                <w:rFonts w:hint="eastAsia"/>
                <w:iCs/>
              </w:rPr>
              <w:t>として処理される</w:t>
            </w:r>
            <w:r w:rsidR="00814ADD">
              <w:rPr>
                <w:rFonts w:hint="eastAsia"/>
                <w:iCs/>
              </w:rPr>
              <w:t>．</w:t>
            </w:r>
            <w:r w:rsidR="001302C1">
              <w:rPr>
                <w:rFonts w:hint="eastAsia"/>
                <w:iCs/>
              </w:rPr>
              <w:t>したがって，</w:t>
            </w:r>
            <w:r w:rsidR="00DD539A" w:rsidRPr="0035428B">
              <w:rPr>
                <w:rFonts w:hint="eastAsia"/>
                <w:iCs/>
                <w:color w:val="FF0000"/>
              </w:rPr>
              <w:t>金利スワップの時価評価に伴う損益への影響は発生しない</w:t>
            </w:r>
            <w:r w:rsidR="00DD539A">
              <w:rPr>
                <w:rFonts w:hint="eastAsia"/>
                <w:iCs/>
              </w:rPr>
              <w:t>．</w:t>
            </w:r>
          </w:p>
          <w:p w14:paraId="24A2ADC7" w14:textId="0EF02789" w:rsidR="00814ADD" w:rsidRDefault="00814ADD" w:rsidP="00171B45">
            <w:pPr>
              <w:rPr>
                <w:iCs/>
              </w:rPr>
            </w:pPr>
            <w:r>
              <w:rPr>
                <w:rFonts w:hint="eastAsia"/>
                <w:iCs/>
              </w:rPr>
              <w:t>〈</w:t>
            </w:r>
            <w:r w:rsidR="00EB3E4C">
              <w:rPr>
                <w:rFonts w:hint="eastAsia"/>
                <w:iCs/>
              </w:rPr>
              <w:t>金利スワップの特例処理を行</w:t>
            </w:r>
            <w:r w:rsidR="00EB3E4C">
              <w:rPr>
                <w:rFonts w:hint="eastAsia"/>
                <w:iCs/>
              </w:rPr>
              <w:t>わない</w:t>
            </w:r>
            <w:r>
              <w:rPr>
                <w:rFonts w:hint="eastAsia"/>
                <w:iCs/>
              </w:rPr>
              <w:t>場合〉</w:t>
            </w:r>
          </w:p>
          <w:p w14:paraId="0FF17028" w14:textId="2022ECAD" w:rsidR="00814ADD" w:rsidRDefault="00811A3B" w:rsidP="00171B45">
            <w:pPr>
              <w:rPr>
                <w:rFonts w:hint="eastAsia"/>
                <w:iCs/>
              </w:rPr>
            </w:pPr>
            <w:r>
              <w:rPr>
                <w:rFonts w:hint="eastAsia"/>
                <w:iCs/>
              </w:rPr>
              <w:t>金利変換</w:t>
            </w:r>
            <w:r w:rsidR="00C1066F">
              <w:rPr>
                <w:rFonts w:hint="eastAsia"/>
                <w:iCs/>
              </w:rPr>
              <w:t>の対象となる「資産または負債」と「金利スワップ」が</w:t>
            </w:r>
            <w:r w:rsidR="002E34CC" w:rsidRPr="002E34CC">
              <w:rPr>
                <w:rFonts w:hint="eastAsia"/>
                <w:iCs/>
                <w:color w:val="FF0000"/>
              </w:rPr>
              <w:t>それぞれ処理</w:t>
            </w:r>
            <w:r w:rsidR="002E34CC">
              <w:rPr>
                <w:rFonts w:hint="eastAsia"/>
                <w:iCs/>
              </w:rPr>
              <w:t>されるため，</w:t>
            </w:r>
            <w:r w:rsidR="00C5035F">
              <w:rPr>
                <w:rFonts w:hint="eastAsia"/>
                <w:iCs/>
              </w:rPr>
              <w:t>スワップ前と支払利息（または受取利息）</w:t>
            </w:r>
            <w:r w:rsidR="008A6BCC">
              <w:rPr>
                <w:rFonts w:hint="eastAsia"/>
                <w:iCs/>
              </w:rPr>
              <w:t>がそれぞれ処理される．</w:t>
            </w:r>
            <w:r w:rsidR="00FB5E8E">
              <w:rPr>
                <w:rFonts w:hint="eastAsia"/>
                <w:iCs/>
              </w:rPr>
              <w:t>また，</w:t>
            </w:r>
            <w:r w:rsidR="00FB5E8E" w:rsidRPr="00FB5E8E">
              <w:rPr>
                <w:rFonts w:hint="eastAsia"/>
                <w:iCs/>
                <w:color w:val="FF0000"/>
              </w:rPr>
              <w:t>金利スワップの時価評価に伴う損益も計上される</w:t>
            </w:r>
            <w:r w:rsidR="00FB5E8E">
              <w:rPr>
                <w:rFonts w:hint="eastAsia"/>
                <w:iCs/>
              </w:rPr>
              <w:t>．</w:t>
            </w:r>
          </w:p>
        </w:tc>
      </w:tr>
    </w:tbl>
    <w:p w14:paraId="1D761716" w14:textId="3CCEF585" w:rsidR="00052D0A" w:rsidRDefault="00052D0A" w:rsidP="00FB2F88">
      <w:pPr>
        <w:rPr>
          <w:iCs/>
        </w:rPr>
      </w:pPr>
    </w:p>
    <w:p w14:paraId="6AADBE10" w14:textId="77777777" w:rsidR="00052D0A" w:rsidRDefault="00052D0A">
      <w:pPr>
        <w:widowControl/>
        <w:jc w:val="left"/>
        <w:rPr>
          <w:iCs/>
        </w:rPr>
      </w:pPr>
      <w:r>
        <w:rPr>
          <w:iCs/>
        </w:rPr>
        <w:br w:type="page"/>
      </w:r>
    </w:p>
    <w:p w14:paraId="696032DE" w14:textId="652D7619" w:rsidR="00FB2F88" w:rsidRPr="00814ADD" w:rsidRDefault="00CE7308" w:rsidP="00CE7308">
      <w:pPr>
        <w:pStyle w:val="3"/>
      </w:pPr>
      <w:r>
        <w:rPr>
          <w:rFonts w:hint="eastAsia"/>
        </w:rPr>
        <w:lastRenderedPageBreak/>
        <w:t>練習問題</w:t>
      </w:r>
    </w:p>
    <w:p w14:paraId="64BEB2C1" w14:textId="46CE9DA8" w:rsidR="0017618C" w:rsidRPr="00312E5D" w:rsidRDefault="0017618C" w:rsidP="0017618C">
      <w:pPr>
        <w:rPr>
          <w:rFonts w:hint="eastAsia"/>
        </w:rPr>
      </w:pPr>
      <w:r>
        <w:rPr>
          <w:rFonts w:hint="eastAsia"/>
          <w:iCs/>
        </w:rPr>
        <w:t>【</w:t>
      </w:r>
      <w:r>
        <w:rPr>
          <w:rFonts w:hint="eastAsia"/>
          <w:iCs/>
        </w:rPr>
        <w:t>問</w:t>
      </w:r>
      <w:r>
        <w:rPr>
          <w:iCs/>
        </w:rPr>
        <w:t>1</w:t>
      </w:r>
      <w:r>
        <w:rPr>
          <w:rFonts w:hint="eastAsia"/>
          <w:iCs/>
        </w:rPr>
        <w:t>】</w:t>
      </w:r>
    </w:p>
    <w:tbl>
      <w:tblPr>
        <w:tblStyle w:val="ac"/>
        <w:tblW w:w="0" w:type="auto"/>
        <w:tblLook w:val="04A0" w:firstRow="1" w:lastRow="0" w:firstColumn="1" w:lastColumn="0" w:noHBand="0" w:noVBand="1"/>
      </w:tblPr>
      <w:tblGrid>
        <w:gridCol w:w="511"/>
        <w:gridCol w:w="9955"/>
      </w:tblGrid>
      <w:tr w:rsidR="0017618C" w14:paraId="5DF372FC" w14:textId="77777777" w:rsidTr="00171B45">
        <w:tc>
          <w:tcPr>
            <w:tcW w:w="10466" w:type="dxa"/>
            <w:gridSpan w:val="2"/>
            <w:tcBorders>
              <w:top w:val="nil"/>
              <w:left w:val="nil"/>
              <w:bottom w:val="nil"/>
              <w:right w:val="nil"/>
            </w:tcBorders>
          </w:tcPr>
          <w:p w14:paraId="02DC714E" w14:textId="75937DB9" w:rsidR="0017618C" w:rsidRDefault="0017618C" w:rsidP="00171B45">
            <w:pPr>
              <w:rPr>
                <w:rFonts w:hint="eastAsia"/>
                <w:iCs/>
              </w:rPr>
            </w:pPr>
            <w:r>
              <w:rPr>
                <w:rFonts w:hint="eastAsia"/>
                <w:iCs/>
              </w:rPr>
              <w:t>デリバティブ</w:t>
            </w:r>
            <w:r w:rsidR="00D84F8E">
              <w:rPr>
                <w:rFonts w:hint="eastAsia"/>
                <w:iCs/>
              </w:rPr>
              <w:t>取引</w:t>
            </w:r>
            <w:r>
              <w:rPr>
                <w:rFonts w:hint="eastAsia"/>
                <w:iCs/>
              </w:rPr>
              <w:t>に関する次の問いに答えなさい．</w:t>
            </w:r>
          </w:p>
        </w:tc>
      </w:tr>
      <w:tr w:rsidR="0017618C" w14:paraId="7A987DD6" w14:textId="77777777" w:rsidTr="00171B45">
        <w:tc>
          <w:tcPr>
            <w:tcW w:w="511" w:type="dxa"/>
            <w:tcBorders>
              <w:top w:val="nil"/>
              <w:left w:val="nil"/>
              <w:bottom w:val="nil"/>
              <w:right w:val="nil"/>
            </w:tcBorders>
          </w:tcPr>
          <w:p w14:paraId="5F8F097C" w14:textId="77777777" w:rsidR="0017618C" w:rsidRDefault="0017618C" w:rsidP="00171B45">
            <w:pPr>
              <w:rPr>
                <w:iCs/>
              </w:rPr>
            </w:pPr>
            <w:r>
              <w:rPr>
                <w:rFonts w:hint="eastAsia"/>
                <w:iCs/>
              </w:rPr>
              <w:t>(</w:t>
            </w:r>
            <w:r>
              <w:rPr>
                <w:iCs/>
              </w:rPr>
              <w:t>1)</w:t>
            </w:r>
          </w:p>
        </w:tc>
        <w:tc>
          <w:tcPr>
            <w:tcW w:w="9955" w:type="dxa"/>
            <w:tcBorders>
              <w:top w:val="nil"/>
              <w:left w:val="nil"/>
              <w:bottom w:val="nil"/>
              <w:right w:val="nil"/>
            </w:tcBorders>
          </w:tcPr>
          <w:p w14:paraId="0D6BC606" w14:textId="61ACF3D8" w:rsidR="0017618C" w:rsidRDefault="0017618C" w:rsidP="00171B45">
            <w:pPr>
              <w:rPr>
                <w:rFonts w:hint="eastAsia"/>
                <w:iCs/>
              </w:rPr>
            </w:pPr>
            <w:r>
              <w:rPr>
                <w:rFonts w:hint="eastAsia"/>
                <w:iCs/>
              </w:rPr>
              <w:t>デリバティブ取引を契約した場合の損益への影響について説明しなさい．</w:t>
            </w:r>
          </w:p>
        </w:tc>
      </w:tr>
      <w:tr w:rsidR="0017618C" w14:paraId="6490F730" w14:textId="77777777" w:rsidTr="00171B45">
        <w:tc>
          <w:tcPr>
            <w:tcW w:w="511" w:type="dxa"/>
            <w:tcBorders>
              <w:top w:val="nil"/>
              <w:left w:val="nil"/>
              <w:bottom w:val="nil"/>
              <w:right w:val="nil"/>
            </w:tcBorders>
          </w:tcPr>
          <w:p w14:paraId="47207AA5" w14:textId="77777777" w:rsidR="0017618C" w:rsidRDefault="0017618C" w:rsidP="00171B45">
            <w:pPr>
              <w:rPr>
                <w:iCs/>
              </w:rPr>
            </w:pPr>
            <w:r>
              <w:rPr>
                <w:rFonts w:hint="eastAsia"/>
                <w:iCs/>
              </w:rPr>
              <w:t>(</w:t>
            </w:r>
            <w:r>
              <w:rPr>
                <w:iCs/>
              </w:rPr>
              <w:t>2)</w:t>
            </w:r>
          </w:p>
        </w:tc>
        <w:tc>
          <w:tcPr>
            <w:tcW w:w="9955" w:type="dxa"/>
            <w:tcBorders>
              <w:top w:val="nil"/>
              <w:left w:val="nil"/>
              <w:bottom w:val="nil"/>
              <w:right w:val="nil"/>
            </w:tcBorders>
          </w:tcPr>
          <w:p w14:paraId="440DE82E" w14:textId="3AE949E4" w:rsidR="001A7729" w:rsidRDefault="0017618C" w:rsidP="00171B45">
            <w:pPr>
              <w:rPr>
                <w:rFonts w:hint="eastAsia"/>
                <w:iCs/>
              </w:rPr>
            </w:pPr>
            <w:r>
              <w:rPr>
                <w:rFonts w:hint="eastAsia"/>
                <w:iCs/>
              </w:rPr>
              <w:t>先物契約における委託証拠金とコールオプションの購入契約におけるオプション料について，会計上の</w:t>
            </w:r>
            <w:r w:rsidR="001A7729">
              <w:rPr>
                <w:rFonts w:hint="eastAsia"/>
                <w:iCs/>
              </w:rPr>
              <w:t>損益への影響に関する際を説明しなさい．</w:t>
            </w:r>
          </w:p>
        </w:tc>
      </w:tr>
      <w:tr w:rsidR="0017618C" w14:paraId="783B4AC9" w14:textId="77777777" w:rsidTr="00171B45">
        <w:tc>
          <w:tcPr>
            <w:tcW w:w="511" w:type="dxa"/>
            <w:tcBorders>
              <w:top w:val="nil"/>
              <w:left w:val="nil"/>
              <w:bottom w:val="nil"/>
              <w:right w:val="nil"/>
            </w:tcBorders>
          </w:tcPr>
          <w:p w14:paraId="2867DB68" w14:textId="77777777" w:rsidR="0017618C" w:rsidRDefault="0017618C" w:rsidP="00171B45">
            <w:pPr>
              <w:rPr>
                <w:iCs/>
              </w:rPr>
            </w:pPr>
            <w:r>
              <w:rPr>
                <w:rFonts w:hint="eastAsia"/>
                <w:iCs/>
              </w:rPr>
              <w:t>(</w:t>
            </w:r>
            <w:r>
              <w:rPr>
                <w:iCs/>
              </w:rPr>
              <w:t>3)</w:t>
            </w:r>
          </w:p>
        </w:tc>
        <w:tc>
          <w:tcPr>
            <w:tcW w:w="9955" w:type="dxa"/>
            <w:tcBorders>
              <w:top w:val="nil"/>
              <w:left w:val="nil"/>
              <w:bottom w:val="nil"/>
              <w:right w:val="nil"/>
            </w:tcBorders>
          </w:tcPr>
          <w:p w14:paraId="3358FEFF" w14:textId="7D8F722B" w:rsidR="001A7729" w:rsidRDefault="001A7729" w:rsidP="00171B45">
            <w:pPr>
              <w:rPr>
                <w:rFonts w:hint="eastAsia"/>
                <w:iCs/>
              </w:rPr>
            </w:pPr>
            <w:r>
              <w:rPr>
                <w:rFonts w:hint="eastAsia"/>
                <w:iCs/>
              </w:rPr>
              <w:t>コールオプションの購入契約を締結し，満期時にコールオプション</w:t>
            </w:r>
            <w:r w:rsidR="007A25EC">
              <w:rPr>
                <w:rFonts w:hint="eastAsia"/>
                <w:iCs/>
              </w:rPr>
              <w:t>を行使しなかった場合の損益への影響について説明しなさい．</w:t>
            </w:r>
          </w:p>
        </w:tc>
      </w:tr>
    </w:tbl>
    <w:p w14:paraId="775A9484" w14:textId="77777777" w:rsidR="0017618C" w:rsidRPr="0041064A" w:rsidRDefault="0017618C" w:rsidP="0017618C">
      <w:pPr>
        <w:rPr>
          <w:iCs/>
        </w:rPr>
      </w:pPr>
      <w:r>
        <w:rPr>
          <w:rFonts w:hint="eastAsia"/>
          <w:iCs/>
        </w:rPr>
        <w:t>≪解答・解説≫</w:t>
      </w:r>
    </w:p>
    <w:tbl>
      <w:tblPr>
        <w:tblStyle w:val="ac"/>
        <w:tblW w:w="0" w:type="auto"/>
        <w:tblLook w:val="04A0" w:firstRow="1" w:lastRow="0" w:firstColumn="1" w:lastColumn="0" w:noHBand="0" w:noVBand="1"/>
      </w:tblPr>
      <w:tblGrid>
        <w:gridCol w:w="511"/>
        <w:gridCol w:w="9955"/>
      </w:tblGrid>
      <w:tr w:rsidR="0017618C" w14:paraId="7F98CC70" w14:textId="77777777" w:rsidTr="00171B45">
        <w:tc>
          <w:tcPr>
            <w:tcW w:w="511" w:type="dxa"/>
            <w:tcBorders>
              <w:top w:val="nil"/>
              <w:left w:val="nil"/>
              <w:bottom w:val="nil"/>
              <w:right w:val="nil"/>
            </w:tcBorders>
          </w:tcPr>
          <w:p w14:paraId="690076F3" w14:textId="77777777" w:rsidR="0017618C" w:rsidRDefault="0017618C" w:rsidP="00171B45">
            <w:pPr>
              <w:rPr>
                <w:iCs/>
              </w:rPr>
            </w:pPr>
            <w:r>
              <w:rPr>
                <w:rFonts w:hint="eastAsia"/>
                <w:iCs/>
              </w:rPr>
              <w:t>(</w:t>
            </w:r>
            <w:r>
              <w:rPr>
                <w:iCs/>
              </w:rPr>
              <w:t>1)</w:t>
            </w:r>
          </w:p>
        </w:tc>
        <w:tc>
          <w:tcPr>
            <w:tcW w:w="9955" w:type="dxa"/>
            <w:tcBorders>
              <w:top w:val="nil"/>
              <w:left w:val="nil"/>
              <w:bottom w:val="nil"/>
              <w:right w:val="nil"/>
            </w:tcBorders>
          </w:tcPr>
          <w:p w14:paraId="4E8E6DA1" w14:textId="7F1EDC89" w:rsidR="00F35D32" w:rsidRDefault="00F35D32" w:rsidP="00171B45">
            <w:pPr>
              <w:rPr>
                <w:iCs/>
              </w:rPr>
            </w:pPr>
            <w:r>
              <w:rPr>
                <w:rFonts w:hint="eastAsia"/>
                <w:iCs/>
              </w:rPr>
              <w:t>デリバティブ取引</w:t>
            </w:r>
            <w:r w:rsidR="00F82AFA">
              <w:rPr>
                <w:rFonts w:hint="eastAsia"/>
                <w:iCs/>
              </w:rPr>
              <w:t>を契約した場合の会計処理は，以下のようにまとめられる．</w:t>
            </w:r>
          </w:p>
          <w:p w14:paraId="3645906C" w14:textId="77777777" w:rsidR="003D3E04" w:rsidRDefault="003D3E04" w:rsidP="003D3E04">
            <w:pPr>
              <w:pStyle w:val="a8"/>
              <w:numPr>
                <w:ilvl w:val="1"/>
                <w:numId w:val="28"/>
              </w:numPr>
              <w:ind w:leftChars="0"/>
              <w:rPr>
                <w:iCs/>
              </w:rPr>
            </w:pPr>
            <w:r>
              <w:rPr>
                <w:rFonts w:hint="eastAsia"/>
                <w:iCs/>
              </w:rPr>
              <w:t>契約締結時：損益は計上されない．</w:t>
            </w:r>
            <w:r>
              <w:rPr>
                <w:iCs/>
              </w:rPr>
              <w:br/>
            </w:r>
            <w:r w:rsidR="003E48F1">
              <w:rPr>
                <w:iCs/>
              </w:rPr>
              <w:tab/>
            </w:r>
            <w:r w:rsidR="003E48F1">
              <w:rPr>
                <w:iCs/>
              </w:rPr>
              <w:tab/>
            </w:r>
            <w:r w:rsidR="003A5AEE">
              <w:rPr>
                <w:rFonts w:hint="eastAsia"/>
                <w:iCs/>
              </w:rPr>
              <w:t xml:space="preserve">　</w:t>
            </w:r>
            <w:r w:rsidR="003E48F1">
              <w:rPr>
                <w:rFonts w:hint="eastAsia"/>
                <w:iCs/>
              </w:rPr>
              <w:t>・先物取引における委託証拠金は</w:t>
            </w:r>
            <w:r w:rsidR="003A5AEE">
              <w:rPr>
                <w:rFonts w:hint="eastAsia"/>
                <w:iCs/>
              </w:rPr>
              <w:t>，先物取引差入証拠金として資産計上される．</w:t>
            </w:r>
            <w:r w:rsidR="003A5AEE">
              <w:rPr>
                <w:iCs/>
              </w:rPr>
              <w:br/>
            </w:r>
            <w:r w:rsidR="003A5AEE">
              <w:rPr>
                <w:iCs/>
              </w:rPr>
              <w:tab/>
            </w:r>
            <w:r w:rsidR="003A5AEE">
              <w:rPr>
                <w:iCs/>
              </w:rPr>
              <w:tab/>
            </w:r>
            <w:r w:rsidR="003A5AEE">
              <w:rPr>
                <w:rFonts w:hint="eastAsia"/>
                <w:iCs/>
              </w:rPr>
              <w:t xml:space="preserve">　・</w:t>
            </w:r>
            <w:r w:rsidR="008E32F3">
              <w:rPr>
                <w:rFonts w:hint="eastAsia"/>
                <w:iCs/>
              </w:rPr>
              <w:t>オプション料については，支払時に前渡金などとして資産計上され，受取時に前渡</w:t>
            </w:r>
            <w:r w:rsidR="008E32F3">
              <w:rPr>
                <w:iCs/>
              </w:rPr>
              <w:tab/>
            </w:r>
            <w:r w:rsidR="008E32F3">
              <w:rPr>
                <w:iCs/>
              </w:rPr>
              <w:tab/>
            </w:r>
            <w:r w:rsidR="008E32F3">
              <w:rPr>
                <w:rFonts w:hint="eastAsia"/>
                <w:iCs/>
              </w:rPr>
              <w:t xml:space="preserve">　金</w:t>
            </w:r>
            <w:r w:rsidR="00C835B0">
              <w:rPr>
                <w:rFonts w:hint="eastAsia"/>
                <w:iCs/>
              </w:rPr>
              <w:t>などとして負債計上される．</w:t>
            </w:r>
          </w:p>
          <w:p w14:paraId="76954C6C" w14:textId="662B696F" w:rsidR="00C835B0" w:rsidRDefault="00C835B0" w:rsidP="003D3E04">
            <w:pPr>
              <w:pStyle w:val="a8"/>
              <w:numPr>
                <w:ilvl w:val="1"/>
                <w:numId w:val="28"/>
              </w:numPr>
              <w:ind w:leftChars="0"/>
              <w:rPr>
                <w:iCs/>
              </w:rPr>
            </w:pPr>
            <w:r>
              <w:rPr>
                <w:rFonts w:hint="eastAsia"/>
                <w:iCs/>
              </w:rPr>
              <w:t>決算時</w:t>
            </w:r>
            <w:r w:rsidR="003D0385">
              <w:rPr>
                <w:rFonts w:hint="eastAsia"/>
                <w:iCs/>
              </w:rPr>
              <w:t>：</w:t>
            </w:r>
            <w:r w:rsidR="000A0129">
              <w:rPr>
                <w:iCs/>
              </w:rPr>
              <w:br/>
            </w:r>
            <w:r w:rsidR="003D0385">
              <w:rPr>
                <w:rFonts w:hint="eastAsia"/>
                <w:iCs/>
              </w:rPr>
              <w:t>デリバティブが時価評価され，時価損益が原則として営業外収益または営業外費用として損益計上される．</w:t>
            </w:r>
          </w:p>
          <w:p w14:paraId="5BEF1F83" w14:textId="6CD13BF3" w:rsidR="009874E8" w:rsidRPr="009874E8" w:rsidRDefault="000A0129" w:rsidP="009874E8">
            <w:pPr>
              <w:pStyle w:val="a8"/>
              <w:numPr>
                <w:ilvl w:val="1"/>
                <w:numId w:val="28"/>
              </w:numPr>
              <w:ind w:leftChars="0"/>
              <w:rPr>
                <w:rFonts w:hint="eastAsia"/>
                <w:iCs/>
              </w:rPr>
            </w:pPr>
            <w:r>
              <w:rPr>
                <w:rFonts w:hint="eastAsia"/>
                <w:iCs/>
              </w:rPr>
              <w:t>決済</w:t>
            </w:r>
            <w:r>
              <w:rPr>
                <w:rFonts w:hint="eastAsia"/>
                <w:iCs/>
              </w:rPr>
              <w:t>時：</w:t>
            </w:r>
            <w:r>
              <w:rPr>
                <w:iCs/>
              </w:rPr>
              <w:br/>
            </w:r>
            <w:r>
              <w:rPr>
                <w:rFonts w:hint="eastAsia"/>
                <w:iCs/>
              </w:rPr>
              <w:t>決済時</w:t>
            </w:r>
            <w:r w:rsidR="009874E8">
              <w:rPr>
                <w:rFonts w:hint="eastAsia"/>
                <w:iCs/>
              </w:rPr>
              <w:t>に発生した損益が計上される．同時に，契約締結時の委託証拠金やオプション料についても</w:t>
            </w:r>
            <w:r w:rsidR="00A14B34">
              <w:rPr>
                <w:rFonts w:hint="eastAsia"/>
                <w:iCs/>
              </w:rPr>
              <w:t>清算される．</w:t>
            </w:r>
          </w:p>
        </w:tc>
      </w:tr>
      <w:tr w:rsidR="0017618C" w14:paraId="66155207" w14:textId="77777777" w:rsidTr="00171B45">
        <w:tc>
          <w:tcPr>
            <w:tcW w:w="511" w:type="dxa"/>
            <w:tcBorders>
              <w:top w:val="nil"/>
              <w:left w:val="nil"/>
              <w:bottom w:val="nil"/>
              <w:right w:val="nil"/>
            </w:tcBorders>
          </w:tcPr>
          <w:p w14:paraId="23E7DB73" w14:textId="77777777" w:rsidR="0017618C" w:rsidRDefault="0017618C" w:rsidP="00171B45">
            <w:pPr>
              <w:rPr>
                <w:iCs/>
              </w:rPr>
            </w:pPr>
            <w:r>
              <w:rPr>
                <w:rFonts w:hint="eastAsia"/>
                <w:iCs/>
              </w:rPr>
              <w:t>(</w:t>
            </w:r>
            <w:r>
              <w:rPr>
                <w:iCs/>
              </w:rPr>
              <w:t>2)</w:t>
            </w:r>
          </w:p>
        </w:tc>
        <w:tc>
          <w:tcPr>
            <w:tcW w:w="9955" w:type="dxa"/>
            <w:tcBorders>
              <w:top w:val="nil"/>
              <w:left w:val="nil"/>
              <w:bottom w:val="nil"/>
              <w:right w:val="nil"/>
            </w:tcBorders>
          </w:tcPr>
          <w:p w14:paraId="4266353E" w14:textId="23C99729" w:rsidR="0017618C" w:rsidRDefault="00782F8E" w:rsidP="00171B45">
            <w:pPr>
              <w:rPr>
                <w:rFonts w:hint="eastAsia"/>
                <w:iCs/>
              </w:rPr>
            </w:pPr>
            <w:r>
              <w:rPr>
                <w:rFonts w:hint="eastAsia"/>
                <w:iCs/>
              </w:rPr>
              <w:t>先物契約における委託証拠金とコールオプションの購入契約におけるオプション料について，会計上</w:t>
            </w:r>
            <w:r w:rsidR="00183C1A">
              <w:rPr>
                <w:rFonts w:hint="eastAsia"/>
                <w:iCs/>
              </w:rPr>
              <w:t>の損益への影響において差異はない．すなわち，契約時に委託証拠金またはオプション料が支払われ，決済時にも清算される．</w:t>
            </w:r>
          </w:p>
        </w:tc>
      </w:tr>
      <w:tr w:rsidR="0017618C" w14:paraId="20870A1B" w14:textId="77777777" w:rsidTr="00171B45">
        <w:tc>
          <w:tcPr>
            <w:tcW w:w="511" w:type="dxa"/>
            <w:tcBorders>
              <w:top w:val="nil"/>
              <w:left w:val="nil"/>
              <w:bottom w:val="nil"/>
              <w:right w:val="nil"/>
            </w:tcBorders>
          </w:tcPr>
          <w:p w14:paraId="5AF8D3D2" w14:textId="77777777" w:rsidR="0017618C" w:rsidRDefault="0017618C" w:rsidP="00171B45">
            <w:pPr>
              <w:rPr>
                <w:iCs/>
              </w:rPr>
            </w:pPr>
            <w:r>
              <w:rPr>
                <w:rFonts w:hint="eastAsia"/>
                <w:iCs/>
              </w:rPr>
              <w:t>(</w:t>
            </w:r>
            <w:r>
              <w:rPr>
                <w:iCs/>
              </w:rPr>
              <w:t>3)</w:t>
            </w:r>
          </w:p>
        </w:tc>
        <w:tc>
          <w:tcPr>
            <w:tcW w:w="9955" w:type="dxa"/>
            <w:tcBorders>
              <w:top w:val="nil"/>
              <w:left w:val="nil"/>
              <w:bottom w:val="nil"/>
              <w:right w:val="nil"/>
            </w:tcBorders>
          </w:tcPr>
          <w:p w14:paraId="16E3141B" w14:textId="63002870" w:rsidR="0017618C" w:rsidRDefault="006A5B6C" w:rsidP="00171B45">
            <w:pPr>
              <w:rPr>
                <w:rFonts w:hint="eastAsia"/>
                <w:iCs/>
              </w:rPr>
            </w:pPr>
            <w:r>
              <w:rPr>
                <w:rFonts w:hint="eastAsia"/>
                <w:iCs/>
              </w:rPr>
              <w:t>コールオプションの買い手がオプションを満期時に行使しなかった場合，</w:t>
            </w:r>
            <w:r w:rsidR="00DD7E06">
              <w:rPr>
                <w:rFonts w:hint="eastAsia"/>
                <w:iCs/>
              </w:rPr>
              <w:t>買建オプション</w:t>
            </w:r>
            <w:r w:rsidR="00F23675">
              <w:rPr>
                <w:rFonts w:hint="eastAsia"/>
                <w:iCs/>
              </w:rPr>
              <w:t>，前渡金またはオプション資産などとして処理されているオプションの簿価が損失して計上される．</w:t>
            </w:r>
          </w:p>
        </w:tc>
      </w:tr>
    </w:tbl>
    <w:p w14:paraId="564844EF" w14:textId="3C25D0C0" w:rsidR="006029D8" w:rsidRDefault="006029D8" w:rsidP="006F72CE">
      <w:pPr>
        <w:rPr>
          <w:iCs/>
        </w:rPr>
      </w:pPr>
    </w:p>
    <w:p w14:paraId="11C63057" w14:textId="77777777" w:rsidR="006029D8" w:rsidRDefault="006029D8">
      <w:pPr>
        <w:widowControl/>
        <w:jc w:val="left"/>
        <w:rPr>
          <w:iCs/>
        </w:rPr>
      </w:pPr>
      <w:r>
        <w:rPr>
          <w:iCs/>
        </w:rPr>
        <w:br w:type="page"/>
      </w:r>
    </w:p>
    <w:p w14:paraId="628C5EC1" w14:textId="7DD2DB42" w:rsidR="006F72CE" w:rsidRPr="00312E5D" w:rsidRDefault="006F72CE" w:rsidP="006F72CE">
      <w:pPr>
        <w:rPr>
          <w:rFonts w:hint="eastAsia"/>
        </w:rPr>
      </w:pPr>
      <w:r>
        <w:rPr>
          <w:rFonts w:hint="eastAsia"/>
          <w:iCs/>
        </w:rPr>
        <w:lastRenderedPageBreak/>
        <w:t>【問</w:t>
      </w:r>
      <w:r>
        <w:rPr>
          <w:rFonts w:hint="eastAsia"/>
          <w:iCs/>
        </w:rPr>
        <w:t>2</w:t>
      </w:r>
      <w:r>
        <w:rPr>
          <w:rFonts w:hint="eastAsia"/>
          <w:iCs/>
        </w:rPr>
        <w:t>】</w:t>
      </w:r>
    </w:p>
    <w:tbl>
      <w:tblPr>
        <w:tblStyle w:val="ac"/>
        <w:tblW w:w="0" w:type="auto"/>
        <w:tblLook w:val="04A0" w:firstRow="1" w:lastRow="0" w:firstColumn="1" w:lastColumn="0" w:noHBand="0" w:noVBand="1"/>
      </w:tblPr>
      <w:tblGrid>
        <w:gridCol w:w="511"/>
        <w:gridCol w:w="9955"/>
      </w:tblGrid>
      <w:tr w:rsidR="006F72CE" w14:paraId="5273D30A" w14:textId="77777777" w:rsidTr="00171B45">
        <w:tc>
          <w:tcPr>
            <w:tcW w:w="10466" w:type="dxa"/>
            <w:gridSpan w:val="2"/>
            <w:tcBorders>
              <w:top w:val="nil"/>
              <w:left w:val="nil"/>
              <w:bottom w:val="nil"/>
              <w:right w:val="nil"/>
            </w:tcBorders>
          </w:tcPr>
          <w:p w14:paraId="3E1BFADD" w14:textId="69C53EDA" w:rsidR="006F72CE" w:rsidRDefault="00D84F8E" w:rsidP="00171B45">
            <w:pPr>
              <w:rPr>
                <w:rFonts w:hint="eastAsia"/>
                <w:iCs/>
              </w:rPr>
            </w:pPr>
            <w:r>
              <w:rPr>
                <w:rFonts w:hint="eastAsia"/>
                <w:iCs/>
              </w:rPr>
              <w:t>ヘッジ</w:t>
            </w:r>
            <w:r w:rsidR="006F72CE">
              <w:rPr>
                <w:rFonts w:hint="eastAsia"/>
                <w:iCs/>
              </w:rPr>
              <w:t>会計に関する次の問いに答えなさい．</w:t>
            </w:r>
          </w:p>
        </w:tc>
      </w:tr>
      <w:tr w:rsidR="006F72CE" w14:paraId="0932765C" w14:textId="77777777" w:rsidTr="00171B45">
        <w:tc>
          <w:tcPr>
            <w:tcW w:w="511" w:type="dxa"/>
            <w:tcBorders>
              <w:top w:val="nil"/>
              <w:left w:val="nil"/>
              <w:bottom w:val="nil"/>
              <w:right w:val="nil"/>
            </w:tcBorders>
          </w:tcPr>
          <w:p w14:paraId="40740FE8" w14:textId="77777777" w:rsidR="006F72CE" w:rsidRDefault="006F72CE" w:rsidP="00171B45">
            <w:pPr>
              <w:rPr>
                <w:iCs/>
              </w:rPr>
            </w:pPr>
            <w:r>
              <w:rPr>
                <w:rFonts w:hint="eastAsia"/>
                <w:iCs/>
              </w:rPr>
              <w:t>(</w:t>
            </w:r>
            <w:r>
              <w:rPr>
                <w:iCs/>
              </w:rPr>
              <w:t>1)</w:t>
            </w:r>
          </w:p>
        </w:tc>
        <w:tc>
          <w:tcPr>
            <w:tcW w:w="9955" w:type="dxa"/>
            <w:tcBorders>
              <w:top w:val="nil"/>
              <w:left w:val="nil"/>
              <w:bottom w:val="nil"/>
              <w:right w:val="nil"/>
            </w:tcBorders>
          </w:tcPr>
          <w:p w14:paraId="3F9318FD" w14:textId="6DEFC688" w:rsidR="006F72CE" w:rsidRDefault="00D84F8E" w:rsidP="00171B45">
            <w:pPr>
              <w:rPr>
                <w:rFonts w:hint="eastAsia"/>
                <w:iCs/>
              </w:rPr>
            </w:pPr>
            <w:r>
              <w:rPr>
                <w:rFonts w:hint="eastAsia"/>
                <w:iCs/>
              </w:rPr>
              <w:t>ヘッジ会計の対象とな</w:t>
            </w:r>
            <w:r w:rsidR="00884A1E">
              <w:rPr>
                <w:rFonts w:hint="eastAsia"/>
                <w:iCs/>
              </w:rPr>
              <w:t>り得るヘッジ取引と，ヘッジ対象のリスクの観点から2つ挙げなさい．</w:t>
            </w:r>
          </w:p>
        </w:tc>
      </w:tr>
      <w:tr w:rsidR="006F72CE" w14:paraId="06A117D4" w14:textId="77777777" w:rsidTr="00171B45">
        <w:tc>
          <w:tcPr>
            <w:tcW w:w="511" w:type="dxa"/>
            <w:tcBorders>
              <w:top w:val="nil"/>
              <w:left w:val="nil"/>
              <w:bottom w:val="nil"/>
              <w:right w:val="nil"/>
            </w:tcBorders>
          </w:tcPr>
          <w:p w14:paraId="6FF34FBB" w14:textId="77777777" w:rsidR="006F72CE" w:rsidRDefault="006F72CE" w:rsidP="00171B45">
            <w:pPr>
              <w:rPr>
                <w:iCs/>
              </w:rPr>
            </w:pPr>
            <w:r>
              <w:rPr>
                <w:rFonts w:hint="eastAsia"/>
                <w:iCs/>
              </w:rPr>
              <w:t>(</w:t>
            </w:r>
            <w:r>
              <w:rPr>
                <w:iCs/>
              </w:rPr>
              <w:t>2)</w:t>
            </w:r>
          </w:p>
        </w:tc>
        <w:tc>
          <w:tcPr>
            <w:tcW w:w="9955" w:type="dxa"/>
            <w:tcBorders>
              <w:top w:val="nil"/>
              <w:left w:val="nil"/>
              <w:bottom w:val="nil"/>
              <w:right w:val="nil"/>
            </w:tcBorders>
          </w:tcPr>
          <w:p w14:paraId="6446AE7F" w14:textId="29737494" w:rsidR="006F72CE" w:rsidRDefault="008B6DC4" w:rsidP="00171B45">
            <w:pPr>
              <w:rPr>
                <w:rFonts w:hint="eastAsia"/>
                <w:iCs/>
              </w:rPr>
            </w:pPr>
            <w:r>
              <w:rPr>
                <w:rFonts w:hint="eastAsia"/>
                <w:iCs/>
              </w:rPr>
              <w:t>ヘッジ会計が適用可能となる</w:t>
            </w:r>
            <w:r w:rsidR="004044AE">
              <w:rPr>
                <w:rFonts w:hint="eastAsia"/>
                <w:iCs/>
              </w:rPr>
              <w:t>要件を2つ挙げなさい．</w:t>
            </w:r>
          </w:p>
        </w:tc>
      </w:tr>
      <w:tr w:rsidR="006F72CE" w14:paraId="46836327" w14:textId="77777777" w:rsidTr="00171B45">
        <w:tc>
          <w:tcPr>
            <w:tcW w:w="511" w:type="dxa"/>
            <w:tcBorders>
              <w:top w:val="nil"/>
              <w:left w:val="nil"/>
              <w:bottom w:val="nil"/>
              <w:right w:val="nil"/>
            </w:tcBorders>
          </w:tcPr>
          <w:p w14:paraId="6D1BE3C0" w14:textId="77777777" w:rsidR="006F72CE" w:rsidRDefault="006F72CE" w:rsidP="00171B45">
            <w:pPr>
              <w:rPr>
                <w:iCs/>
              </w:rPr>
            </w:pPr>
            <w:r>
              <w:rPr>
                <w:rFonts w:hint="eastAsia"/>
                <w:iCs/>
              </w:rPr>
              <w:t>(</w:t>
            </w:r>
            <w:r>
              <w:rPr>
                <w:iCs/>
              </w:rPr>
              <w:t>3)</w:t>
            </w:r>
          </w:p>
        </w:tc>
        <w:tc>
          <w:tcPr>
            <w:tcW w:w="9955" w:type="dxa"/>
            <w:tcBorders>
              <w:top w:val="nil"/>
              <w:left w:val="nil"/>
              <w:bottom w:val="nil"/>
              <w:right w:val="nil"/>
            </w:tcBorders>
          </w:tcPr>
          <w:p w14:paraId="61FD1E61" w14:textId="1D8939FC" w:rsidR="006F72CE" w:rsidRDefault="004044AE" w:rsidP="00171B45">
            <w:pPr>
              <w:rPr>
                <w:rFonts w:hint="eastAsia"/>
                <w:iCs/>
              </w:rPr>
            </w:pPr>
            <w:r>
              <w:rPr>
                <w:rFonts w:hint="eastAsia"/>
                <w:iCs/>
              </w:rPr>
              <w:t>ヘッジ会計を適用した場合の主たる方法を2つ挙げなさい．</w:t>
            </w:r>
          </w:p>
        </w:tc>
      </w:tr>
      <w:tr w:rsidR="006F72CE" w14:paraId="7CF59F5B" w14:textId="77777777" w:rsidTr="00171B45">
        <w:tc>
          <w:tcPr>
            <w:tcW w:w="511" w:type="dxa"/>
            <w:tcBorders>
              <w:top w:val="nil"/>
              <w:left w:val="nil"/>
              <w:bottom w:val="nil"/>
              <w:right w:val="nil"/>
            </w:tcBorders>
          </w:tcPr>
          <w:p w14:paraId="3B35701D" w14:textId="7820C596" w:rsidR="006F72CE" w:rsidRDefault="006F72CE" w:rsidP="00171B45">
            <w:pPr>
              <w:rPr>
                <w:rFonts w:hint="eastAsia"/>
                <w:iCs/>
              </w:rPr>
            </w:pPr>
            <w:r>
              <w:rPr>
                <w:rFonts w:hint="eastAsia"/>
                <w:iCs/>
              </w:rPr>
              <w:t>(</w:t>
            </w:r>
            <w:r>
              <w:rPr>
                <w:iCs/>
              </w:rPr>
              <w:t>4</w:t>
            </w:r>
            <w:r>
              <w:rPr>
                <w:rFonts w:hint="eastAsia"/>
                <w:iCs/>
              </w:rPr>
              <w:t>)</w:t>
            </w:r>
          </w:p>
        </w:tc>
        <w:tc>
          <w:tcPr>
            <w:tcW w:w="9955" w:type="dxa"/>
            <w:tcBorders>
              <w:top w:val="nil"/>
              <w:left w:val="nil"/>
              <w:bottom w:val="nil"/>
              <w:right w:val="nil"/>
            </w:tcBorders>
          </w:tcPr>
          <w:p w14:paraId="0C1AD8A3" w14:textId="7F0BD39D" w:rsidR="006F72CE" w:rsidRDefault="004044AE" w:rsidP="00171B45">
            <w:pPr>
              <w:rPr>
                <w:rFonts w:hint="eastAsia"/>
                <w:iCs/>
              </w:rPr>
            </w:pPr>
            <w:r>
              <w:rPr>
                <w:rFonts w:hint="eastAsia"/>
                <w:iCs/>
              </w:rPr>
              <w:t>ヘッジ会計を適用した場合の</w:t>
            </w:r>
            <w:r w:rsidR="002F255C">
              <w:rPr>
                <w:rFonts w:hint="eastAsia"/>
                <w:iCs/>
              </w:rPr>
              <w:t>通算損益への影響について説明しなさい．</w:t>
            </w:r>
          </w:p>
        </w:tc>
      </w:tr>
    </w:tbl>
    <w:p w14:paraId="397FA8EF" w14:textId="77777777" w:rsidR="006F72CE" w:rsidRPr="0041064A" w:rsidRDefault="006F72CE" w:rsidP="006F72CE">
      <w:pPr>
        <w:rPr>
          <w:iCs/>
        </w:rPr>
      </w:pPr>
      <w:r>
        <w:rPr>
          <w:rFonts w:hint="eastAsia"/>
          <w:iCs/>
        </w:rPr>
        <w:t>≪解答・解説≫</w:t>
      </w:r>
    </w:p>
    <w:tbl>
      <w:tblPr>
        <w:tblStyle w:val="ac"/>
        <w:tblW w:w="0" w:type="auto"/>
        <w:tblLook w:val="04A0" w:firstRow="1" w:lastRow="0" w:firstColumn="1" w:lastColumn="0" w:noHBand="0" w:noVBand="1"/>
      </w:tblPr>
      <w:tblGrid>
        <w:gridCol w:w="511"/>
        <w:gridCol w:w="9955"/>
      </w:tblGrid>
      <w:tr w:rsidR="006F72CE" w14:paraId="5BD7D32D" w14:textId="77777777" w:rsidTr="00171B45">
        <w:tc>
          <w:tcPr>
            <w:tcW w:w="511" w:type="dxa"/>
            <w:tcBorders>
              <w:top w:val="nil"/>
              <w:left w:val="nil"/>
              <w:bottom w:val="nil"/>
              <w:right w:val="nil"/>
            </w:tcBorders>
          </w:tcPr>
          <w:p w14:paraId="7180A386" w14:textId="77777777" w:rsidR="006F72CE" w:rsidRDefault="006F72CE" w:rsidP="00171B45">
            <w:pPr>
              <w:rPr>
                <w:iCs/>
              </w:rPr>
            </w:pPr>
            <w:r>
              <w:rPr>
                <w:rFonts w:hint="eastAsia"/>
                <w:iCs/>
              </w:rPr>
              <w:t>(</w:t>
            </w:r>
            <w:r>
              <w:rPr>
                <w:iCs/>
              </w:rPr>
              <w:t>1)</w:t>
            </w:r>
          </w:p>
        </w:tc>
        <w:tc>
          <w:tcPr>
            <w:tcW w:w="9955" w:type="dxa"/>
            <w:tcBorders>
              <w:top w:val="nil"/>
              <w:left w:val="nil"/>
              <w:bottom w:val="nil"/>
              <w:right w:val="nil"/>
            </w:tcBorders>
          </w:tcPr>
          <w:p w14:paraId="71A180D1" w14:textId="43EA295D" w:rsidR="006F72CE" w:rsidRPr="006F72CE" w:rsidRDefault="0017342B" w:rsidP="006F72CE">
            <w:pPr>
              <w:rPr>
                <w:rFonts w:hint="eastAsia"/>
                <w:iCs/>
              </w:rPr>
            </w:pPr>
            <w:r>
              <w:rPr>
                <w:rFonts w:hint="eastAsia"/>
                <w:iCs/>
              </w:rPr>
              <w:t>ヘッジ会計の対象となる得る</w:t>
            </w:r>
            <w:r w:rsidR="009D0BC0">
              <w:rPr>
                <w:rFonts w:hint="eastAsia"/>
                <w:iCs/>
              </w:rPr>
              <w:t>ヘッジ取引には，ヘッジ対象のさらされているリスクに応じて，相場変動を相殺するヘッジ取引と，キャッシュフローを固定する</w:t>
            </w:r>
            <w:r w:rsidR="00416F70">
              <w:rPr>
                <w:rFonts w:hint="eastAsia"/>
                <w:iCs/>
              </w:rPr>
              <w:t>ヘッジ取引の2つある．</w:t>
            </w:r>
          </w:p>
        </w:tc>
      </w:tr>
      <w:tr w:rsidR="006F72CE" w14:paraId="1733EAFB" w14:textId="77777777" w:rsidTr="00171B45">
        <w:tc>
          <w:tcPr>
            <w:tcW w:w="511" w:type="dxa"/>
            <w:tcBorders>
              <w:top w:val="nil"/>
              <w:left w:val="nil"/>
              <w:bottom w:val="nil"/>
              <w:right w:val="nil"/>
            </w:tcBorders>
          </w:tcPr>
          <w:p w14:paraId="01CD4BEE" w14:textId="77777777" w:rsidR="006F72CE" w:rsidRDefault="006F72CE" w:rsidP="00171B45">
            <w:pPr>
              <w:rPr>
                <w:iCs/>
              </w:rPr>
            </w:pPr>
            <w:r>
              <w:rPr>
                <w:rFonts w:hint="eastAsia"/>
                <w:iCs/>
              </w:rPr>
              <w:t>(</w:t>
            </w:r>
            <w:r>
              <w:rPr>
                <w:iCs/>
              </w:rPr>
              <w:t>2)</w:t>
            </w:r>
          </w:p>
        </w:tc>
        <w:tc>
          <w:tcPr>
            <w:tcW w:w="9955" w:type="dxa"/>
            <w:tcBorders>
              <w:top w:val="nil"/>
              <w:left w:val="nil"/>
              <w:bottom w:val="nil"/>
              <w:right w:val="nil"/>
            </w:tcBorders>
          </w:tcPr>
          <w:p w14:paraId="3BE69020" w14:textId="3A1E4B4B" w:rsidR="006F72CE" w:rsidRDefault="00416F70" w:rsidP="00171B45">
            <w:pPr>
              <w:rPr>
                <w:rFonts w:hint="eastAsia"/>
                <w:iCs/>
              </w:rPr>
            </w:pPr>
            <w:r>
              <w:rPr>
                <w:rFonts w:hint="eastAsia"/>
                <w:iCs/>
              </w:rPr>
              <w:t>ヘッジ会計の適用要件には，①ヘッジ取引が企業のリスク管理方針</w:t>
            </w:r>
            <w:r w:rsidR="00C8249D">
              <w:rPr>
                <w:rFonts w:hint="eastAsia"/>
                <w:iCs/>
              </w:rPr>
              <w:t>に従っていることが取引時に客観的に認められること，②取引時以降もヘッジの有効性が</w:t>
            </w:r>
            <w:r w:rsidR="00465700">
              <w:rPr>
                <w:rFonts w:hint="eastAsia"/>
                <w:iCs/>
              </w:rPr>
              <w:t>定期的に確認できることの2つである．</w:t>
            </w:r>
          </w:p>
        </w:tc>
      </w:tr>
      <w:tr w:rsidR="006F72CE" w14:paraId="37C01EF9" w14:textId="77777777" w:rsidTr="00171B45">
        <w:tc>
          <w:tcPr>
            <w:tcW w:w="511" w:type="dxa"/>
            <w:tcBorders>
              <w:top w:val="nil"/>
              <w:left w:val="nil"/>
              <w:bottom w:val="nil"/>
              <w:right w:val="nil"/>
            </w:tcBorders>
          </w:tcPr>
          <w:p w14:paraId="3DCA5103" w14:textId="77777777" w:rsidR="006F72CE" w:rsidRDefault="006F72CE" w:rsidP="00171B45">
            <w:pPr>
              <w:rPr>
                <w:iCs/>
              </w:rPr>
            </w:pPr>
            <w:r>
              <w:rPr>
                <w:rFonts w:hint="eastAsia"/>
                <w:iCs/>
              </w:rPr>
              <w:t>(</w:t>
            </w:r>
            <w:r>
              <w:rPr>
                <w:iCs/>
              </w:rPr>
              <w:t>3)</w:t>
            </w:r>
          </w:p>
        </w:tc>
        <w:tc>
          <w:tcPr>
            <w:tcW w:w="9955" w:type="dxa"/>
            <w:tcBorders>
              <w:top w:val="nil"/>
              <w:left w:val="nil"/>
              <w:bottom w:val="nil"/>
              <w:right w:val="nil"/>
            </w:tcBorders>
          </w:tcPr>
          <w:p w14:paraId="762CDBF5" w14:textId="77777777" w:rsidR="0013320B" w:rsidRDefault="00465700" w:rsidP="00171B45">
            <w:pPr>
              <w:rPr>
                <w:iCs/>
              </w:rPr>
            </w:pPr>
            <w:r>
              <w:rPr>
                <w:rFonts w:hint="eastAsia"/>
                <w:iCs/>
              </w:rPr>
              <w:t>ヘッジ会計の主たる方法には</w:t>
            </w:r>
            <w:r w:rsidR="001E66EB">
              <w:rPr>
                <w:rFonts w:hint="eastAsia"/>
                <w:iCs/>
              </w:rPr>
              <w:t>，繰延ヘッジと時価ヘッジの2通りがある．</w:t>
            </w:r>
          </w:p>
          <w:p w14:paraId="29ED28BA" w14:textId="77777777" w:rsidR="006F72CE" w:rsidRDefault="001E66EB" w:rsidP="00171B45">
            <w:pPr>
              <w:rPr>
                <w:iCs/>
              </w:rPr>
            </w:pPr>
            <w:r>
              <w:rPr>
                <w:rFonts w:hint="eastAsia"/>
                <w:iCs/>
              </w:rPr>
              <w:t>繰延ヘッジは，原則として，時価評価されているヘッジ手段に係る</w:t>
            </w:r>
            <w:r w:rsidR="002F67B4">
              <w:rPr>
                <w:rFonts w:hint="eastAsia"/>
                <w:iCs/>
              </w:rPr>
              <w:t>損益または評価差額を，ヘッジ対象に係る損益が認識されるまで純資産の部において</w:t>
            </w:r>
            <w:r w:rsidR="001D6F44">
              <w:rPr>
                <w:rFonts w:hint="eastAsia"/>
                <w:iCs/>
              </w:rPr>
              <w:t>繰り延べる方法である．</w:t>
            </w:r>
          </w:p>
          <w:p w14:paraId="1592B1EA" w14:textId="5B085140" w:rsidR="0013320B" w:rsidRDefault="0013320B" w:rsidP="00171B45">
            <w:pPr>
              <w:rPr>
                <w:rFonts w:hint="eastAsia"/>
                <w:iCs/>
              </w:rPr>
            </w:pPr>
            <w:r>
              <w:rPr>
                <w:rFonts w:hint="eastAsia"/>
                <w:iCs/>
              </w:rPr>
              <w:t>時価ヘッジは，ヘッジ対象である資産または負債に係る相場変動等を損益</w:t>
            </w:r>
            <w:r w:rsidR="004B5FCF">
              <w:rPr>
                <w:rFonts w:hint="eastAsia"/>
                <w:iCs/>
              </w:rPr>
              <w:t>に反映させることにより，その損益とヘッジ手段に係る損益とを同一の会計期間に認識する方法</w:t>
            </w:r>
            <w:r w:rsidR="00167D62">
              <w:rPr>
                <w:rFonts w:hint="eastAsia"/>
                <w:iCs/>
              </w:rPr>
              <w:t>であり，現時点ではその適用対象はその他有価証券のみとされている．</w:t>
            </w:r>
          </w:p>
        </w:tc>
      </w:tr>
      <w:tr w:rsidR="006F72CE" w14:paraId="23235204" w14:textId="77777777" w:rsidTr="00171B45">
        <w:tc>
          <w:tcPr>
            <w:tcW w:w="511" w:type="dxa"/>
            <w:tcBorders>
              <w:top w:val="nil"/>
              <w:left w:val="nil"/>
              <w:bottom w:val="nil"/>
              <w:right w:val="nil"/>
            </w:tcBorders>
          </w:tcPr>
          <w:p w14:paraId="01770BCC" w14:textId="5C11D782" w:rsidR="006F72CE" w:rsidRDefault="006F72CE" w:rsidP="00171B45">
            <w:pPr>
              <w:rPr>
                <w:rFonts w:hint="eastAsia"/>
                <w:iCs/>
              </w:rPr>
            </w:pPr>
            <w:r>
              <w:rPr>
                <w:rFonts w:hint="eastAsia"/>
                <w:iCs/>
              </w:rPr>
              <w:t>(</w:t>
            </w:r>
            <w:r>
              <w:rPr>
                <w:iCs/>
              </w:rPr>
              <w:t>4)</w:t>
            </w:r>
          </w:p>
        </w:tc>
        <w:tc>
          <w:tcPr>
            <w:tcW w:w="9955" w:type="dxa"/>
            <w:tcBorders>
              <w:top w:val="nil"/>
              <w:left w:val="nil"/>
              <w:bottom w:val="nil"/>
              <w:right w:val="nil"/>
            </w:tcBorders>
          </w:tcPr>
          <w:p w14:paraId="4F0C3A3F" w14:textId="5300439A" w:rsidR="006F72CE" w:rsidRDefault="008A7660" w:rsidP="00171B45">
            <w:pPr>
              <w:rPr>
                <w:rFonts w:hint="eastAsia"/>
                <w:iCs/>
              </w:rPr>
            </w:pPr>
            <w:r>
              <w:rPr>
                <w:rFonts w:hint="eastAsia"/>
                <w:iCs/>
              </w:rPr>
              <w:t>ヘッジ会計を適用するかどうかは損益の期間帰属に影響を及ぼすだけで，その総額（通算損益）には影響を及ぼさない．</w:t>
            </w:r>
          </w:p>
        </w:tc>
      </w:tr>
    </w:tbl>
    <w:p w14:paraId="536DC2D9" w14:textId="4EAFEEE7" w:rsidR="006029D8" w:rsidRDefault="006029D8" w:rsidP="00A94729">
      <w:pPr>
        <w:rPr>
          <w:iCs/>
        </w:rPr>
      </w:pPr>
    </w:p>
    <w:p w14:paraId="4E6CEF7B" w14:textId="77777777" w:rsidR="006029D8" w:rsidRDefault="006029D8">
      <w:pPr>
        <w:widowControl/>
        <w:jc w:val="left"/>
        <w:rPr>
          <w:iCs/>
        </w:rPr>
      </w:pPr>
      <w:r>
        <w:rPr>
          <w:iCs/>
        </w:rPr>
        <w:br w:type="page"/>
      </w:r>
    </w:p>
    <w:p w14:paraId="7761B696" w14:textId="07053023" w:rsidR="00A94729" w:rsidRPr="00312E5D" w:rsidRDefault="00A94729" w:rsidP="00A94729">
      <w:pPr>
        <w:rPr>
          <w:rFonts w:hint="eastAsia"/>
        </w:rPr>
      </w:pPr>
      <w:r>
        <w:rPr>
          <w:rFonts w:hint="eastAsia"/>
          <w:iCs/>
        </w:rPr>
        <w:lastRenderedPageBreak/>
        <w:t>【問</w:t>
      </w:r>
      <w:r>
        <w:rPr>
          <w:iCs/>
        </w:rPr>
        <w:t>3</w:t>
      </w:r>
      <w:r>
        <w:rPr>
          <w:rFonts w:hint="eastAsia"/>
          <w:iCs/>
        </w:rPr>
        <w:t>】</w:t>
      </w:r>
    </w:p>
    <w:tbl>
      <w:tblPr>
        <w:tblStyle w:val="ac"/>
        <w:tblW w:w="0" w:type="auto"/>
        <w:tblLook w:val="04A0" w:firstRow="1" w:lastRow="0" w:firstColumn="1" w:lastColumn="0" w:noHBand="0" w:noVBand="1"/>
      </w:tblPr>
      <w:tblGrid>
        <w:gridCol w:w="511"/>
        <w:gridCol w:w="9955"/>
      </w:tblGrid>
      <w:tr w:rsidR="00A94729" w14:paraId="613D38DD" w14:textId="77777777" w:rsidTr="00171B45">
        <w:tc>
          <w:tcPr>
            <w:tcW w:w="10466" w:type="dxa"/>
            <w:gridSpan w:val="2"/>
            <w:tcBorders>
              <w:top w:val="nil"/>
              <w:left w:val="nil"/>
              <w:bottom w:val="nil"/>
              <w:right w:val="nil"/>
            </w:tcBorders>
          </w:tcPr>
          <w:p w14:paraId="7AA684AF" w14:textId="7E6176BF" w:rsidR="00A94729" w:rsidRDefault="003B690A" w:rsidP="00171B45">
            <w:pPr>
              <w:rPr>
                <w:rFonts w:hint="eastAsia"/>
                <w:iCs/>
              </w:rPr>
            </w:pPr>
            <w:r>
              <w:rPr>
                <w:rFonts w:hint="eastAsia"/>
                <w:iCs/>
              </w:rPr>
              <w:t>A社（決算日：</w:t>
            </w:r>
            <w:r w:rsidR="00560CD9">
              <w:rPr>
                <w:rFonts w:hint="eastAsia"/>
                <w:iCs/>
              </w:rPr>
              <w:t>3月31日</w:t>
            </w:r>
            <w:r>
              <w:rPr>
                <w:rFonts w:hint="eastAsia"/>
                <w:iCs/>
              </w:rPr>
              <w:t>）</w:t>
            </w:r>
            <w:r w:rsidR="00560CD9">
              <w:rPr>
                <w:rFonts w:hint="eastAsia"/>
                <w:iCs/>
              </w:rPr>
              <w:t>は，2</w:t>
            </w:r>
            <w:r w:rsidR="00560CD9">
              <w:rPr>
                <w:iCs/>
              </w:rPr>
              <w:t>0X5</w:t>
            </w:r>
            <w:r w:rsidR="00560CD9">
              <w:rPr>
                <w:rFonts w:hint="eastAsia"/>
                <w:iCs/>
              </w:rPr>
              <w:t>年1月15日に国債先物200,000</w:t>
            </w:r>
            <w:r w:rsidR="00400476">
              <w:rPr>
                <w:rFonts w:hint="eastAsia"/>
                <w:iCs/>
              </w:rPr>
              <w:t>円（2,000口）を1口あたり95円で買い建てた．この取引の委託証拠金は10,000円であった．このとき，以下の問いに答えなさい．</w:t>
            </w:r>
          </w:p>
        </w:tc>
      </w:tr>
      <w:tr w:rsidR="00A94729" w14:paraId="6D8C6062" w14:textId="77777777" w:rsidTr="00171B45">
        <w:tc>
          <w:tcPr>
            <w:tcW w:w="511" w:type="dxa"/>
            <w:tcBorders>
              <w:top w:val="nil"/>
              <w:left w:val="nil"/>
              <w:bottom w:val="nil"/>
              <w:right w:val="nil"/>
            </w:tcBorders>
          </w:tcPr>
          <w:p w14:paraId="04BB69E7" w14:textId="77777777" w:rsidR="00A94729" w:rsidRDefault="00A94729" w:rsidP="00171B45">
            <w:pPr>
              <w:rPr>
                <w:iCs/>
              </w:rPr>
            </w:pPr>
            <w:r>
              <w:rPr>
                <w:rFonts w:hint="eastAsia"/>
                <w:iCs/>
              </w:rPr>
              <w:t>(</w:t>
            </w:r>
            <w:r>
              <w:rPr>
                <w:iCs/>
              </w:rPr>
              <w:t>1)</w:t>
            </w:r>
          </w:p>
        </w:tc>
        <w:tc>
          <w:tcPr>
            <w:tcW w:w="9955" w:type="dxa"/>
            <w:tcBorders>
              <w:top w:val="nil"/>
              <w:left w:val="nil"/>
              <w:bottom w:val="nil"/>
              <w:right w:val="nil"/>
            </w:tcBorders>
          </w:tcPr>
          <w:p w14:paraId="24DA80D0" w14:textId="7A5218DB" w:rsidR="00A94729" w:rsidRDefault="00751E73" w:rsidP="00171B45">
            <w:pPr>
              <w:rPr>
                <w:rFonts w:hint="eastAsia"/>
                <w:iCs/>
              </w:rPr>
            </w:pPr>
            <w:r>
              <w:rPr>
                <w:rFonts w:hint="eastAsia"/>
                <w:iCs/>
              </w:rPr>
              <w:t>国債先物</w:t>
            </w:r>
            <w:r w:rsidR="00A20CAD">
              <w:rPr>
                <w:rFonts w:hint="eastAsia"/>
                <w:iCs/>
              </w:rPr>
              <w:t>の買建て時にA社が支出する現金はいくらですか．</w:t>
            </w:r>
          </w:p>
        </w:tc>
      </w:tr>
      <w:tr w:rsidR="00A94729" w14:paraId="2CC68A72" w14:textId="77777777" w:rsidTr="00171B45">
        <w:tc>
          <w:tcPr>
            <w:tcW w:w="511" w:type="dxa"/>
            <w:tcBorders>
              <w:top w:val="nil"/>
              <w:left w:val="nil"/>
              <w:bottom w:val="nil"/>
              <w:right w:val="nil"/>
            </w:tcBorders>
          </w:tcPr>
          <w:p w14:paraId="3D5A91FA" w14:textId="77777777" w:rsidR="00A94729" w:rsidRDefault="00A94729" w:rsidP="00171B45">
            <w:pPr>
              <w:rPr>
                <w:iCs/>
              </w:rPr>
            </w:pPr>
            <w:r>
              <w:rPr>
                <w:rFonts w:hint="eastAsia"/>
                <w:iCs/>
              </w:rPr>
              <w:t>(</w:t>
            </w:r>
            <w:r>
              <w:rPr>
                <w:iCs/>
              </w:rPr>
              <w:t>2)</w:t>
            </w:r>
          </w:p>
        </w:tc>
        <w:tc>
          <w:tcPr>
            <w:tcW w:w="9955" w:type="dxa"/>
            <w:tcBorders>
              <w:top w:val="nil"/>
              <w:left w:val="nil"/>
              <w:bottom w:val="nil"/>
              <w:right w:val="nil"/>
            </w:tcBorders>
          </w:tcPr>
          <w:p w14:paraId="569EFFC2" w14:textId="3DEF5E6B" w:rsidR="00A94729" w:rsidRDefault="00F71383" w:rsidP="00171B45">
            <w:pPr>
              <w:rPr>
                <w:rFonts w:hint="eastAsia"/>
                <w:iCs/>
              </w:rPr>
            </w:pPr>
            <w:r>
              <w:rPr>
                <w:rFonts w:hint="eastAsia"/>
                <w:iCs/>
              </w:rPr>
              <w:t>20X5年3月31日における国債先物の時価は96円であった．</w:t>
            </w:r>
            <w:r w:rsidR="00BE2BEE">
              <w:rPr>
                <w:rFonts w:hint="eastAsia"/>
                <w:iCs/>
              </w:rPr>
              <w:t>20X</w:t>
            </w:r>
            <w:r w:rsidR="00BE2BEE">
              <w:rPr>
                <w:iCs/>
              </w:rPr>
              <w:t>5</w:t>
            </w:r>
            <w:r w:rsidR="00BE2BEE">
              <w:rPr>
                <w:rFonts w:hint="eastAsia"/>
                <w:iCs/>
              </w:rPr>
              <w:t>年3月31日の決算日において計上する先物損益はいくらですか．</w:t>
            </w:r>
          </w:p>
        </w:tc>
      </w:tr>
      <w:tr w:rsidR="00A94729" w14:paraId="6B67F300" w14:textId="77777777" w:rsidTr="00171B45">
        <w:tc>
          <w:tcPr>
            <w:tcW w:w="511" w:type="dxa"/>
            <w:tcBorders>
              <w:top w:val="nil"/>
              <w:left w:val="nil"/>
              <w:bottom w:val="nil"/>
              <w:right w:val="nil"/>
            </w:tcBorders>
          </w:tcPr>
          <w:p w14:paraId="57BA1081" w14:textId="77777777" w:rsidR="00A94729" w:rsidRDefault="00A94729" w:rsidP="00171B45">
            <w:pPr>
              <w:rPr>
                <w:iCs/>
              </w:rPr>
            </w:pPr>
            <w:r>
              <w:rPr>
                <w:rFonts w:hint="eastAsia"/>
                <w:iCs/>
              </w:rPr>
              <w:t>(</w:t>
            </w:r>
            <w:r>
              <w:rPr>
                <w:iCs/>
              </w:rPr>
              <w:t>3)</w:t>
            </w:r>
          </w:p>
        </w:tc>
        <w:tc>
          <w:tcPr>
            <w:tcW w:w="9955" w:type="dxa"/>
            <w:tcBorders>
              <w:top w:val="nil"/>
              <w:left w:val="nil"/>
              <w:bottom w:val="nil"/>
              <w:right w:val="nil"/>
            </w:tcBorders>
          </w:tcPr>
          <w:p w14:paraId="1817FD95" w14:textId="072EF08C" w:rsidR="00A94729" w:rsidRDefault="00277C6F" w:rsidP="00171B45">
            <w:pPr>
              <w:rPr>
                <w:rFonts w:hint="eastAsia"/>
                <w:iCs/>
              </w:rPr>
            </w:pPr>
            <w:r>
              <w:rPr>
                <w:rFonts w:hint="eastAsia"/>
                <w:iCs/>
              </w:rPr>
              <w:t>20X5年</w:t>
            </w:r>
            <w:r>
              <w:rPr>
                <w:iCs/>
              </w:rPr>
              <w:t>6</w:t>
            </w:r>
            <w:r>
              <w:rPr>
                <w:rFonts w:hint="eastAsia"/>
                <w:iCs/>
              </w:rPr>
              <w:t>月3</w:t>
            </w:r>
            <w:r>
              <w:rPr>
                <w:iCs/>
              </w:rPr>
              <w:t>0</w:t>
            </w:r>
            <w:r>
              <w:rPr>
                <w:rFonts w:hint="eastAsia"/>
                <w:iCs/>
              </w:rPr>
              <w:t>日に国債先物の反対売買による差額決済を行い，</w:t>
            </w:r>
            <w:r w:rsidR="00AB744F">
              <w:rPr>
                <w:rFonts w:hint="eastAsia"/>
                <w:iCs/>
              </w:rPr>
              <w:t>委託証拠金の返還を受けた．国債先物の決算時の</w:t>
            </w:r>
            <w:r w:rsidR="00364768">
              <w:rPr>
                <w:rFonts w:hint="eastAsia"/>
                <w:iCs/>
              </w:rPr>
              <w:t>時価は99円であった．この決済により，A社が決算時に計上する損益はいくらですか．また，A社が受け取る</w:t>
            </w:r>
            <w:r w:rsidR="00154D85">
              <w:rPr>
                <w:rFonts w:hint="eastAsia"/>
                <w:iCs/>
              </w:rPr>
              <w:t>現金（先物取引差金と先物取引差入証拠金の合計額）はいくらですか．なお，買建て時から決済時までに委託証拠金の出入りはないものとする．</w:t>
            </w:r>
          </w:p>
        </w:tc>
      </w:tr>
    </w:tbl>
    <w:p w14:paraId="0DE237D8" w14:textId="77777777" w:rsidR="00A94729" w:rsidRPr="0041064A" w:rsidRDefault="00A94729" w:rsidP="00A94729">
      <w:pPr>
        <w:rPr>
          <w:iCs/>
        </w:rPr>
      </w:pPr>
      <w:r>
        <w:rPr>
          <w:rFonts w:hint="eastAsia"/>
          <w:iCs/>
        </w:rPr>
        <w:t>≪解答・解説≫</w:t>
      </w:r>
    </w:p>
    <w:tbl>
      <w:tblPr>
        <w:tblStyle w:val="ac"/>
        <w:tblW w:w="0" w:type="auto"/>
        <w:tblLook w:val="04A0" w:firstRow="1" w:lastRow="0" w:firstColumn="1" w:lastColumn="0" w:noHBand="0" w:noVBand="1"/>
      </w:tblPr>
      <w:tblGrid>
        <w:gridCol w:w="511"/>
        <w:gridCol w:w="9955"/>
      </w:tblGrid>
      <w:tr w:rsidR="00A94729" w14:paraId="4FF8E279" w14:textId="77777777" w:rsidTr="00171B45">
        <w:tc>
          <w:tcPr>
            <w:tcW w:w="511" w:type="dxa"/>
            <w:tcBorders>
              <w:top w:val="nil"/>
              <w:left w:val="nil"/>
              <w:bottom w:val="nil"/>
              <w:right w:val="nil"/>
            </w:tcBorders>
          </w:tcPr>
          <w:p w14:paraId="3A85223A" w14:textId="77777777" w:rsidR="00A94729" w:rsidRDefault="00A94729" w:rsidP="00171B45">
            <w:pPr>
              <w:rPr>
                <w:iCs/>
              </w:rPr>
            </w:pPr>
            <w:r>
              <w:rPr>
                <w:rFonts w:hint="eastAsia"/>
                <w:iCs/>
              </w:rPr>
              <w:t>(</w:t>
            </w:r>
            <w:r>
              <w:rPr>
                <w:iCs/>
              </w:rPr>
              <w:t>1)</w:t>
            </w:r>
          </w:p>
        </w:tc>
        <w:tc>
          <w:tcPr>
            <w:tcW w:w="9955" w:type="dxa"/>
            <w:tcBorders>
              <w:top w:val="nil"/>
              <w:left w:val="nil"/>
              <w:bottom w:val="nil"/>
              <w:right w:val="nil"/>
            </w:tcBorders>
          </w:tcPr>
          <w:p w14:paraId="5FD5D75C" w14:textId="77777777" w:rsidR="00A94729" w:rsidRDefault="00944D2B" w:rsidP="003B690A">
            <w:pPr>
              <w:rPr>
                <w:iCs/>
              </w:rPr>
            </w:pPr>
            <w:r>
              <w:rPr>
                <w:rFonts w:hint="eastAsia"/>
                <w:iCs/>
              </w:rPr>
              <w:t>支出する現金10,000円</w:t>
            </w:r>
          </w:p>
          <w:p w14:paraId="79FEC9AD" w14:textId="77777777" w:rsidR="00944D2B" w:rsidRDefault="00944D2B" w:rsidP="003B690A">
            <w:pPr>
              <w:rPr>
                <w:iCs/>
              </w:rPr>
            </w:pPr>
            <w:r>
              <w:rPr>
                <w:rFonts w:hint="eastAsia"/>
                <w:iCs/>
              </w:rPr>
              <w:t>国債先物の買建て時には，委託証拠金の10,000円のみを差し入れればよい．</w:t>
            </w:r>
          </w:p>
          <w:tbl>
            <w:tblPr>
              <w:tblStyle w:val="ac"/>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4003"/>
              <w:gridCol w:w="846"/>
              <w:gridCol w:w="4044"/>
            </w:tblGrid>
            <w:tr w:rsidR="00944D2B" w14:paraId="50791613" w14:textId="77777777" w:rsidTr="00944D2B">
              <w:tc>
                <w:tcPr>
                  <w:tcW w:w="515" w:type="dxa"/>
                </w:tcPr>
                <w:p w14:paraId="61794673" w14:textId="5FD4CB6C" w:rsidR="00944D2B" w:rsidRDefault="00944D2B" w:rsidP="003B690A">
                  <w:pPr>
                    <w:rPr>
                      <w:iCs/>
                    </w:rPr>
                  </w:pPr>
                  <w:r>
                    <w:rPr>
                      <w:rFonts w:hint="eastAsia"/>
                      <w:iCs/>
                    </w:rPr>
                    <w:t>（借）</w:t>
                  </w:r>
                </w:p>
              </w:tc>
              <w:tc>
                <w:tcPr>
                  <w:tcW w:w="4349" w:type="dxa"/>
                </w:tcPr>
                <w:p w14:paraId="04909E5F" w14:textId="53BB5AB8" w:rsidR="00944D2B" w:rsidRDefault="00AF3BAB" w:rsidP="003B690A">
                  <w:pPr>
                    <w:rPr>
                      <w:iCs/>
                    </w:rPr>
                  </w:pPr>
                  <w:r>
                    <w:rPr>
                      <w:rFonts w:hint="eastAsia"/>
                      <w:iCs/>
                    </w:rPr>
                    <w:t>先物取引差入証拠金　10,000</w:t>
                  </w:r>
                </w:p>
              </w:tc>
              <w:tc>
                <w:tcPr>
                  <w:tcW w:w="471" w:type="dxa"/>
                </w:tcPr>
                <w:p w14:paraId="3B1847E7" w14:textId="0309F5D9" w:rsidR="00944D2B" w:rsidRDefault="00944D2B" w:rsidP="003B690A">
                  <w:pPr>
                    <w:rPr>
                      <w:iCs/>
                    </w:rPr>
                  </w:pPr>
                  <w:r>
                    <w:rPr>
                      <w:rFonts w:hint="eastAsia"/>
                      <w:iCs/>
                    </w:rPr>
                    <w:t>（</w:t>
                  </w:r>
                  <w:r>
                    <w:rPr>
                      <w:rFonts w:hint="eastAsia"/>
                      <w:iCs/>
                    </w:rPr>
                    <w:t>貸</w:t>
                  </w:r>
                  <w:r>
                    <w:rPr>
                      <w:rFonts w:hint="eastAsia"/>
                      <w:iCs/>
                    </w:rPr>
                    <w:t>）</w:t>
                  </w:r>
                </w:p>
              </w:tc>
              <w:tc>
                <w:tcPr>
                  <w:tcW w:w="4394" w:type="dxa"/>
                </w:tcPr>
                <w:p w14:paraId="2D8B34E6" w14:textId="3DA74FAA" w:rsidR="00944D2B" w:rsidRDefault="00AF3BAB" w:rsidP="003B690A">
                  <w:pPr>
                    <w:rPr>
                      <w:iCs/>
                    </w:rPr>
                  </w:pPr>
                  <w:r>
                    <w:rPr>
                      <w:rFonts w:hint="eastAsia"/>
                      <w:iCs/>
                    </w:rPr>
                    <w:t>現金預金　10,000</w:t>
                  </w:r>
                </w:p>
              </w:tc>
            </w:tr>
          </w:tbl>
          <w:p w14:paraId="10D82B11" w14:textId="3E8BF366" w:rsidR="00944D2B" w:rsidRPr="003B690A" w:rsidRDefault="00944D2B" w:rsidP="003B690A">
            <w:pPr>
              <w:rPr>
                <w:rFonts w:hint="eastAsia"/>
                <w:iCs/>
              </w:rPr>
            </w:pPr>
          </w:p>
        </w:tc>
      </w:tr>
      <w:tr w:rsidR="00A94729" w14:paraId="53D50734" w14:textId="77777777" w:rsidTr="00171B45">
        <w:tc>
          <w:tcPr>
            <w:tcW w:w="511" w:type="dxa"/>
            <w:tcBorders>
              <w:top w:val="nil"/>
              <w:left w:val="nil"/>
              <w:bottom w:val="nil"/>
              <w:right w:val="nil"/>
            </w:tcBorders>
          </w:tcPr>
          <w:p w14:paraId="1A1517BF" w14:textId="77777777" w:rsidR="00A94729" w:rsidRDefault="00A94729" w:rsidP="00171B45">
            <w:pPr>
              <w:rPr>
                <w:iCs/>
              </w:rPr>
            </w:pPr>
            <w:r>
              <w:rPr>
                <w:rFonts w:hint="eastAsia"/>
                <w:iCs/>
              </w:rPr>
              <w:t>(</w:t>
            </w:r>
            <w:r>
              <w:rPr>
                <w:iCs/>
              </w:rPr>
              <w:t>2)</w:t>
            </w:r>
          </w:p>
        </w:tc>
        <w:tc>
          <w:tcPr>
            <w:tcW w:w="9955" w:type="dxa"/>
            <w:tcBorders>
              <w:top w:val="nil"/>
              <w:left w:val="nil"/>
              <w:bottom w:val="nil"/>
              <w:right w:val="nil"/>
            </w:tcBorders>
          </w:tcPr>
          <w:p w14:paraId="1BEF86D3" w14:textId="61FC7E24" w:rsidR="00A94729" w:rsidRDefault="00256E5A" w:rsidP="00171B45">
            <w:pPr>
              <w:rPr>
                <w:iCs/>
              </w:rPr>
            </w:pPr>
            <w:r>
              <w:rPr>
                <w:rFonts w:hint="eastAsia"/>
                <w:iCs/>
              </w:rPr>
              <w:t>計上する先物利益2,000円</w:t>
            </w:r>
          </w:p>
          <w:p w14:paraId="17092A3C" w14:textId="77777777" w:rsidR="00256E5A" w:rsidRDefault="00256E5A" w:rsidP="00171B45">
            <w:pPr>
              <w:rPr>
                <w:iCs/>
              </w:rPr>
            </w:pPr>
            <w:r>
              <w:rPr>
                <w:rFonts w:hint="eastAsia"/>
                <w:iCs/>
              </w:rPr>
              <w:t>決算時には契約による債券・債務を時価評価して評価差額を損益として処理するため</w:t>
            </w:r>
            <w:r w:rsidR="00F520DA">
              <w:rPr>
                <w:rFonts w:hint="eastAsia"/>
                <w:iCs/>
              </w:rPr>
              <w:t>，</w:t>
            </w:r>
          </w:p>
          <w:p w14:paraId="15AAE6E3" w14:textId="77777777" w:rsidR="00F520DA" w:rsidRPr="00F520DA" w:rsidRDefault="00F520DA" w:rsidP="00171B45">
            <w:pPr>
              <w:rPr>
                <w:iCs/>
              </w:rPr>
            </w:pPr>
            <m:oMathPara>
              <m:oMath>
                <m:d>
                  <m:dPr>
                    <m:ctrlPr>
                      <w:rPr>
                        <w:rFonts w:ascii="Cambria Math" w:hAnsi="Cambria Math"/>
                        <w:i/>
                        <w:iCs/>
                      </w:rPr>
                    </m:ctrlPr>
                  </m:dPr>
                  <m:e>
                    <m:r>
                      <w:rPr>
                        <w:rFonts w:ascii="Cambria Math" w:hAnsi="Cambria Math"/>
                      </w:rPr>
                      <m:t>96-95</m:t>
                    </m:r>
                  </m:e>
                </m:d>
                <m:r>
                  <w:rPr>
                    <w:rFonts w:ascii="Cambria Math" w:hAnsi="Cambria Math"/>
                  </w:rPr>
                  <m:t>×2,000=2,000</m:t>
                </m:r>
              </m:oMath>
            </m:oMathPara>
          </w:p>
          <w:p w14:paraId="363CC16B" w14:textId="6D9D75F5" w:rsidR="00F520DA" w:rsidRPr="00F520DA" w:rsidRDefault="00A90E07" w:rsidP="00171B45">
            <w:pPr>
              <w:rPr>
                <w:rFonts w:hint="eastAsia"/>
                <w:iCs/>
              </w:rPr>
            </w:pPr>
            <w:r>
              <w:rPr>
                <w:rFonts w:hint="eastAsia"/>
                <w:iCs/>
              </w:rPr>
              <w:t>の評価差額（先物利益）を計上する．</w:t>
            </w:r>
          </w:p>
        </w:tc>
      </w:tr>
      <w:tr w:rsidR="00A94729" w14:paraId="75EDBE6E" w14:textId="77777777" w:rsidTr="00171B45">
        <w:tc>
          <w:tcPr>
            <w:tcW w:w="511" w:type="dxa"/>
            <w:tcBorders>
              <w:top w:val="nil"/>
              <w:left w:val="nil"/>
              <w:bottom w:val="nil"/>
              <w:right w:val="nil"/>
            </w:tcBorders>
          </w:tcPr>
          <w:p w14:paraId="2E822DDC" w14:textId="77777777" w:rsidR="00A94729" w:rsidRDefault="00A94729" w:rsidP="00171B45">
            <w:pPr>
              <w:rPr>
                <w:iCs/>
              </w:rPr>
            </w:pPr>
            <w:r>
              <w:rPr>
                <w:rFonts w:hint="eastAsia"/>
                <w:iCs/>
              </w:rPr>
              <w:t>(</w:t>
            </w:r>
            <w:r>
              <w:rPr>
                <w:iCs/>
              </w:rPr>
              <w:t>3)</w:t>
            </w:r>
          </w:p>
        </w:tc>
        <w:tc>
          <w:tcPr>
            <w:tcW w:w="9955" w:type="dxa"/>
            <w:tcBorders>
              <w:top w:val="nil"/>
              <w:left w:val="nil"/>
              <w:bottom w:val="nil"/>
              <w:right w:val="nil"/>
            </w:tcBorders>
          </w:tcPr>
          <w:p w14:paraId="2FE389EF" w14:textId="77777777" w:rsidR="00A94729" w:rsidRDefault="000C7EE4" w:rsidP="00171B45">
            <w:pPr>
              <w:rPr>
                <w:iCs/>
              </w:rPr>
            </w:pPr>
            <w:r>
              <w:rPr>
                <w:rFonts w:hint="eastAsia"/>
                <w:iCs/>
              </w:rPr>
              <w:t>計上する</w:t>
            </w:r>
            <w:r w:rsidR="00185ECB">
              <w:rPr>
                <w:rFonts w:hint="eastAsia"/>
                <w:iCs/>
              </w:rPr>
              <w:t>先物利益：6,000円，決済時に受け取る現金：18,000円</w:t>
            </w:r>
          </w:p>
          <w:p w14:paraId="0BAC7C31" w14:textId="77777777" w:rsidR="00185ECB" w:rsidRDefault="00067BA3" w:rsidP="00171B45">
            <w:pPr>
              <w:rPr>
                <w:iCs/>
              </w:rPr>
            </w:pPr>
            <w:r>
              <w:rPr>
                <w:rFonts w:hint="eastAsia"/>
                <w:iCs/>
              </w:rPr>
              <w:t>決済時には反対売買によって先物利益が</w:t>
            </w:r>
          </w:p>
          <w:p w14:paraId="30DBC35E" w14:textId="77777777" w:rsidR="00F90847" w:rsidRPr="00F90847" w:rsidRDefault="00067BA3" w:rsidP="00171B45">
            <w:pPr>
              <w:rPr>
                <w:iCs/>
              </w:rPr>
            </w:pPr>
            <m:oMathPara>
              <m:oMath>
                <m:d>
                  <m:dPr>
                    <m:ctrlPr>
                      <w:rPr>
                        <w:rFonts w:ascii="Cambria Math" w:hAnsi="Cambria Math"/>
                        <w:i/>
                        <w:iCs/>
                      </w:rPr>
                    </m:ctrlPr>
                  </m:dPr>
                  <m:e>
                    <m:r>
                      <w:rPr>
                        <w:rFonts w:ascii="Cambria Math" w:hAnsi="Cambria Math"/>
                      </w:rPr>
                      <m:t>99-</m:t>
                    </m:r>
                    <m:r>
                      <w:rPr>
                        <w:rFonts w:ascii="Cambria Math" w:hAnsi="Cambria Math"/>
                      </w:rPr>
                      <m:t>96</m:t>
                    </m:r>
                  </m:e>
                </m:d>
                <m:r>
                  <w:rPr>
                    <w:rFonts w:ascii="Cambria Math" w:hAnsi="Cambria Math"/>
                  </w:rPr>
                  <m:t>×2,000=6,000</m:t>
                </m:r>
              </m:oMath>
            </m:oMathPara>
          </w:p>
          <w:p w14:paraId="53260DD6" w14:textId="7DB00475" w:rsidR="00F90847" w:rsidRPr="00F90847" w:rsidRDefault="00F90847" w:rsidP="00171B45">
            <w:pPr>
              <w:rPr>
                <w:rFonts w:hint="eastAsia"/>
                <w:iCs/>
              </w:rPr>
            </w:pPr>
            <w:r>
              <w:rPr>
                <w:rFonts w:hint="eastAsia"/>
                <w:iCs/>
              </w:rPr>
              <w:t>計上される．</w:t>
            </w:r>
            <w:r w:rsidR="0071453C">
              <w:rPr>
                <w:rFonts w:hint="eastAsia"/>
                <w:iCs/>
              </w:rPr>
              <w:t>前期決算時に計上済みの評価差額</w:t>
            </w:r>
            <m:oMath>
              <m:r>
                <w:rPr>
                  <w:rFonts w:ascii="Cambria Math" w:hAnsi="Cambria Math"/>
                </w:rPr>
                <m:t>2,000</m:t>
              </m:r>
            </m:oMath>
            <w:r w:rsidR="0071453C">
              <w:rPr>
                <w:rFonts w:hint="eastAsia"/>
                <w:iCs/>
              </w:rPr>
              <w:t>円と合わせて</w:t>
            </w:r>
            <m:oMath>
              <m:r>
                <w:rPr>
                  <w:rFonts w:ascii="Cambria Math" w:hAnsi="Cambria Math"/>
                </w:rPr>
                <m:t>8,000</m:t>
              </m:r>
            </m:oMath>
            <w:r w:rsidR="0071453C">
              <w:rPr>
                <w:rFonts w:hint="eastAsia"/>
                <w:iCs/>
              </w:rPr>
              <w:t>円の現金を受け取る．また，契約時に差し入れた</w:t>
            </w:r>
            <w:r w:rsidR="00BF3494">
              <w:rPr>
                <w:rFonts w:hint="eastAsia"/>
                <w:iCs/>
              </w:rPr>
              <w:t>証拠金</w:t>
            </w:r>
            <m:oMath>
              <m:r>
                <w:rPr>
                  <w:rFonts w:ascii="Cambria Math" w:hAnsi="Cambria Math"/>
                </w:rPr>
                <m:t>10,000</m:t>
              </m:r>
            </m:oMath>
            <w:r w:rsidR="00BF3494">
              <w:rPr>
                <w:rFonts w:hint="eastAsia"/>
                <w:iCs/>
              </w:rPr>
              <w:t>円も変換されるので，合計</w:t>
            </w:r>
            <m:oMath>
              <m:r>
                <w:rPr>
                  <w:rFonts w:ascii="Cambria Math" w:hAnsi="Cambria Math"/>
                </w:rPr>
                <m:t>18,000</m:t>
              </m:r>
            </m:oMath>
            <w:r w:rsidR="00BF3494">
              <w:rPr>
                <w:rFonts w:hint="eastAsia"/>
                <w:iCs/>
              </w:rPr>
              <w:t>円の現金を受け取ることになる．</w:t>
            </w:r>
          </w:p>
        </w:tc>
      </w:tr>
    </w:tbl>
    <w:p w14:paraId="517D92EE" w14:textId="53DD6C53" w:rsidR="006029D8" w:rsidRDefault="006029D8" w:rsidP="0094636E">
      <w:pPr>
        <w:rPr>
          <w:iCs/>
        </w:rPr>
      </w:pPr>
    </w:p>
    <w:p w14:paraId="70918DA2" w14:textId="77777777" w:rsidR="006029D8" w:rsidRDefault="006029D8">
      <w:pPr>
        <w:widowControl/>
        <w:jc w:val="left"/>
        <w:rPr>
          <w:iCs/>
        </w:rPr>
      </w:pPr>
      <w:r>
        <w:rPr>
          <w:iCs/>
        </w:rPr>
        <w:br w:type="page"/>
      </w:r>
    </w:p>
    <w:p w14:paraId="1781779F" w14:textId="46E1B4B4" w:rsidR="0094636E" w:rsidRPr="00312E5D" w:rsidRDefault="0094636E" w:rsidP="0094636E">
      <w:pPr>
        <w:rPr>
          <w:rFonts w:hint="eastAsia"/>
        </w:rPr>
      </w:pPr>
      <w:r>
        <w:rPr>
          <w:rFonts w:hint="eastAsia"/>
          <w:iCs/>
        </w:rPr>
        <w:lastRenderedPageBreak/>
        <w:t>【問</w:t>
      </w:r>
      <w:r w:rsidR="006029D8">
        <w:rPr>
          <w:iCs/>
        </w:rPr>
        <w:t>4</w:t>
      </w:r>
      <w:r>
        <w:rPr>
          <w:rFonts w:hint="eastAsia"/>
          <w:iCs/>
        </w:rPr>
        <w:t>】</w:t>
      </w:r>
    </w:p>
    <w:tbl>
      <w:tblPr>
        <w:tblStyle w:val="ac"/>
        <w:tblW w:w="0" w:type="auto"/>
        <w:tblLook w:val="04A0" w:firstRow="1" w:lastRow="0" w:firstColumn="1" w:lastColumn="0" w:noHBand="0" w:noVBand="1"/>
      </w:tblPr>
      <w:tblGrid>
        <w:gridCol w:w="511"/>
        <w:gridCol w:w="9955"/>
      </w:tblGrid>
      <w:tr w:rsidR="0094636E" w14:paraId="37E618D0" w14:textId="77777777" w:rsidTr="00171B45">
        <w:tc>
          <w:tcPr>
            <w:tcW w:w="10466" w:type="dxa"/>
            <w:gridSpan w:val="2"/>
            <w:tcBorders>
              <w:top w:val="nil"/>
              <w:left w:val="nil"/>
              <w:bottom w:val="nil"/>
              <w:right w:val="nil"/>
            </w:tcBorders>
          </w:tcPr>
          <w:p w14:paraId="1D653144" w14:textId="77777777" w:rsidR="0094636E" w:rsidRDefault="00633A63" w:rsidP="00171B45">
            <w:pPr>
              <w:rPr>
                <w:iCs/>
              </w:rPr>
            </w:pPr>
            <w:r>
              <w:rPr>
                <w:rFonts w:hint="eastAsia"/>
                <w:iCs/>
              </w:rPr>
              <w:t>B社（決算日3月31日）は債券相場の上昇を見込んで，20X5年</w:t>
            </w:r>
            <w:r w:rsidR="00AD4BAF">
              <w:rPr>
                <w:rFonts w:hint="eastAsia"/>
                <w:iCs/>
              </w:rPr>
              <w:t>1月10日に国債先物の相場が</w:t>
            </w:r>
            <m:oMath>
              <m:r>
                <w:rPr>
                  <w:rFonts w:ascii="Cambria Math" w:hAnsi="Cambria Math"/>
                </w:rPr>
                <m:t>@122</m:t>
              </m:r>
            </m:oMath>
            <w:r w:rsidR="00AD4BAF">
              <w:rPr>
                <w:rFonts w:hint="eastAsia"/>
                <w:iCs/>
              </w:rPr>
              <w:t>円の時点で，行使価格が</w:t>
            </w:r>
            <m:oMath>
              <m:r>
                <w:rPr>
                  <w:rFonts w:ascii="Cambria Math" w:hAnsi="Cambria Math"/>
                </w:rPr>
                <m:t>@125</m:t>
              </m:r>
            </m:oMath>
            <w:r w:rsidR="00AD4BAF">
              <w:rPr>
                <w:rFonts w:hint="eastAsia"/>
                <w:iCs/>
              </w:rPr>
              <w:t>円の国債先物のコールオプションを額面総額</w:t>
            </w:r>
            <m:oMath>
              <m:r>
                <w:rPr>
                  <w:rFonts w:ascii="Cambria Math" w:hAnsi="Cambria Math"/>
                </w:rPr>
                <m:t>5,000</m:t>
              </m:r>
            </m:oMath>
            <w:r w:rsidR="0033678D">
              <w:rPr>
                <w:rFonts w:hint="eastAsia"/>
                <w:iCs/>
              </w:rPr>
              <w:t>億（50億口）だけ買建て，額面</w:t>
            </w:r>
            <m:oMath>
              <m:r>
                <w:rPr>
                  <w:rFonts w:ascii="Cambria Math" w:hAnsi="Cambria Math"/>
                </w:rPr>
                <m:t>@100</m:t>
              </m:r>
            </m:oMath>
            <w:r w:rsidR="0033678D">
              <w:rPr>
                <w:rFonts w:hint="eastAsia"/>
                <w:iCs/>
              </w:rPr>
              <w:t>円</w:t>
            </w:r>
            <w:r w:rsidR="00F0262F">
              <w:rPr>
                <w:rFonts w:hint="eastAsia"/>
                <w:iCs/>
              </w:rPr>
              <w:t>（1口）につきオプション料</w:t>
            </w:r>
            <w:r w:rsidR="00642EF4">
              <w:rPr>
                <w:rFonts w:hint="eastAsia"/>
                <w:iCs/>
              </w:rPr>
              <w:t xml:space="preserve"> </w:t>
            </w:r>
            <m:oMath>
              <m:r>
                <w:rPr>
                  <w:rFonts w:ascii="Cambria Math" w:hAnsi="Cambria Math"/>
                </w:rPr>
                <m:t>@0.4</m:t>
              </m:r>
            </m:oMath>
            <w:r w:rsidR="00F0262F">
              <w:rPr>
                <w:rFonts w:hint="eastAsia"/>
                <w:iCs/>
              </w:rPr>
              <w:t>円</w:t>
            </w:r>
            <w:r w:rsidR="00642EF4">
              <w:rPr>
                <w:rFonts w:hint="eastAsia"/>
                <w:iCs/>
              </w:rPr>
              <w:t>を現金で支払った．20X5年3月31日の国債先物相場は</w:t>
            </w:r>
            <m:oMath>
              <m:r>
                <w:rPr>
                  <w:rFonts w:ascii="Cambria Math" w:hAnsi="Cambria Math"/>
                </w:rPr>
                <m:t>@123</m:t>
              </m:r>
            </m:oMath>
            <w:r w:rsidR="00642EF4">
              <w:rPr>
                <w:rFonts w:hint="eastAsia"/>
                <w:iCs/>
              </w:rPr>
              <w:t>円</w:t>
            </w:r>
            <w:r w:rsidR="0012260C">
              <w:rPr>
                <w:rFonts w:hint="eastAsia"/>
                <w:iCs/>
              </w:rPr>
              <w:t>，コールオプションの価格は</w:t>
            </w:r>
            <m:oMath>
              <m:r>
                <w:rPr>
                  <w:rFonts w:ascii="Cambria Math" w:hAnsi="Cambria Math"/>
                </w:rPr>
                <m:t>@0.7</m:t>
              </m:r>
            </m:oMath>
            <w:r w:rsidR="0012260C">
              <w:rPr>
                <w:rFonts w:hint="eastAsia"/>
                <w:iCs/>
              </w:rPr>
              <w:t>円であった．</w:t>
            </w:r>
          </w:p>
          <w:p w14:paraId="5CD6CF93" w14:textId="30851CB7" w:rsidR="0012260C" w:rsidRPr="00E9194A" w:rsidRDefault="0012260C" w:rsidP="00171B45">
            <w:pPr>
              <w:rPr>
                <w:rFonts w:hint="eastAsia"/>
                <w:i/>
                <w:iCs/>
              </w:rPr>
            </w:pPr>
            <w:r>
              <w:rPr>
                <w:rFonts w:hint="eastAsia"/>
                <w:iCs/>
              </w:rPr>
              <w:t>20X5年4月15日に国債先物相場が</w:t>
            </w:r>
            <m:oMath>
              <m:r>
                <w:rPr>
                  <w:rFonts w:ascii="Cambria Math" w:hAnsi="Cambria Math"/>
                </w:rPr>
                <m:t>@124</m:t>
              </m:r>
            </m:oMath>
            <w:r>
              <w:rPr>
                <w:rFonts w:hint="eastAsia"/>
                <w:iCs/>
              </w:rPr>
              <w:t>円</w:t>
            </w:r>
            <w:r w:rsidR="00E9194A">
              <w:rPr>
                <w:rFonts w:hint="eastAsia"/>
                <w:iCs/>
              </w:rPr>
              <w:t>，コールオプション価格が</w:t>
            </w:r>
            <m:oMath>
              <m:r>
                <w:rPr>
                  <w:rFonts w:ascii="Cambria Math" w:hAnsi="Cambria Math"/>
                </w:rPr>
                <m:t>@1.1</m:t>
              </m:r>
            </m:oMath>
            <w:r w:rsidR="00E9194A">
              <w:rPr>
                <w:rFonts w:hint="eastAsia"/>
                <w:iCs/>
              </w:rPr>
              <w:t>円となったとき，B社はコールオプション</w:t>
            </w:r>
            <w:r w:rsidR="00204478">
              <w:rPr>
                <w:rFonts w:hint="eastAsia"/>
                <w:iCs/>
              </w:rPr>
              <w:t>を反対売買により決済した．ただし，売買手数料は無視する．</w:t>
            </w:r>
          </w:p>
        </w:tc>
      </w:tr>
      <w:tr w:rsidR="0094636E" w14:paraId="0DC52D2F" w14:textId="77777777" w:rsidTr="00171B45">
        <w:tc>
          <w:tcPr>
            <w:tcW w:w="511" w:type="dxa"/>
            <w:tcBorders>
              <w:top w:val="nil"/>
              <w:left w:val="nil"/>
              <w:bottom w:val="nil"/>
              <w:right w:val="nil"/>
            </w:tcBorders>
          </w:tcPr>
          <w:p w14:paraId="1152B84F" w14:textId="77777777" w:rsidR="0094636E" w:rsidRDefault="0094636E" w:rsidP="00171B45">
            <w:pPr>
              <w:rPr>
                <w:iCs/>
              </w:rPr>
            </w:pPr>
            <w:r>
              <w:rPr>
                <w:rFonts w:hint="eastAsia"/>
                <w:iCs/>
              </w:rPr>
              <w:t>(</w:t>
            </w:r>
            <w:r>
              <w:rPr>
                <w:iCs/>
              </w:rPr>
              <w:t>1)</w:t>
            </w:r>
          </w:p>
        </w:tc>
        <w:tc>
          <w:tcPr>
            <w:tcW w:w="9955" w:type="dxa"/>
            <w:tcBorders>
              <w:top w:val="nil"/>
              <w:left w:val="nil"/>
              <w:bottom w:val="nil"/>
              <w:right w:val="nil"/>
            </w:tcBorders>
          </w:tcPr>
          <w:p w14:paraId="2D7572E3" w14:textId="4B9624D2" w:rsidR="0094636E" w:rsidRDefault="0094636E" w:rsidP="00171B45">
            <w:pPr>
              <w:rPr>
                <w:rFonts w:hint="eastAsia"/>
                <w:iCs/>
              </w:rPr>
            </w:pPr>
          </w:p>
        </w:tc>
      </w:tr>
      <w:tr w:rsidR="0094636E" w14:paraId="51E52BB9" w14:textId="77777777" w:rsidTr="00171B45">
        <w:tc>
          <w:tcPr>
            <w:tcW w:w="511" w:type="dxa"/>
            <w:tcBorders>
              <w:top w:val="nil"/>
              <w:left w:val="nil"/>
              <w:bottom w:val="nil"/>
              <w:right w:val="nil"/>
            </w:tcBorders>
          </w:tcPr>
          <w:p w14:paraId="606318D2" w14:textId="77777777" w:rsidR="0094636E" w:rsidRDefault="0094636E" w:rsidP="00171B45">
            <w:pPr>
              <w:rPr>
                <w:iCs/>
              </w:rPr>
            </w:pPr>
            <w:r>
              <w:rPr>
                <w:rFonts w:hint="eastAsia"/>
                <w:iCs/>
              </w:rPr>
              <w:t>(</w:t>
            </w:r>
            <w:r>
              <w:rPr>
                <w:iCs/>
              </w:rPr>
              <w:t>2)</w:t>
            </w:r>
          </w:p>
        </w:tc>
        <w:tc>
          <w:tcPr>
            <w:tcW w:w="9955" w:type="dxa"/>
            <w:tcBorders>
              <w:top w:val="nil"/>
              <w:left w:val="nil"/>
              <w:bottom w:val="nil"/>
              <w:right w:val="nil"/>
            </w:tcBorders>
          </w:tcPr>
          <w:p w14:paraId="54BC2BB2" w14:textId="5A0F5A96" w:rsidR="0094636E" w:rsidRDefault="0094636E" w:rsidP="00171B45">
            <w:pPr>
              <w:rPr>
                <w:rFonts w:hint="eastAsia"/>
                <w:iCs/>
              </w:rPr>
            </w:pPr>
          </w:p>
        </w:tc>
      </w:tr>
      <w:tr w:rsidR="0094636E" w14:paraId="7C04BFF2" w14:textId="77777777" w:rsidTr="00171B45">
        <w:tc>
          <w:tcPr>
            <w:tcW w:w="511" w:type="dxa"/>
            <w:tcBorders>
              <w:top w:val="nil"/>
              <w:left w:val="nil"/>
              <w:bottom w:val="nil"/>
              <w:right w:val="nil"/>
            </w:tcBorders>
          </w:tcPr>
          <w:p w14:paraId="5FCB2CCD" w14:textId="77777777" w:rsidR="0094636E" w:rsidRDefault="0094636E" w:rsidP="00171B45">
            <w:pPr>
              <w:rPr>
                <w:iCs/>
              </w:rPr>
            </w:pPr>
            <w:r>
              <w:rPr>
                <w:rFonts w:hint="eastAsia"/>
                <w:iCs/>
              </w:rPr>
              <w:t>(</w:t>
            </w:r>
            <w:r>
              <w:rPr>
                <w:iCs/>
              </w:rPr>
              <w:t>3)</w:t>
            </w:r>
          </w:p>
        </w:tc>
        <w:tc>
          <w:tcPr>
            <w:tcW w:w="9955" w:type="dxa"/>
            <w:tcBorders>
              <w:top w:val="nil"/>
              <w:left w:val="nil"/>
              <w:bottom w:val="nil"/>
              <w:right w:val="nil"/>
            </w:tcBorders>
          </w:tcPr>
          <w:p w14:paraId="10829116" w14:textId="1A132594" w:rsidR="0094636E" w:rsidRDefault="0094636E" w:rsidP="00171B45">
            <w:pPr>
              <w:rPr>
                <w:rFonts w:hint="eastAsia"/>
                <w:iCs/>
              </w:rPr>
            </w:pPr>
          </w:p>
        </w:tc>
      </w:tr>
    </w:tbl>
    <w:p w14:paraId="5D44A7A4" w14:textId="77777777" w:rsidR="0094636E" w:rsidRPr="0041064A" w:rsidRDefault="0094636E" w:rsidP="0094636E">
      <w:pPr>
        <w:rPr>
          <w:iCs/>
        </w:rPr>
      </w:pPr>
      <w:r>
        <w:rPr>
          <w:rFonts w:hint="eastAsia"/>
          <w:iCs/>
        </w:rPr>
        <w:t>≪解答・解説≫</w:t>
      </w:r>
    </w:p>
    <w:tbl>
      <w:tblPr>
        <w:tblStyle w:val="ac"/>
        <w:tblW w:w="0" w:type="auto"/>
        <w:tblLook w:val="04A0" w:firstRow="1" w:lastRow="0" w:firstColumn="1" w:lastColumn="0" w:noHBand="0" w:noVBand="1"/>
      </w:tblPr>
      <w:tblGrid>
        <w:gridCol w:w="511"/>
        <w:gridCol w:w="9955"/>
      </w:tblGrid>
      <w:tr w:rsidR="0094636E" w14:paraId="4E5C5836" w14:textId="77777777" w:rsidTr="00171B45">
        <w:tc>
          <w:tcPr>
            <w:tcW w:w="511" w:type="dxa"/>
            <w:tcBorders>
              <w:top w:val="nil"/>
              <w:left w:val="nil"/>
              <w:bottom w:val="nil"/>
              <w:right w:val="nil"/>
            </w:tcBorders>
          </w:tcPr>
          <w:p w14:paraId="2DE01AD1" w14:textId="77777777" w:rsidR="0094636E" w:rsidRDefault="0094636E" w:rsidP="00171B45">
            <w:pPr>
              <w:rPr>
                <w:iCs/>
              </w:rPr>
            </w:pPr>
            <w:r>
              <w:rPr>
                <w:rFonts w:hint="eastAsia"/>
                <w:iCs/>
              </w:rPr>
              <w:t>(</w:t>
            </w:r>
            <w:r>
              <w:rPr>
                <w:iCs/>
              </w:rPr>
              <w:t>1)</w:t>
            </w:r>
          </w:p>
        </w:tc>
        <w:tc>
          <w:tcPr>
            <w:tcW w:w="9955" w:type="dxa"/>
            <w:tcBorders>
              <w:top w:val="nil"/>
              <w:left w:val="nil"/>
              <w:bottom w:val="nil"/>
              <w:right w:val="nil"/>
            </w:tcBorders>
          </w:tcPr>
          <w:p w14:paraId="5A64213F" w14:textId="77777777" w:rsidR="0094636E" w:rsidRPr="003B690A" w:rsidRDefault="0094636E" w:rsidP="00171B45">
            <w:pPr>
              <w:rPr>
                <w:rFonts w:hint="eastAsia"/>
                <w:iCs/>
              </w:rPr>
            </w:pPr>
          </w:p>
        </w:tc>
      </w:tr>
      <w:tr w:rsidR="0094636E" w14:paraId="0E944B65" w14:textId="77777777" w:rsidTr="00171B45">
        <w:tc>
          <w:tcPr>
            <w:tcW w:w="511" w:type="dxa"/>
            <w:tcBorders>
              <w:top w:val="nil"/>
              <w:left w:val="nil"/>
              <w:bottom w:val="nil"/>
              <w:right w:val="nil"/>
            </w:tcBorders>
          </w:tcPr>
          <w:p w14:paraId="47B0DFCA" w14:textId="77777777" w:rsidR="0094636E" w:rsidRDefault="0094636E" w:rsidP="00171B45">
            <w:pPr>
              <w:rPr>
                <w:iCs/>
              </w:rPr>
            </w:pPr>
            <w:r>
              <w:rPr>
                <w:rFonts w:hint="eastAsia"/>
                <w:iCs/>
              </w:rPr>
              <w:t>(</w:t>
            </w:r>
            <w:r>
              <w:rPr>
                <w:iCs/>
              </w:rPr>
              <w:t>2)</w:t>
            </w:r>
          </w:p>
        </w:tc>
        <w:tc>
          <w:tcPr>
            <w:tcW w:w="9955" w:type="dxa"/>
            <w:tcBorders>
              <w:top w:val="nil"/>
              <w:left w:val="nil"/>
              <w:bottom w:val="nil"/>
              <w:right w:val="nil"/>
            </w:tcBorders>
          </w:tcPr>
          <w:p w14:paraId="5FC4739E" w14:textId="7D952749" w:rsidR="0094636E" w:rsidRPr="00F520DA" w:rsidRDefault="0094636E" w:rsidP="00171B45">
            <w:pPr>
              <w:rPr>
                <w:rFonts w:hint="eastAsia"/>
                <w:iCs/>
              </w:rPr>
            </w:pPr>
          </w:p>
        </w:tc>
      </w:tr>
      <w:tr w:rsidR="0094636E" w14:paraId="71098A1D" w14:textId="77777777" w:rsidTr="00171B45">
        <w:tc>
          <w:tcPr>
            <w:tcW w:w="511" w:type="dxa"/>
            <w:tcBorders>
              <w:top w:val="nil"/>
              <w:left w:val="nil"/>
              <w:bottom w:val="nil"/>
              <w:right w:val="nil"/>
            </w:tcBorders>
          </w:tcPr>
          <w:p w14:paraId="6A1D10BE" w14:textId="77777777" w:rsidR="0094636E" w:rsidRDefault="0094636E" w:rsidP="00171B45">
            <w:pPr>
              <w:rPr>
                <w:iCs/>
              </w:rPr>
            </w:pPr>
            <w:r>
              <w:rPr>
                <w:rFonts w:hint="eastAsia"/>
                <w:iCs/>
              </w:rPr>
              <w:t>(</w:t>
            </w:r>
            <w:r>
              <w:rPr>
                <w:iCs/>
              </w:rPr>
              <w:t>3)</w:t>
            </w:r>
          </w:p>
        </w:tc>
        <w:tc>
          <w:tcPr>
            <w:tcW w:w="9955" w:type="dxa"/>
            <w:tcBorders>
              <w:top w:val="nil"/>
              <w:left w:val="nil"/>
              <w:bottom w:val="nil"/>
              <w:right w:val="nil"/>
            </w:tcBorders>
          </w:tcPr>
          <w:p w14:paraId="316B00C6" w14:textId="2FC939D4" w:rsidR="0094636E" w:rsidRPr="00F90847" w:rsidRDefault="0094636E" w:rsidP="00171B45">
            <w:pPr>
              <w:rPr>
                <w:rFonts w:hint="eastAsia"/>
                <w:iCs/>
              </w:rPr>
            </w:pPr>
          </w:p>
        </w:tc>
      </w:tr>
    </w:tbl>
    <w:p w14:paraId="0B11F3CA" w14:textId="77777777" w:rsidR="0094636E" w:rsidRPr="0094636E" w:rsidRDefault="0094636E" w:rsidP="0094636E">
      <w:pPr>
        <w:pBdr>
          <w:bottom w:val="double" w:sz="6" w:space="0" w:color="auto"/>
        </w:pBdr>
        <w:rPr>
          <w:iCs/>
        </w:rPr>
      </w:pPr>
    </w:p>
    <w:p w14:paraId="1AC21975" w14:textId="77777777" w:rsidR="0094636E" w:rsidRDefault="0094636E" w:rsidP="0094636E">
      <w:pPr>
        <w:pBdr>
          <w:bottom w:val="double" w:sz="6" w:space="0" w:color="auto"/>
        </w:pBdr>
        <w:rPr>
          <w:iCs/>
        </w:rPr>
      </w:pPr>
    </w:p>
    <w:p w14:paraId="684EB8E8" w14:textId="77777777" w:rsidR="0094636E" w:rsidRDefault="0094636E" w:rsidP="0094636E">
      <w:pPr>
        <w:pBdr>
          <w:bottom w:val="double" w:sz="6" w:space="0" w:color="auto"/>
        </w:pBdr>
        <w:rPr>
          <w:iCs/>
        </w:rPr>
      </w:pPr>
    </w:p>
    <w:p w14:paraId="58BD51D4" w14:textId="77777777" w:rsidR="0094636E" w:rsidRDefault="0094636E" w:rsidP="0094636E">
      <w:pPr>
        <w:pBdr>
          <w:bottom w:val="double" w:sz="6" w:space="0" w:color="auto"/>
        </w:pBdr>
        <w:rPr>
          <w:iCs/>
        </w:rPr>
      </w:pPr>
    </w:p>
    <w:p w14:paraId="7CA44712" w14:textId="77777777" w:rsidR="0094636E" w:rsidRDefault="0094636E" w:rsidP="0094636E">
      <w:pPr>
        <w:pBdr>
          <w:bottom w:val="double" w:sz="6" w:space="0" w:color="auto"/>
        </w:pBdr>
        <w:rPr>
          <w:iCs/>
        </w:rPr>
      </w:pPr>
    </w:p>
    <w:p w14:paraId="5F685988" w14:textId="77777777" w:rsidR="0094636E" w:rsidRDefault="0094636E" w:rsidP="0094636E">
      <w:pPr>
        <w:pBdr>
          <w:bottom w:val="double" w:sz="6" w:space="0" w:color="auto"/>
        </w:pBdr>
        <w:rPr>
          <w:iCs/>
        </w:rPr>
      </w:pPr>
    </w:p>
    <w:p w14:paraId="41A40EFF" w14:textId="77777777" w:rsidR="0094636E" w:rsidRDefault="0094636E" w:rsidP="0094636E">
      <w:pPr>
        <w:pBdr>
          <w:bottom w:val="double" w:sz="6" w:space="0" w:color="auto"/>
        </w:pBdr>
        <w:rPr>
          <w:iCs/>
        </w:rPr>
      </w:pPr>
    </w:p>
    <w:p w14:paraId="28036C98" w14:textId="77777777" w:rsidR="0094636E" w:rsidRDefault="0094636E" w:rsidP="0094636E">
      <w:pPr>
        <w:pBdr>
          <w:bottom w:val="double" w:sz="6" w:space="0" w:color="auto"/>
        </w:pBdr>
        <w:rPr>
          <w:iCs/>
        </w:rPr>
      </w:pPr>
    </w:p>
    <w:p w14:paraId="42CEA29A" w14:textId="77777777" w:rsidR="0094636E" w:rsidRDefault="0094636E" w:rsidP="0094636E">
      <w:pPr>
        <w:pBdr>
          <w:bottom w:val="double" w:sz="6" w:space="0" w:color="auto"/>
        </w:pBdr>
        <w:rPr>
          <w:rFonts w:hint="eastAsia"/>
          <w:iCs/>
        </w:rPr>
      </w:pPr>
    </w:p>
    <w:p w14:paraId="2A01356E" w14:textId="5649C4E9" w:rsidR="0094636E" w:rsidRDefault="0094636E" w:rsidP="005253C5">
      <w:pPr>
        <w:pBdr>
          <w:bottom w:val="double" w:sz="6" w:space="0" w:color="auto"/>
        </w:pBdr>
        <w:jc w:val="left"/>
        <w:rPr>
          <w:iCs/>
        </w:rPr>
      </w:pPr>
    </w:p>
    <w:sectPr w:rsidR="0094636E" w:rsidSect="00DF25F8">
      <w:footerReference w:type="default" r:id="rId8"/>
      <w:pgSz w:w="11906" w:h="16838"/>
      <w:pgMar w:top="720" w:right="720" w:bottom="720" w:left="720" w:header="851" w:footer="283"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DC443" w14:textId="77777777" w:rsidR="006F37EA" w:rsidRDefault="006F37EA" w:rsidP="00D91D94">
      <w:r>
        <w:separator/>
      </w:r>
    </w:p>
  </w:endnote>
  <w:endnote w:type="continuationSeparator" w:id="0">
    <w:p w14:paraId="647BA20E" w14:textId="77777777" w:rsidR="006F37EA" w:rsidRDefault="006F37EA" w:rsidP="00D91D94">
      <w:r>
        <w:continuationSeparator/>
      </w:r>
    </w:p>
  </w:endnote>
  <w:endnote w:type="continuationNotice" w:id="1">
    <w:p w14:paraId="3407F14F" w14:textId="77777777" w:rsidR="006F37EA" w:rsidRDefault="006F37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 w:name="ＭＳ Ｐゴシック">
    <w:panose1 w:val="020B0600070205080204"/>
    <w:charset w:val="80"/>
    <w:family w:val="modern"/>
    <w:pitch w:val="variable"/>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3508787"/>
      <w:docPartObj>
        <w:docPartGallery w:val="Page Numbers (Bottom of Page)"/>
        <w:docPartUnique/>
      </w:docPartObj>
    </w:sdtPr>
    <w:sdtEndPr/>
    <w:sdtContent>
      <w:p w14:paraId="7C987A88" w14:textId="550449F9" w:rsidR="00CA52C6" w:rsidRDefault="00CA52C6">
        <w:pPr>
          <w:pStyle w:val="af0"/>
          <w:jc w:val="center"/>
        </w:pPr>
        <w:r>
          <w:fldChar w:fldCharType="begin"/>
        </w:r>
        <w:r>
          <w:instrText>PAGE   \* MERGEFORMAT</w:instrText>
        </w:r>
        <w:r>
          <w:fldChar w:fldCharType="separate"/>
        </w:r>
        <w:r>
          <w:rPr>
            <w:lang w:val="ja-JP"/>
          </w:rPr>
          <w:t>2</w:t>
        </w:r>
        <w:r>
          <w:fldChar w:fldCharType="end"/>
        </w:r>
      </w:p>
    </w:sdtContent>
  </w:sdt>
  <w:p w14:paraId="5097FF29" w14:textId="77777777" w:rsidR="00CA52C6" w:rsidRDefault="00CA52C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EF0475" w14:textId="77777777" w:rsidR="006F37EA" w:rsidRDefault="006F37EA" w:rsidP="00D91D94">
      <w:r>
        <w:separator/>
      </w:r>
    </w:p>
  </w:footnote>
  <w:footnote w:type="continuationSeparator" w:id="0">
    <w:p w14:paraId="3E89F16A" w14:textId="77777777" w:rsidR="006F37EA" w:rsidRDefault="006F37EA" w:rsidP="00D91D94">
      <w:r>
        <w:continuationSeparator/>
      </w:r>
    </w:p>
  </w:footnote>
  <w:footnote w:type="continuationNotice" w:id="1">
    <w:p w14:paraId="79AAA19F" w14:textId="77777777" w:rsidR="006F37EA" w:rsidRDefault="006F37E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C7474"/>
    <w:multiLevelType w:val="multilevel"/>
    <w:tmpl w:val="D85E49A8"/>
    <w:styleLink w:val="a"/>
    <w:lvl w:ilvl="0">
      <w:start w:val="1"/>
      <w:numFmt w:val="decimal"/>
      <w:suff w:val="space"/>
      <w:lvlText w:val="%1."/>
      <w:lvlJc w:val="left"/>
      <w:pPr>
        <w:ind w:left="0" w:firstLine="0"/>
      </w:pPr>
      <w:rPr>
        <w:rFonts w:ascii="Times New Roman" w:eastAsia="ＭＳ 明朝" w:hAnsi="Times New Roman" w:hint="default"/>
        <w:b/>
        <w:i w:val="0"/>
        <w:color w:val="auto"/>
        <w:sz w:val="32"/>
      </w:rPr>
    </w:lvl>
    <w:lvl w:ilvl="1">
      <w:start w:val="1"/>
      <w:numFmt w:val="decimal"/>
      <w:pStyle w:val="2"/>
      <w:suff w:val="space"/>
      <w:lvlText w:val="%1.%2"/>
      <w:lvlJc w:val="left"/>
      <w:pPr>
        <w:ind w:left="0" w:firstLine="0"/>
      </w:pPr>
      <w:rPr>
        <w:rFonts w:ascii="Times New Roman" w:eastAsia="ＭＳ 明朝" w:hAnsi="Times New Roman" w:hint="default"/>
        <w:b/>
        <w:i w:val="0"/>
        <w:sz w:val="32"/>
      </w:rPr>
    </w:lvl>
    <w:lvl w:ilvl="2">
      <w:start w:val="1"/>
      <w:numFmt w:val="decimal"/>
      <w:lvlRestart w:val="1"/>
      <w:pStyle w:val="3"/>
      <w:suff w:val="space"/>
      <w:lvlText w:val="%1.%2.%3"/>
      <w:lvlJc w:val="left"/>
      <w:pPr>
        <w:ind w:left="0" w:firstLine="0"/>
      </w:pPr>
      <w:rPr>
        <w:rFonts w:ascii="Times New Roman" w:eastAsia="ＭＳ 明朝" w:hAnsi="Times New Roman" w:hint="default"/>
        <w:b/>
        <w:i w:val="0"/>
        <w:sz w:val="32"/>
      </w:rPr>
    </w:lvl>
    <w:lvl w:ilvl="3">
      <w:start w:val="1"/>
      <w:numFmt w:val="decimal"/>
      <w:lvlText w:val="%1.%2.%3.%4"/>
      <w:lvlJc w:val="left"/>
      <w:pPr>
        <w:ind w:left="227" w:hanging="227"/>
      </w:pPr>
      <w:rPr>
        <w:rFonts w:ascii="Times New Roman" w:hAnsi="Times New Roman" w:hint="default"/>
        <w:b/>
        <w:i w:val="0"/>
        <w:sz w:val="24"/>
      </w:rPr>
    </w:lvl>
    <w:lvl w:ilvl="4">
      <w:start w:val="1"/>
      <w:numFmt w:val="decimal"/>
      <w:lvlText w:val="%1.%2.%3.%4.%5"/>
      <w:lvlJc w:val="left"/>
      <w:pPr>
        <w:ind w:left="227" w:hanging="227"/>
      </w:pPr>
      <w:rPr>
        <w:rFonts w:hint="eastAsia"/>
      </w:rPr>
    </w:lvl>
    <w:lvl w:ilvl="5">
      <w:start w:val="1"/>
      <w:numFmt w:val="decimal"/>
      <w:lvlText w:val="%1.%2.%3.%4.%5.%6"/>
      <w:lvlJc w:val="left"/>
      <w:pPr>
        <w:ind w:left="227" w:hanging="227"/>
      </w:pPr>
      <w:rPr>
        <w:rFonts w:hint="eastAsia"/>
      </w:rPr>
    </w:lvl>
    <w:lvl w:ilvl="6">
      <w:start w:val="1"/>
      <w:numFmt w:val="decimal"/>
      <w:lvlText w:val="%1.%2.%3.%4.%5.%6.%7"/>
      <w:lvlJc w:val="left"/>
      <w:pPr>
        <w:ind w:left="227" w:hanging="227"/>
      </w:pPr>
      <w:rPr>
        <w:rFonts w:hint="eastAsia"/>
      </w:rPr>
    </w:lvl>
    <w:lvl w:ilvl="7">
      <w:start w:val="1"/>
      <w:numFmt w:val="decimal"/>
      <w:lvlText w:val="%1.%2.%3.%4.%5.%6.%7.%8"/>
      <w:lvlJc w:val="left"/>
      <w:pPr>
        <w:ind w:left="227" w:hanging="227"/>
      </w:pPr>
      <w:rPr>
        <w:rFonts w:hint="eastAsia"/>
      </w:rPr>
    </w:lvl>
    <w:lvl w:ilvl="8">
      <w:start w:val="1"/>
      <w:numFmt w:val="decimal"/>
      <w:lvlText w:val="%1.%2.%3.%4.%5.%6.%7.%8.%9"/>
      <w:lvlJc w:val="left"/>
      <w:pPr>
        <w:ind w:left="227" w:hanging="227"/>
      </w:pPr>
      <w:rPr>
        <w:rFonts w:hint="eastAsia"/>
      </w:rPr>
    </w:lvl>
  </w:abstractNum>
  <w:abstractNum w:abstractNumId="1" w15:restartNumberingAfterBreak="0">
    <w:nsid w:val="12D35E8D"/>
    <w:multiLevelType w:val="hybridMultilevel"/>
    <w:tmpl w:val="19E496B2"/>
    <w:lvl w:ilvl="0" w:tplc="7584C1E6">
      <w:start w:val="1"/>
      <w:numFmt w:val="lowerRoman"/>
      <w:lvlText w:val="%1.)"/>
      <w:lvlJc w:val="left"/>
      <w:pPr>
        <w:ind w:left="840" w:hanging="420"/>
      </w:pPr>
      <w:rPr>
        <w:rFonts w:ascii="Times New Roman" w:hAnsi="Times New Roman" w:hint="default"/>
        <w:b/>
        <w:i w:val="0"/>
        <w:sz w:val="24"/>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2" w15:restartNumberingAfterBreak="0">
    <w:nsid w:val="13EC799C"/>
    <w:multiLevelType w:val="multilevel"/>
    <w:tmpl w:val="43663260"/>
    <w:styleLink w:val="2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suff w:val="space"/>
      <w:lvlText w:val="%1.%2."/>
      <w:lvlJc w:val="left"/>
      <w:pPr>
        <w:ind w:left="0" w:firstLine="0"/>
      </w:pPr>
      <w:rPr>
        <w:rFonts w:ascii="Times New Roman" w:eastAsia="ＭＳ 明朝" w:hAnsi="Times New Roman" w:hint="default"/>
        <w:b/>
        <w:i w:val="0"/>
        <w:sz w:val="32"/>
      </w:rPr>
    </w:lvl>
    <w:lvl w:ilvl="2">
      <w:start w:val="1"/>
      <w:numFmt w:val="decimal"/>
      <w:lvlText w:val="%3.%2.%1"/>
      <w:lvlJc w:val="left"/>
      <w:pPr>
        <w:ind w:left="0" w:firstLine="0"/>
      </w:pPr>
      <w:rPr>
        <w:rFonts w:ascii="Times New Roman" w:hAnsi="Times New Roman" w:hint="default"/>
        <w:b/>
        <w:i w:val="0"/>
        <w:sz w:val="32"/>
      </w:rPr>
    </w:lvl>
    <w:lvl w:ilvl="3">
      <w:start w:val="1"/>
      <w:numFmt w:val="decimal"/>
      <w:lvlText w:val="%4."/>
      <w:lvlJc w:val="left"/>
      <w:pPr>
        <w:ind w:left="3780" w:hanging="420"/>
      </w:pPr>
      <w:rPr>
        <w:rFonts w:hint="eastAsia"/>
      </w:rPr>
    </w:lvl>
    <w:lvl w:ilvl="4">
      <w:start w:val="1"/>
      <w:numFmt w:val="aiueoFullWidth"/>
      <w:lvlText w:val="(%5)"/>
      <w:lvlJc w:val="left"/>
      <w:pPr>
        <w:ind w:left="4200" w:hanging="420"/>
      </w:pPr>
      <w:rPr>
        <w:rFonts w:hint="eastAsia"/>
      </w:rPr>
    </w:lvl>
    <w:lvl w:ilvl="5">
      <w:start w:val="1"/>
      <w:numFmt w:val="decimalEnclosedCircle"/>
      <w:lvlText w:val="%6"/>
      <w:lvlJc w:val="left"/>
      <w:pPr>
        <w:ind w:left="4620" w:hanging="420"/>
      </w:pPr>
      <w:rPr>
        <w:rFonts w:hint="eastAsia"/>
      </w:rPr>
    </w:lvl>
    <w:lvl w:ilvl="6">
      <w:start w:val="1"/>
      <w:numFmt w:val="decimal"/>
      <w:lvlText w:val="%7."/>
      <w:lvlJc w:val="left"/>
      <w:pPr>
        <w:ind w:left="5040" w:hanging="420"/>
      </w:pPr>
      <w:rPr>
        <w:rFonts w:hint="eastAsia"/>
      </w:rPr>
    </w:lvl>
    <w:lvl w:ilvl="7">
      <w:start w:val="1"/>
      <w:numFmt w:val="aiueoFullWidth"/>
      <w:lvlText w:val="(%8)"/>
      <w:lvlJc w:val="left"/>
      <w:pPr>
        <w:ind w:left="5460" w:hanging="420"/>
      </w:pPr>
      <w:rPr>
        <w:rFonts w:hint="eastAsia"/>
      </w:rPr>
    </w:lvl>
    <w:lvl w:ilvl="8">
      <w:start w:val="1"/>
      <w:numFmt w:val="decimalEnclosedCircle"/>
      <w:lvlText w:val="%9"/>
      <w:lvlJc w:val="left"/>
      <w:pPr>
        <w:ind w:left="5880" w:hanging="420"/>
      </w:pPr>
      <w:rPr>
        <w:rFonts w:hint="eastAsia"/>
      </w:rPr>
    </w:lvl>
  </w:abstractNum>
  <w:abstractNum w:abstractNumId="3" w15:restartNumberingAfterBreak="0">
    <w:nsid w:val="18C32AB8"/>
    <w:multiLevelType w:val="multilevel"/>
    <w:tmpl w:val="82C4FF70"/>
    <w:numStyleLink w:val="a0"/>
  </w:abstractNum>
  <w:abstractNum w:abstractNumId="4" w15:restartNumberingAfterBreak="0">
    <w:nsid w:val="18E2522A"/>
    <w:multiLevelType w:val="multilevel"/>
    <w:tmpl w:val="D85E49A8"/>
    <w:numStyleLink w:val="a"/>
  </w:abstractNum>
  <w:abstractNum w:abstractNumId="5" w15:restartNumberingAfterBreak="0">
    <w:nsid w:val="1AD509C0"/>
    <w:multiLevelType w:val="hybridMultilevel"/>
    <w:tmpl w:val="FF5C2852"/>
    <w:lvl w:ilvl="0" w:tplc="4E84AD68">
      <w:start w:val="1"/>
      <w:numFmt w:val="decimal"/>
      <w:lvlText w:val="%1."/>
      <w:lvlJc w:val="left"/>
      <w:pPr>
        <w:ind w:left="420" w:hanging="420"/>
      </w:pPr>
      <w:rPr>
        <w:rFonts w:ascii="Times New Roman" w:hAnsi="Times New Roman" w:hint="default"/>
        <w:b/>
        <w:bCs w:val="0"/>
        <w:i w:val="0"/>
        <w:iCs w:val="0"/>
        <w:caps w:val="0"/>
        <w:smallCaps w:val="0"/>
        <w:strike w:val="0"/>
        <w:dstrike w:val="0"/>
        <w:outline w:val="0"/>
        <w:shadow w:val="0"/>
        <w:emboss w:val="0"/>
        <w:imprint w:val="0"/>
        <w:noProof w:val="0"/>
        <w:snapToGrid w:val="0"/>
        <w:vanish w:val="0"/>
        <w:color w:val="000000"/>
        <w:spacing w:val="0"/>
        <w:w w:val="0"/>
        <w:kern w:val="0"/>
        <w:position w:val="0"/>
        <w:sz w:val="24"/>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B53732A"/>
    <w:multiLevelType w:val="hybridMultilevel"/>
    <w:tmpl w:val="CE542C1C"/>
    <w:lvl w:ilvl="0" w:tplc="46C45E18">
      <w:start w:val="1"/>
      <w:numFmt w:val="decimal"/>
      <w:pStyle w:val="1"/>
      <w:lvlText w:val="%1."/>
      <w:lvlJc w:val="left"/>
      <w:pPr>
        <w:ind w:left="420" w:hanging="420"/>
      </w:pPr>
      <w:rPr>
        <w:rFonts w:ascii="Times New Roman" w:hAnsi="Times New Roman" w:hint="default"/>
        <w:b/>
        <w:i w:val="0"/>
        <w:sz w:val="28"/>
        <w:szCs w:val="28"/>
      </w:rPr>
    </w:lvl>
    <w:lvl w:ilvl="1" w:tplc="A73C3A2E">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241D3874"/>
    <w:multiLevelType w:val="hybridMultilevel"/>
    <w:tmpl w:val="63A65EE2"/>
    <w:lvl w:ilvl="0" w:tplc="7584C1E6">
      <w:start w:val="1"/>
      <w:numFmt w:val="lowerRoman"/>
      <w:lvlText w:val="%1.)"/>
      <w:lvlJc w:val="left"/>
      <w:pPr>
        <w:ind w:left="420" w:hanging="420"/>
      </w:pPr>
      <w:rPr>
        <w:rFonts w:ascii="Times New Roman" w:hAnsi="Times New Roman" w:hint="default"/>
        <w:b/>
        <w:i w:val="0"/>
        <w:sz w:val="24"/>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4691B42"/>
    <w:multiLevelType w:val="hybridMultilevel"/>
    <w:tmpl w:val="E0722C3E"/>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2ACF0FF4"/>
    <w:multiLevelType w:val="hybridMultilevel"/>
    <w:tmpl w:val="0456907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ED6E87"/>
    <w:multiLevelType w:val="hybridMultilevel"/>
    <w:tmpl w:val="27BEFF64"/>
    <w:lvl w:ilvl="0" w:tplc="0409000B">
      <w:start w:val="1"/>
      <w:numFmt w:val="bullet"/>
      <w:lvlText w:val=""/>
      <w:lvlJc w:val="left"/>
      <w:pPr>
        <w:ind w:left="420" w:hanging="420"/>
      </w:pPr>
      <w:rPr>
        <w:rFonts w:ascii="Wingdings" w:hAnsi="Wingdings" w:hint="default"/>
      </w:rPr>
    </w:lvl>
    <w:lvl w:ilvl="1" w:tplc="0409000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39792194"/>
    <w:multiLevelType w:val="hybridMultilevel"/>
    <w:tmpl w:val="CB76003C"/>
    <w:lvl w:ilvl="0" w:tplc="D80E4CC6">
      <w:start w:val="1"/>
      <w:numFmt w:val="decimalEnclosedCircle"/>
      <w:lvlText w:val="%1"/>
      <w:lvlJc w:val="left"/>
      <w:pPr>
        <w:ind w:left="1200" w:hanging="360"/>
      </w:pPr>
      <w:rPr>
        <w:rFonts w:hint="default"/>
      </w:rPr>
    </w:lvl>
    <w:lvl w:ilvl="1" w:tplc="04090017" w:tentative="1">
      <w:start w:val="1"/>
      <w:numFmt w:val="aiueoFullWidth"/>
      <w:lvlText w:val="(%2)"/>
      <w:lvlJc w:val="left"/>
      <w:pPr>
        <w:ind w:left="1680" w:hanging="420"/>
      </w:pPr>
    </w:lvl>
    <w:lvl w:ilvl="2" w:tplc="04090011" w:tentative="1">
      <w:start w:val="1"/>
      <w:numFmt w:val="decimalEnclosedCircle"/>
      <w:lvlText w:val="%3"/>
      <w:lvlJc w:val="left"/>
      <w:pPr>
        <w:ind w:left="2100" w:hanging="420"/>
      </w:pPr>
    </w:lvl>
    <w:lvl w:ilvl="3" w:tplc="0409000F" w:tentative="1">
      <w:start w:val="1"/>
      <w:numFmt w:val="decimal"/>
      <w:lvlText w:val="%4."/>
      <w:lvlJc w:val="left"/>
      <w:pPr>
        <w:ind w:left="2520" w:hanging="420"/>
      </w:pPr>
    </w:lvl>
    <w:lvl w:ilvl="4" w:tplc="04090017" w:tentative="1">
      <w:start w:val="1"/>
      <w:numFmt w:val="aiueoFullWidth"/>
      <w:lvlText w:val="(%5)"/>
      <w:lvlJc w:val="left"/>
      <w:pPr>
        <w:ind w:left="2940" w:hanging="420"/>
      </w:pPr>
    </w:lvl>
    <w:lvl w:ilvl="5" w:tplc="04090011" w:tentative="1">
      <w:start w:val="1"/>
      <w:numFmt w:val="decimalEnclosedCircle"/>
      <w:lvlText w:val="%6"/>
      <w:lvlJc w:val="left"/>
      <w:pPr>
        <w:ind w:left="3360" w:hanging="420"/>
      </w:pPr>
    </w:lvl>
    <w:lvl w:ilvl="6" w:tplc="0409000F" w:tentative="1">
      <w:start w:val="1"/>
      <w:numFmt w:val="decimal"/>
      <w:lvlText w:val="%7."/>
      <w:lvlJc w:val="left"/>
      <w:pPr>
        <w:ind w:left="3780" w:hanging="420"/>
      </w:pPr>
    </w:lvl>
    <w:lvl w:ilvl="7" w:tplc="04090017" w:tentative="1">
      <w:start w:val="1"/>
      <w:numFmt w:val="aiueoFullWidth"/>
      <w:lvlText w:val="(%8)"/>
      <w:lvlJc w:val="left"/>
      <w:pPr>
        <w:ind w:left="4200" w:hanging="420"/>
      </w:pPr>
    </w:lvl>
    <w:lvl w:ilvl="8" w:tplc="04090011" w:tentative="1">
      <w:start w:val="1"/>
      <w:numFmt w:val="decimalEnclosedCircle"/>
      <w:lvlText w:val="%9"/>
      <w:lvlJc w:val="left"/>
      <w:pPr>
        <w:ind w:left="4620" w:hanging="420"/>
      </w:pPr>
    </w:lvl>
  </w:abstractNum>
  <w:abstractNum w:abstractNumId="12" w15:restartNumberingAfterBreak="0">
    <w:nsid w:val="3A7B4071"/>
    <w:multiLevelType w:val="hybridMultilevel"/>
    <w:tmpl w:val="D248B5EE"/>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AD24EAC"/>
    <w:multiLevelType w:val="multilevel"/>
    <w:tmpl w:val="9ECEF24C"/>
    <w:styleLink w:val="10"/>
    <w:lvl w:ilvl="0">
      <w:start w:val="1"/>
      <w:numFmt w:val="decimal"/>
      <w:suff w:val="space"/>
      <w:lvlText w:val="%1."/>
      <w:lvlJc w:val="left"/>
      <w:pPr>
        <w:ind w:left="0" w:firstLine="0"/>
      </w:pPr>
      <w:rPr>
        <w:rFonts w:ascii="Times New Roman" w:eastAsia="ＭＳ 明朝" w:hAnsi="Times New Roman" w:hint="default"/>
        <w:b/>
        <w:i w:val="0"/>
        <w:sz w:val="32"/>
      </w:rPr>
    </w:lvl>
    <w:lvl w:ilvl="1">
      <w:start w:val="1"/>
      <w:numFmt w:val="decimal"/>
      <w:lvlText w:val="%1.%2."/>
      <w:lvlJc w:val="left"/>
      <w:pPr>
        <w:ind w:left="0" w:firstLine="0"/>
      </w:pPr>
      <w:rPr>
        <w:rFonts w:eastAsia="ＭＳ 明朝" w:hint="eastAsia"/>
        <w:b/>
        <w:sz w:val="32"/>
      </w:rPr>
    </w:lvl>
    <w:lvl w:ilvl="2">
      <w:start w:val="1"/>
      <w:numFmt w:val="decimal"/>
      <w:lvlText w:val="%1.%2.%3."/>
      <w:lvlJc w:val="left"/>
      <w:pPr>
        <w:ind w:left="0" w:firstLine="0"/>
      </w:pPr>
      <w:rPr>
        <w:rFonts w:eastAsia="ＭＳ 明朝" w:hint="eastAsia"/>
        <w:b/>
        <w:sz w:val="32"/>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4" w15:restartNumberingAfterBreak="0">
    <w:nsid w:val="3F0B3CE2"/>
    <w:multiLevelType w:val="hybridMultilevel"/>
    <w:tmpl w:val="D1BE18F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17B47A9"/>
    <w:multiLevelType w:val="hybridMultilevel"/>
    <w:tmpl w:val="BD783294"/>
    <w:lvl w:ilvl="0" w:tplc="A73C3A2E">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4B774E2"/>
    <w:multiLevelType w:val="hybridMultilevel"/>
    <w:tmpl w:val="A8647994"/>
    <w:lvl w:ilvl="0" w:tplc="A73C3A2E">
      <w:start w:val="1"/>
      <w:numFmt w:val="decimalEnclosedCircle"/>
      <w:lvlText w:val="%1"/>
      <w:lvlJc w:val="left"/>
      <w:pPr>
        <w:ind w:left="78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8F02F52"/>
    <w:multiLevelType w:val="hybridMultilevel"/>
    <w:tmpl w:val="10748EC0"/>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5C382D62"/>
    <w:multiLevelType w:val="hybridMultilevel"/>
    <w:tmpl w:val="6C267414"/>
    <w:lvl w:ilvl="0" w:tplc="04090009">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5CA26F92"/>
    <w:multiLevelType w:val="hybridMultilevel"/>
    <w:tmpl w:val="0FEAD96E"/>
    <w:lvl w:ilvl="0" w:tplc="E7D80B9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5F771BCF"/>
    <w:multiLevelType w:val="hybridMultilevel"/>
    <w:tmpl w:val="05EEECF8"/>
    <w:lvl w:ilvl="0" w:tplc="0409000D">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15:restartNumberingAfterBreak="0">
    <w:nsid w:val="60492C67"/>
    <w:multiLevelType w:val="hybridMultilevel"/>
    <w:tmpl w:val="16483246"/>
    <w:lvl w:ilvl="0" w:tplc="5ED8EC5C">
      <w:numFmt w:val="bullet"/>
      <w:lvlText w:val="・"/>
      <w:lvlJc w:val="left"/>
      <w:pPr>
        <w:ind w:left="360" w:hanging="360"/>
      </w:pPr>
      <w:rPr>
        <w:rFonts w:ascii="游明朝" w:eastAsia="游明朝" w:hAnsi="游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62C55929"/>
    <w:multiLevelType w:val="hybridMultilevel"/>
    <w:tmpl w:val="D966CC96"/>
    <w:lvl w:ilvl="0" w:tplc="B6E4C05A">
      <w:start w:val="1"/>
      <w:numFmt w:val="decimalEnclosedCircle"/>
      <w:lvlText w:val="%1"/>
      <w:lvlJc w:val="left"/>
      <w:pPr>
        <w:ind w:left="720" w:hanging="36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23" w15:restartNumberingAfterBreak="0">
    <w:nsid w:val="6EF90800"/>
    <w:multiLevelType w:val="multilevel"/>
    <w:tmpl w:val="82C4FF70"/>
    <w:styleLink w:val="a0"/>
    <w:lvl w:ilvl="0">
      <w:start w:val="1"/>
      <w:numFmt w:val="decimal"/>
      <w:lvlText w:val="%1"/>
      <w:lvlJc w:val="left"/>
      <w:pPr>
        <w:ind w:left="425" w:hanging="425"/>
      </w:pPr>
      <w:rPr>
        <w:rFonts w:ascii="Times New Roman" w:eastAsia="ＭＳ 明朝" w:hAnsi="Times New Roman" w:hint="default"/>
        <w:b/>
        <w:i w:val="0"/>
        <w:sz w:val="32"/>
      </w:rPr>
    </w:lvl>
    <w:lvl w:ilvl="1">
      <w:start w:val="1"/>
      <w:numFmt w:val="decimal"/>
      <w:lvlText w:val="%1.%2"/>
      <w:lvlJc w:val="left"/>
      <w:pPr>
        <w:ind w:left="992" w:hanging="992"/>
      </w:pPr>
      <w:rPr>
        <w:rFonts w:ascii="Times New Roman" w:eastAsia="ＭＳ 明朝" w:hAnsi="Times New Roman" w:hint="default"/>
        <w:b/>
        <w:i w:val="0"/>
        <w:sz w:val="32"/>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4" w15:restartNumberingAfterBreak="0">
    <w:nsid w:val="6FB12225"/>
    <w:multiLevelType w:val="hybridMultilevel"/>
    <w:tmpl w:val="4CBE9346"/>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15:restartNumberingAfterBreak="0">
    <w:nsid w:val="71564B2F"/>
    <w:multiLevelType w:val="hybridMultilevel"/>
    <w:tmpl w:val="F8C8A146"/>
    <w:lvl w:ilvl="0" w:tplc="0409000F">
      <w:start w:val="1"/>
      <w:numFmt w:val="decimal"/>
      <w:lvlText w:val="%1."/>
      <w:lvlJc w:val="left"/>
      <w:pPr>
        <w:ind w:left="420" w:hanging="420"/>
      </w:pPr>
      <w:rPr>
        <w:rFonts w:hint="default"/>
      </w:rPr>
    </w:lvl>
    <w:lvl w:ilvl="1" w:tplc="DDE42C14">
      <w:start w:val="4"/>
      <w:numFmt w:val="bullet"/>
      <w:lvlText w:val="・"/>
      <w:lvlJc w:val="left"/>
      <w:pPr>
        <w:ind w:left="780" w:hanging="360"/>
      </w:pPr>
      <w:rPr>
        <w:rFonts w:ascii="游明朝" w:eastAsia="游明朝" w:hAnsi="游明朝" w:cstheme="minorBidi"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7B024ED8"/>
    <w:multiLevelType w:val="hybridMultilevel"/>
    <w:tmpl w:val="4B40672A"/>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7" w15:restartNumberingAfterBreak="0">
    <w:nsid w:val="7CBF7E40"/>
    <w:multiLevelType w:val="hybridMultilevel"/>
    <w:tmpl w:val="803E4C06"/>
    <w:lvl w:ilvl="0" w:tplc="0409000B">
      <w:start w:val="1"/>
      <w:numFmt w:val="bullet"/>
      <w:lvlText w:val=""/>
      <w:lvlJc w:val="left"/>
      <w:pPr>
        <w:ind w:left="420" w:hanging="420"/>
      </w:pPr>
      <w:rPr>
        <w:rFonts w:ascii="Wingdings" w:hAnsi="Wingdings" w:hint="default"/>
      </w:rPr>
    </w:lvl>
    <w:lvl w:ilvl="1" w:tplc="D80E4CC6">
      <w:start w:val="1"/>
      <w:numFmt w:val="decimalEnclosedCircle"/>
      <w:lvlText w:val="%2"/>
      <w:lvlJc w:val="left"/>
      <w:pPr>
        <w:ind w:left="840" w:hanging="420"/>
      </w:pPr>
      <w:rPr>
        <w:rFont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8" w15:restartNumberingAfterBreak="0">
    <w:nsid w:val="7CE405E3"/>
    <w:multiLevelType w:val="hybridMultilevel"/>
    <w:tmpl w:val="A6FCC4CC"/>
    <w:lvl w:ilvl="0" w:tplc="0409000B">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9" w15:restartNumberingAfterBreak="0">
    <w:nsid w:val="7DE477EB"/>
    <w:multiLevelType w:val="hybridMultilevel"/>
    <w:tmpl w:val="6818FDA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0" w15:restartNumberingAfterBreak="0">
    <w:nsid w:val="7E07210F"/>
    <w:multiLevelType w:val="hybridMultilevel"/>
    <w:tmpl w:val="022E180E"/>
    <w:lvl w:ilvl="0" w:tplc="0BD4386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16cid:durableId="649211513">
    <w:abstractNumId w:val="13"/>
  </w:num>
  <w:num w:numId="2" w16cid:durableId="1376194994">
    <w:abstractNumId w:val="2"/>
  </w:num>
  <w:num w:numId="3" w16cid:durableId="119037698">
    <w:abstractNumId w:val="0"/>
  </w:num>
  <w:num w:numId="4" w16cid:durableId="179004679">
    <w:abstractNumId w:val="23"/>
  </w:num>
  <w:num w:numId="5" w16cid:durableId="1959217476">
    <w:abstractNumId w:val="3"/>
  </w:num>
  <w:num w:numId="6" w16cid:durableId="1142239050">
    <w:abstractNumId w:val="4"/>
    <w:lvlOverride w:ilvl="0">
      <w:lvl w:ilvl="0">
        <w:start w:val="1"/>
        <w:numFmt w:val="decimal"/>
        <w:suff w:val="space"/>
        <w:lvlText w:val="%1."/>
        <w:lvlJc w:val="left"/>
        <w:pPr>
          <w:ind w:left="0" w:firstLine="0"/>
        </w:pPr>
        <w:rPr>
          <w:rFonts w:ascii="Times New Roman" w:eastAsia="游明朝" w:hAnsi="Times New Roman" w:hint="default"/>
          <w:b/>
          <w:i w:val="0"/>
          <w:color w:val="auto"/>
          <w:sz w:val="28"/>
          <w:szCs w:val="24"/>
        </w:rPr>
      </w:lvl>
    </w:lvlOverride>
    <w:lvlOverride w:ilvl="1">
      <w:lvl w:ilvl="1">
        <w:start w:val="1"/>
        <w:numFmt w:val="decimal"/>
        <w:pStyle w:val="2"/>
        <w:suff w:val="space"/>
        <w:lvlText w:val="%1.%2"/>
        <w:lvlJc w:val="left"/>
        <w:pPr>
          <w:ind w:left="0" w:firstLine="0"/>
        </w:pPr>
        <w:rPr>
          <w:rFonts w:ascii="Times New Roman" w:eastAsia="游明朝" w:hAnsi="Times New Roman" w:hint="default"/>
          <w:b/>
          <w:i w:val="0"/>
          <w:sz w:val="24"/>
          <w:szCs w:val="18"/>
        </w:rPr>
      </w:lvl>
    </w:lvlOverride>
    <w:lvlOverride w:ilvl="2">
      <w:lvl w:ilvl="2">
        <w:start w:val="1"/>
        <w:numFmt w:val="decimal"/>
        <w:lvlRestart w:val="1"/>
        <w:pStyle w:val="3"/>
        <w:suff w:val="space"/>
        <w:lvlText w:val="%1.%2.%3"/>
        <w:lvlJc w:val="left"/>
        <w:pPr>
          <w:ind w:left="0" w:firstLine="0"/>
        </w:pPr>
        <w:rPr>
          <w:rFonts w:ascii="Times New Roman" w:eastAsia="游明朝" w:hAnsi="Times New Roman" w:hint="default"/>
          <w:b/>
          <w:i w:val="0"/>
          <w:sz w:val="22"/>
          <w:szCs w:val="21"/>
        </w:rPr>
      </w:lvl>
    </w:lvlOverride>
    <w:lvlOverride w:ilvl="3">
      <w:lvl w:ilvl="3">
        <w:start w:val="1"/>
        <w:numFmt w:val="decimal"/>
        <w:lvlText w:val="%1.%2.%3.%4"/>
        <w:lvlJc w:val="left"/>
        <w:pPr>
          <w:ind w:left="227" w:hanging="227"/>
        </w:pPr>
        <w:rPr>
          <w:rFonts w:ascii="Times New Roman" w:eastAsia="游明朝" w:hAnsi="Times New Roman" w:hint="default"/>
          <w:b/>
          <w:i w:val="0"/>
          <w:sz w:val="24"/>
        </w:rPr>
      </w:lvl>
    </w:lvlOverride>
    <w:lvlOverride w:ilvl="4">
      <w:lvl w:ilvl="4">
        <w:start w:val="1"/>
        <w:numFmt w:val="decimal"/>
        <w:lvlText w:val="%1.%2.%3.%4.%5"/>
        <w:lvlJc w:val="left"/>
        <w:pPr>
          <w:ind w:left="227" w:hanging="227"/>
        </w:pPr>
        <w:rPr>
          <w:rFonts w:hint="eastAsia"/>
        </w:rPr>
      </w:lvl>
    </w:lvlOverride>
    <w:lvlOverride w:ilvl="5">
      <w:lvl w:ilvl="5">
        <w:start w:val="1"/>
        <w:numFmt w:val="decimal"/>
        <w:lvlText w:val="%1.%2.%3.%4.%5.%6"/>
        <w:lvlJc w:val="left"/>
        <w:pPr>
          <w:ind w:left="227" w:hanging="227"/>
        </w:pPr>
        <w:rPr>
          <w:rFonts w:hint="eastAsia"/>
        </w:rPr>
      </w:lvl>
    </w:lvlOverride>
    <w:lvlOverride w:ilvl="6">
      <w:lvl w:ilvl="6">
        <w:start w:val="1"/>
        <w:numFmt w:val="decimal"/>
        <w:lvlText w:val="%1.%2.%3.%4.%5.%6.%7"/>
        <w:lvlJc w:val="left"/>
        <w:pPr>
          <w:ind w:left="227" w:hanging="227"/>
        </w:pPr>
        <w:rPr>
          <w:rFonts w:hint="eastAsia"/>
        </w:rPr>
      </w:lvl>
    </w:lvlOverride>
    <w:lvlOverride w:ilvl="7">
      <w:lvl w:ilvl="7">
        <w:start w:val="1"/>
        <w:numFmt w:val="decimal"/>
        <w:lvlText w:val="%1.%2.%3.%4.%5.%6.%7.%8"/>
        <w:lvlJc w:val="left"/>
        <w:pPr>
          <w:ind w:left="227" w:hanging="227"/>
        </w:pPr>
        <w:rPr>
          <w:rFonts w:hint="eastAsia"/>
        </w:rPr>
      </w:lvl>
    </w:lvlOverride>
    <w:lvlOverride w:ilvl="8">
      <w:lvl w:ilvl="8">
        <w:start w:val="1"/>
        <w:numFmt w:val="decimal"/>
        <w:lvlText w:val="%1.%2.%3.%4.%5.%6.%7.%8.%9"/>
        <w:lvlJc w:val="left"/>
        <w:pPr>
          <w:ind w:left="227" w:hanging="227"/>
        </w:pPr>
        <w:rPr>
          <w:rFonts w:hint="eastAsia"/>
        </w:rPr>
      </w:lvl>
    </w:lvlOverride>
  </w:num>
  <w:num w:numId="7" w16cid:durableId="21981981">
    <w:abstractNumId w:val="21"/>
  </w:num>
  <w:num w:numId="8" w16cid:durableId="1912545620">
    <w:abstractNumId w:val="22"/>
  </w:num>
  <w:num w:numId="9" w16cid:durableId="269317194">
    <w:abstractNumId w:val="28"/>
  </w:num>
  <w:num w:numId="10" w16cid:durableId="1873306177">
    <w:abstractNumId w:val="20"/>
  </w:num>
  <w:num w:numId="11" w16cid:durableId="1436558297">
    <w:abstractNumId w:val="30"/>
  </w:num>
  <w:num w:numId="12" w16cid:durableId="1183402407">
    <w:abstractNumId w:val="18"/>
  </w:num>
  <w:num w:numId="13" w16cid:durableId="1624313402">
    <w:abstractNumId w:val="24"/>
  </w:num>
  <w:num w:numId="14" w16cid:durableId="1414544402">
    <w:abstractNumId w:val="10"/>
  </w:num>
  <w:num w:numId="15" w16cid:durableId="455687214">
    <w:abstractNumId w:val="11"/>
  </w:num>
  <w:num w:numId="16" w16cid:durableId="325324806">
    <w:abstractNumId w:val="27"/>
  </w:num>
  <w:num w:numId="17" w16cid:durableId="1129856012">
    <w:abstractNumId w:val="12"/>
  </w:num>
  <w:num w:numId="18" w16cid:durableId="1976133688">
    <w:abstractNumId w:val="17"/>
  </w:num>
  <w:num w:numId="19" w16cid:durableId="613753404">
    <w:abstractNumId w:val="19"/>
  </w:num>
  <w:num w:numId="20" w16cid:durableId="214977670">
    <w:abstractNumId w:val="26"/>
  </w:num>
  <w:num w:numId="21" w16cid:durableId="4863979">
    <w:abstractNumId w:val="8"/>
  </w:num>
  <w:num w:numId="22" w16cid:durableId="1282615379">
    <w:abstractNumId w:val="25"/>
  </w:num>
  <w:num w:numId="23" w16cid:durableId="503856495">
    <w:abstractNumId w:val="29"/>
  </w:num>
  <w:num w:numId="24" w16cid:durableId="940989755">
    <w:abstractNumId w:val="9"/>
  </w:num>
  <w:num w:numId="25" w16cid:durableId="193731447">
    <w:abstractNumId w:val="5"/>
  </w:num>
  <w:num w:numId="26" w16cid:durableId="1469933263">
    <w:abstractNumId w:val="1"/>
  </w:num>
  <w:num w:numId="27" w16cid:durableId="1867402682">
    <w:abstractNumId w:val="7"/>
  </w:num>
  <w:num w:numId="28" w16cid:durableId="2087147873">
    <w:abstractNumId w:val="6"/>
  </w:num>
  <w:num w:numId="29" w16cid:durableId="689261654">
    <w:abstractNumId w:val="14"/>
  </w:num>
  <w:num w:numId="30" w16cid:durableId="1890144783">
    <w:abstractNumId w:val="15"/>
  </w:num>
  <w:num w:numId="31" w16cid:durableId="1682661010">
    <w:abstractNumId w:val="1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23B"/>
    <w:rsid w:val="000002A5"/>
    <w:rsid w:val="00000493"/>
    <w:rsid w:val="00001397"/>
    <w:rsid w:val="00001D24"/>
    <w:rsid w:val="000030EB"/>
    <w:rsid w:val="0000334B"/>
    <w:rsid w:val="000033B1"/>
    <w:rsid w:val="00003F18"/>
    <w:rsid w:val="000047F7"/>
    <w:rsid w:val="0000481E"/>
    <w:rsid w:val="00004C2B"/>
    <w:rsid w:val="00004D92"/>
    <w:rsid w:val="000051F9"/>
    <w:rsid w:val="00006807"/>
    <w:rsid w:val="00006D38"/>
    <w:rsid w:val="0000769B"/>
    <w:rsid w:val="00007889"/>
    <w:rsid w:val="00007D93"/>
    <w:rsid w:val="00010A51"/>
    <w:rsid w:val="0001104A"/>
    <w:rsid w:val="000114FE"/>
    <w:rsid w:val="000117AC"/>
    <w:rsid w:val="000129DE"/>
    <w:rsid w:val="00012ABC"/>
    <w:rsid w:val="00012C19"/>
    <w:rsid w:val="00015BDD"/>
    <w:rsid w:val="00015C58"/>
    <w:rsid w:val="00017B1B"/>
    <w:rsid w:val="000200AE"/>
    <w:rsid w:val="00020CC4"/>
    <w:rsid w:val="0002152C"/>
    <w:rsid w:val="0002207A"/>
    <w:rsid w:val="000227BD"/>
    <w:rsid w:val="00022B9D"/>
    <w:rsid w:val="0002398B"/>
    <w:rsid w:val="0002448F"/>
    <w:rsid w:val="000249F4"/>
    <w:rsid w:val="00024C35"/>
    <w:rsid w:val="00025B42"/>
    <w:rsid w:val="00026AE9"/>
    <w:rsid w:val="00027397"/>
    <w:rsid w:val="00027707"/>
    <w:rsid w:val="00027CFB"/>
    <w:rsid w:val="00031E06"/>
    <w:rsid w:val="00032302"/>
    <w:rsid w:val="0003243B"/>
    <w:rsid w:val="00033E27"/>
    <w:rsid w:val="000347EB"/>
    <w:rsid w:val="00035641"/>
    <w:rsid w:val="000358E6"/>
    <w:rsid w:val="0003595A"/>
    <w:rsid w:val="00036DDB"/>
    <w:rsid w:val="00036E4E"/>
    <w:rsid w:val="000376A6"/>
    <w:rsid w:val="00037F63"/>
    <w:rsid w:val="000403D8"/>
    <w:rsid w:val="00040759"/>
    <w:rsid w:val="00040F3B"/>
    <w:rsid w:val="000411F7"/>
    <w:rsid w:val="00041914"/>
    <w:rsid w:val="0004218A"/>
    <w:rsid w:val="00042965"/>
    <w:rsid w:val="00043485"/>
    <w:rsid w:val="000434D8"/>
    <w:rsid w:val="00043A97"/>
    <w:rsid w:val="00043CC8"/>
    <w:rsid w:val="00043D45"/>
    <w:rsid w:val="000444DD"/>
    <w:rsid w:val="0004483E"/>
    <w:rsid w:val="00044FAA"/>
    <w:rsid w:val="00045A8E"/>
    <w:rsid w:val="00045CAA"/>
    <w:rsid w:val="000461F2"/>
    <w:rsid w:val="00046322"/>
    <w:rsid w:val="00046F29"/>
    <w:rsid w:val="00047388"/>
    <w:rsid w:val="00050202"/>
    <w:rsid w:val="00051A6B"/>
    <w:rsid w:val="0005218B"/>
    <w:rsid w:val="000521B8"/>
    <w:rsid w:val="00052966"/>
    <w:rsid w:val="00052D0A"/>
    <w:rsid w:val="000530BA"/>
    <w:rsid w:val="0005312B"/>
    <w:rsid w:val="0005359A"/>
    <w:rsid w:val="0005361C"/>
    <w:rsid w:val="00053748"/>
    <w:rsid w:val="00054E47"/>
    <w:rsid w:val="00055E58"/>
    <w:rsid w:val="00056B31"/>
    <w:rsid w:val="00057C80"/>
    <w:rsid w:val="00057E67"/>
    <w:rsid w:val="000615EF"/>
    <w:rsid w:val="00062153"/>
    <w:rsid w:val="000623FE"/>
    <w:rsid w:val="000629CE"/>
    <w:rsid w:val="00067BA3"/>
    <w:rsid w:val="00067CD0"/>
    <w:rsid w:val="00070258"/>
    <w:rsid w:val="000704D4"/>
    <w:rsid w:val="0007121D"/>
    <w:rsid w:val="00071D80"/>
    <w:rsid w:val="0007509A"/>
    <w:rsid w:val="00075644"/>
    <w:rsid w:val="0007619C"/>
    <w:rsid w:val="000766E5"/>
    <w:rsid w:val="00076772"/>
    <w:rsid w:val="00076956"/>
    <w:rsid w:val="00076EE7"/>
    <w:rsid w:val="00077818"/>
    <w:rsid w:val="00077D8A"/>
    <w:rsid w:val="0008096C"/>
    <w:rsid w:val="00081635"/>
    <w:rsid w:val="00081B82"/>
    <w:rsid w:val="00081CD8"/>
    <w:rsid w:val="00081F1E"/>
    <w:rsid w:val="0008201B"/>
    <w:rsid w:val="00082182"/>
    <w:rsid w:val="000829D9"/>
    <w:rsid w:val="0008547A"/>
    <w:rsid w:val="00086D3A"/>
    <w:rsid w:val="000870A5"/>
    <w:rsid w:val="00091C7B"/>
    <w:rsid w:val="0009245A"/>
    <w:rsid w:val="0009297D"/>
    <w:rsid w:val="00092ED5"/>
    <w:rsid w:val="0009300B"/>
    <w:rsid w:val="0009594A"/>
    <w:rsid w:val="00095F93"/>
    <w:rsid w:val="00096134"/>
    <w:rsid w:val="00096BA4"/>
    <w:rsid w:val="00096FC8"/>
    <w:rsid w:val="000A0129"/>
    <w:rsid w:val="000A070F"/>
    <w:rsid w:val="000A0B4E"/>
    <w:rsid w:val="000A0EF3"/>
    <w:rsid w:val="000A13F9"/>
    <w:rsid w:val="000A182F"/>
    <w:rsid w:val="000A1D9A"/>
    <w:rsid w:val="000A23FE"/>
    <w:rsid w:val="000A3665"/>
    <w:rsid w:val="000A3F6F"/>
    <w:rsid w:val="000A469F"/>
    <w:rsid w:val="000A4F64"/>
    <w:rsid w:val="000A5EF3"/>
    <w:rsid w:val="000A5F36"/>
    <w:rsid w:val="000A689A"/>
    <w:rsid w:val="000A6A04"/>
    <w:rsid w:val="000A6BB1"/>
    <w:rsid w:val="000A718E"/>
    <w:rsid w:val="000B0225"/>
    <w:rsid w:val="000B207E"/>
    <w:rsid w:val="000B2B66"/>
    <w:rsid w:val="000B30B4"/>
    <w:rsid w:val="000B4927"/>
    <w:rsid w:val="000B4AAA"/>
    <w:rsid w:val="000B56EC"/>
    <w:rsid w:val="000B61C8"/>
    <w:rsid w:val="000B6A19"/>
    <w:rsid w:val="000B7A12"/>
    <w:rsid w:val="000C0528"/>
    <w:rsid w:val="000C0FD8"/>
    <w:rsid w:val="000C1043"/>
    <w:rsid w:val="000C16D2"/>
    <w:rsid w:val="000C258A"/>
    <w:rsid w:val="000C265F"/>
    <w:rsid w:val="000C3803"/>
    <w:rsid w:val="000C43E6"/>
    <w:rsid w:val="000C44C7"/>
    <w:rsid w:val="000C462C"/>
    <w:rsid w:val="000C4E94"/>
    <w:rsid w:val="000C56E6"/>
    <w:rsid w:val="000C5987"/>
    <w:rsid w:val="000C59A3"/>
    <w:rsid w:val="000C6592"/>
    <w:rsid w:val="000C6A8B"/>
    <w:rsid w:val="000C74A9"/>
    <w:rsid w:val="000C7601"/>
    <w:rsid w:val="000C7EE4"/>
    <w:rsid w:val="000C7F17"/>
    <w:rsid w:val="000D0F6B"/>
    <w:rsid w:val="000D1BF5"/>
    <w:rsid w:val="000D2536"/>
    <w:rsid w:val="000D3249"/>
    <w:rsid w:val="000D4319"/>
    <w:rsid w:val="000D43CB"/>
    <w:rsid w:val="000D4F06"/>
    <w:rsid w:val="000D4F4C"/>
    <w:rsid w:val="000D502F"/>
    <w:rsid w:val="000D52EB"/>
    <w:rsid w:val="000D5745"/>
    <w:rsid w:val="000E0206"/>
    <w:rsid w:val="000E051B"/>
    <w:rsid w:val="000E2663"/>
    <w:rsid w:val="000E4C56"/>
    <w:rsid w:val="000E509F"/>
    <w:rsid w:val="000E5293"/>
    <w:rsid w:val="000E5613"/>
    <w:rsid w:val="000E5868"/>
    <w:rsid w:val="000E5DB1"/>
    <w:rsid w:val="000E66F7"/>
    <w:rsid w:val="000E6712"/>
    <w:rsid w:val="000E6F64"/>
    <w:rsid w:val="000E775C"/>
    <w:rsid w:val="000F03BC"/>
    <w:rsid w:val="000F0489"/>
    <w:rsid w:val="000F0B4A"/>
    <w:rsid w:val="000F0E63"/>
    <w:rsid w:val="000F217D"/>
    <w:rsid w:val="000F25B6"/>
    <w:rsid w:val="000F330F"/>
    <w:rsid w:val="000F389A"/>
    <w:rsid w:val="000F3BAB"/>
    <w:rsid w:val="000F4A73"/>
    <w:rsid w:val="000F6DCC"/>
    <w:rsid w:val="000F7507"/>
    <w:rsid w:val="000F7E58"/>
    <w:rsid w:val="001005F4"/>
    <w:rsid w:val="001017FC"/>
    <w:rsid w:val="00103DE4"/>
    <w:rsid w:val="0010449D"/>
    <w:rsid w:val="00104FB9"/>
    <w:rsid w:val="00105566"/>
    <w:rsid w:val="00105841"/>
    <w:rsid w:val="00105CC0"/>
    <w:rsid w:val="00110F47"/>
    <w:rsid w:val="001114B1"/>
    <w:rsid w:val="00111D08"/>
    <w:rsid w:val="00112080"/>
    <w:rsid w:val="0011231C"/>
    <w:rsid w:val="001139C1"/>
    <w:rsid w:val="00114A6A"/>
    <w:rsid w:val="0012040E"/>
    <w:rsid w:val="00120DCB"/>
    <w:rsid w:val="0012105A"/>
    <w:rsid w:val="001222EC"/>
    <w:rsid w:val="0012257E"/>
    <w:rsid w:val="0012260C"/>
    <w:rsid w:val="0012277E"/>
    <w:rsid w:val="00125099"/>
    <w:rsid w:val="001252B9"/>
    <w:rsid w:val="0012557C"/>
    <w:rsid w:val="00125865"/>
    <w:rsid w:val="00125EA6"/>
    <w:rsid w:val="00126617"/>
    <w:rsid w:val="00130285"/>
    <w:rsid w:val="001302AE"/>
    <w:rsid w:val="001302C1"/>
    <w:rsid w:val="00130A61"/>
    <w:rsid w:val="00131375"/>
    <w:rsid w:val="001313F4"/>
    <w:rsid w:val="00131F02"/>
    <w:rsid w:val="00132770"/>
    <w:rsid w:val="0013320B"/>
    <w:rsid w:val="00133A47"/>
    <w:rsid w:val="00134737"/>
    <w:rsid w:val="0013512A"/>
    <w:rsid w:val="001357E1"/>
    <w:rsid w:val="00135934"/>
    <w:rsid w:val="00135ADB"/>
    <w:rsid w:val="00135D9F"/>
    <w:rsid w:val="00136EFB"/>
    <w:rsid w:val="001400A5"/>
    <w:rsid w:val="00140404"/>
    <w:rsid w:val="001407C5"/>
    <w:rsid w:val="0014113C"/>
    <w:rsid w:val="0014169B"/>
    <w:rsid w:val="00142225"/>
    <w:rsid w:val="00142CF2"/>
    <w:rsid w:val="001442C4"/>
    <w:rsid w:val="001457FC"/>
    <w:rsid w:val="00145992"/>
    <w:rsid w:val="00145D5C"/>
    <w:rsid w:val="00147308"/>
    <w:rsid w:val="001476DD"/>
    <w:rsid w:val="00147C9A"/>
    <w:rsid w:val="001502A8"/>
    <w:rsid w:val="0015063E"/>
    <w:rsid w:val="001509EA"/>
    <w:rsid w:val="00150D7E"/>
    <w:rsid w:val="00152E09"/>
    <w:rsid w:val="0015333A"/>
    <w:rsid w:val="0015337A"/>
    <w:rsid w:val="001536E2"/>
    <w:rsid w:val="00154D85"/>
    <w:rsid w:val="0015558B"/>
    <w:rsid w:val="00156E46"/>
    <w:rsid w:val="00157814"/>
    <w:rsid w:val="001578CA"/>
    <w:rsid w:val="001609E8"/>
    <w:rsid w:val="001613FD"/>
    <w:rsid w:val="00161E75"/>
    <w:rsid w:val="0016244E"/>
    <w:rsid w:val="00162478"/>
    <w:rsid w:val="001625AA"/>
    <w:rsid w:val="00162DCF"/>
    <w:rsid w:val="00162EB8"/>
    <w:rsid w:val="001630BD"/>
    <w:rsid w:val="001634B4"/>
    <w:rsid w:val="001634E3"/>
    <w:rsid w:val="0016426E"/>
    <w:rsid w:val="001644C9"/>
    <w:rsid w:val="00164DA8"/>
    <w:rsid w:val="001651AE"/>
    <w:rsid w:val="0016559B"/>
    <w:rsid w:val="0016769E"/>
    <w:rsid w:val="001677A6"/>
    <w:rsid w:val="001679BB"/>
    <w:rsid w:val="00167B43"/>
    <w:rsid w:val="00167D62"/>
    <w:rsid w:val="00170A09"/>
    <w:rsid w:val="001729F5"/>
    <w:rsid w:val="00172E0F"/>
    <w:rsid w:val="00173369"/>
    <w:rsid w:val="0017342B"/>
    <w:rsid w:val="001736F5"/>
    <w:rsid w:val="00174D5B"/>
    <w:rsid w:val="00175A74"/>
    <w:rsid w:val="00175AC1"/>
    <w:rsid w:val="00175F61"/>
    <w:rsid w:val="0017618C"/>
    <w:rsid w:val="00177316"/>
    <w:rsid w:val="0017786C"/>
    <w:rsid w:val="00180664"/>
    <w:rsid w:val="00180DB3"/>
    <w:rsid w:val="00180F67"/>
    <w:rsid w:val="00180FE7"/>
    <w:rsid w:val="00181A72"/>
    <w:rsid w:val="00181B24"/>
    <w:rsid w:val="001820C3"/>
    <w:rsid w:val="0018236E"/>
    <w:rsid w:val="001838E4"/>
    <w:rsid w:val="00183C1A"/>
    <w:rsid w:val="00184285"/>
    <w:rsid w:val="00184ED7"/>
    <w:rsid w:val="00184F20"/>
    <w:rsid w:val="001853D2"/>
    <w:rsid w:val="0018549C"/>
    <w:rsid w:val="00185876"/>
    <w:rsid w:val="001858AE"/>
    <w:rsid w:val="00185BA4"/>
    <w:rsid w:val="00185ECB"/>
    <w:rsid w:val="00185FE3"/>
    <w:rsid w:val="00186A17"/>
    <w:rsid w:val="001877C3"/>
    <w:rsid w:val="00190004"/>
    <w:rsid w:val="001907DA"/>
    <w:rsid w:val="00192ADD"/>
    <w:rsid w:val="00192D7F"/>
    <w:rsid w:val="00192F39"/>
    <w:rsid w:val="00194A12"/>
    <w:rsid w:val="00195159"/>
    <w:rsid w:val="001952C2"/>
    <w:rsid w:val="0019578E"/>
    <w:rsid w:val="0019596F"/>
    <w:rsid w:val="00195A95"/>
    <w:rsid w:val="00196AB7"/>
    <w:rsid w:val="00196FEA"/>
    <w:rsid w:val="00197A67"/>
    <w:rsid w:val="00197C12"/>
    <w:rsid w:val="001A002F"/>
    <w:rsid w:val="001A063A"/>
    <w:rsid w:val="001A1507"/>
    <w:rsid w:val="001A1D4F"/>
    <w:rsid w:val="001A24E6"/>
    <w:rsid w:val="001A27F3"/>
    <w:rsid w:val="001A309D"/>
    <w:rsid w:val="001A35EA"/>
    <w:rsid w:val="001A3987"/>
    <w:rsid w:val="001A3A92"/>
    <w:rsid w:val="001A4CB2"/>
    <w:rsid w:val="001A5927"/>
    <w:rsid w:val="001A6626"/>
    <w:rsid w:val="001A7172"/>
    <w:rsid w:val="001A7729"/>
    <w:rsid w:val="001A7744"/>
    <w:rsid w:val="001A7B4D"/>
    <w:rsid w:val="001B00FE"/>
    <w:rsid w:val="001B105D"/>
    <w:rsid w:val="001B14AA"/>
    <w:rsid w:val="001B1E0F"/>
    <w:rsid w:val="001B4E64"/>
    <w:rsid w:val="001B54F6"/>
    <w:rsid w:val="001B6BCA"/>
    <w:rsid w:val="001B6E13"/>
    <w:rsid w:val="001B6ED2"/>
    <w:rsid w:val="001C00FF"/>
    <w:rsid w:val="001C172E"/>
    <w:rsid w:val="001C1F06"/>
    <w:rsid w:val="001C26A7"/>
    <w:rsid w:val="001C3953"/>
    <w:rsid w:val="001C4AD2"/>
    <w:rsid w:val="001C4D15"/>
    <w:rsid w:val="001C5902"/>
    <w:rsid w:val="001C5A53"/>
    <w:rsid w:val="001C68FB"/>
    <w:rsid w:val="001C6FC3"/>
    <w:rsid w:val="001C70DD"/>
    <w:rsid w:val="001C71F2"/>
    <w:rsid w:val="001C7263"/>
    <w:rsid w:val="001C7B47"/>
    <w:rsid w:val="001C7C42"/>
    <w:rsid w:val="001D0C50"/>
    <w:rsid w:val="001D0F6C"/>
    <w:rsid w:val="001D1FE9"/>
    <w:rsid w:val="001D292F"/>
    <w:rsid w:val="001D2B02"/>
    <w:rsid w:val="001D40C7"/>
    <w:rsid w:val="001D4478"/>
    <w:rsid w:val="001D5A2E"/>
    <w:rsid w:val="001D5E66"/>
    <w:rsid w:val="001D5F3C"/>
    <w:rsid w:val="001D6245"/>
    <w:rsid w:val="001D664E"/>
    <w:rsid w:val="001D6F44"/>
    <w:rsid w:val="001D7645"/>
    <w:rsid w:val="001D7742"/>
    <w:rsid w:val="001D7D85"/>
    <w:rsid w:val="001E0A8B"/>
    <w:rsid w:val="001E0BED"/>
    <w:rsid w:val="001E1A45"/>
    <w:rsid w:val="001E1A9A"/>
    <w:rsid w:val="001E2650"/>
    <w:rsid w:val="001E3294"/>
    <w:rsid w:val="001E3458"/>
    <w:rsid w:val="001E3777"/>
    <w:rsid w:val="001E3C70"/>
    <w:rsid w:val="001E4D6F"/>
    <w:rsid w:val="001E5261"/>
    <w:rsid w:val="001E5923"/>
    <w:rsid w:val="001E62C5"/>
    <w:rsid w:val="001E66EB"/>
    <w:rsid w:val="001E6DFF"/>
    <w:rsid w:val="001E7060"/>
    <w:rsid w:val="001E7A52"/>
    <w:rsid w:val="001E7BC5"/>
    <w:rsid w:val="001F00A5"/>
    <w:rsid w:val="001F00D5"/>
    <w:rsid w:val="001F0605"/>
    <w:rsid w:val="001F1AFE"/>
    <w:rsid w:val="001F3F69"/>
    <w:rsid w:val="001F5312"/>
    <w:rsid w:val="001F5922"/>
    <w:rsid w:val="001F5DF8"/>
    <w:rsid w:val="001F6191"/>
    <w:rsid w:val="001F6D13"/>
    <w:rsid w:val="001F77B6"/>
    <w:rsid w:val="001F78CB"/>
    <w:rsid w:val="002009CD"/>
    <w:rsid w:val="00201E41"/>
    <w:rsid w:val="00202248"/>
    <w:rsid w:val="00203B6F"/>
    <w:rsid w:val="00204478"/>
    <w:rsid w:val="00204485"/>
    <w:rsid w:val="002052CC"/>
    <w:rsid w:val="002058F0"/>
    <w:rsid w:val="00206409"/>
    <w:rsid w:val="002071D3"/>
    <w:rsid w:val="0020734E"/>
    <w:rsid w:val="00207974"/>
    <w:rsid w:val="00211032"/>
    <w:rsid w:val="00212CD0"/>
    <w:rsid w:val="00213436"/>
    <w:rsid w:val="0021380E"/>
    <w:rsid w:val="00213DF9"/>
    <w:rsid w:val="0021412C"/>
    <w:rsid w:val="0021550D"/>
    <w:rsid w:val="00216206"/>
    <w:rsid w:val="00216DCA"/>
    <w:rsid w:val="002170EC"/>
    <w:rsid w:val="00217D79"/>
    <w:rsid w:val="00217FB7"/>
    <w:rsid w:val="00220A73"/>
    <w:rsid w:val="002216A1"/>
    <w:rsid w:val="00221A82"/>
    <w:rsid w:val="0022255D"/>
    <w:rsid w:val="002225EB"/>
    <w:rsid w:val="00223585"/>
    <w:rsid w:val="002236CB"/>
    <w:rsid w:val="00224AE7"/>
    <w:rsid w:val="00225CF4"/>
    <w:rsid w:val="00226EBE"/>
    <w:rsid w:val="00226F07"/>
    <w:rsid w:val="00230268"/>
    <w:rsid w:val="00230364"/>
    <w:rsid w:val="0023085E"/>
    <w:rsid w:val="002313D3"/>
    <w:rsid w:val="0023187B"/>
    <w:rsid w:val="00231BD0"/>
    <w:rsid w:val="00231ED9"/>
    <w:rsid w:val="00232EE3"/>
    <w:rsid w:val="00233139"/>
    <w:rsid w:val="0023318B"/>
    <w:rsid w:val="002340C3"/>
    <w:rsid w:val="002341FF"/>
    <w:rsid w:val="00234994"/>
    <w:rsid w:val="002349A7"/>
    <w:rsid w:val="00234CB9"/>
    <w:rsid w:val="00235AAE"/>
    <w:rsid w:val="00235BB0"/>
    <w:rsid w:val="00235C9C"/>
    <w:rsid w:val="002366A9"/>
    <w:rsid w:val="002378FB"/>
    <w:rsid w:val="0024053F"/>
    <w:rsid w:val="00241516"/>
    <w:rsid w:val="0024192B"/>
    <w:rsid w:val="00242546"/>
    <w:rsid w:val="0024317C"/>
    <w:rsid w:val="002431C2"/>
    <w:rsid w:val="00243BD4"/>
    <w:rsid w:val="00244051"/>
    <w:rsid w:val="00244361"/>
    <w:rsid w:val="0024448D"/>
    <w:rsid w:val="00244AA1"/>
    <w:rsid w:val="002452D2"/>
    <w:rsid w:val="00245380"/>
    <w:rsid w:val="00246398"/>
    <w:rsid w:val="002464C5"/>
    <w:rsid w:val="00246A94"/>
    <w:rsid w:val="00251144"/>
    <w:rsid w:val="0025172C"/>
    <w:rsid w:val="00251AA0"/>
    <w:rsid w:val="00251E68"/>
    <w:rsid w:val="002534B9"/>
    <w:rsid w:val="002541C6"/>
    <w:rsid w:val="00254610"/>
    <w:rsid w:val="00254791"/>
    <w:rsid w:val="00254AB4"/>
    <w:rsid w:val="00255611"/>
    <w:rsid w:val="00256149"/>
    <w:rsid w:val="00256594"/>
    <w:rsid w:val="00256E5A"/>
    <w:rsid w:val="002572F0"/>
    <w:rsid w:val="00260605"/>
    <w:rsid w:val="00261761"/>
    <w:rsid w:val="002619E7"/>
    <w:rsid w:val="00261A76"/>
    <w:rsid w:val="00263AF4"/>
    <w:rsid w:val="00263B04"/>
    <w:rsid w:val="00263EE0"/>
    <w:rsid w:val="002642FC"/>
    <w:rsid w:val="00264578"/>
    <w:rsid w:val="00264B68"/>
    <w:rsid w:val="002664F9"/>
    <w:rsid w:val="00266A4D"/>
    <w:rsid w:val="00266F77"/>
    <w:rsid w:val="002673B5"/>
    <w:rsid w:val="00267FCE"/>
    <w:rsid w:val="00270032"/>
    <w:rsid w:val="00270E95"/>
    <w:rsid w:val="002723AB"/>
    <w:rsid w:val="00272851"/>
    <w:rsid w:val="002738F2"/>
    <w:rsid w:val="00274615"/>
    <w:rsid w:val="002758EF"/>
    <w:rsid w:val="00275DD8"/>
    <w:rsid w:val="00277C6F"/>
    <w:rsid w:val="00280672"/>
    <w:rsid w:val="00280827"/>
    <w:rsid w:val="00280D06"/>
    <w:rsid w:val="00280E01"/>
    <w:rsid w:val="002820A2"/>
    <w:rsid w:val="00282794"/>
    <w:rsid w:val="00282BEE"/>
    <w:rsid w:val="00282ECA"/>
    <w:rsid w:val="00283303"/>
    <w:rsid w:val="00284A01"/>
    <w:rsid w:val="00287633"/>
    <w:rsid w:val="002915D1"/>
    <w:rsid w:val="002915FF"/>
    <w:rsid w:val="00291DB3"/>
    <w:rsid w:val="00291E86"/>
    <w:rsid w:val="002923CC"/>
    <w:rsid w:val="002929A9"/>
    <w:rsid w:val="00292B9A"/>
    <w:rsid w:val="00292D40"/>
    <w:rsid w:val="00292DD5"/>
    <w:rsid w:val="00292DF7"/>
    <w:rsid w:val="00293A5E"/>
    <w:rsid w:val="00293DAF"/>
    <w:rsid w:val="00293FE2"/>
    <w:rsid w:val="00294CC1"/>
    <w:rsid w:val="00294D14"/>
    <w:rsid w:val="00294FCE"/>
    <w:rsid w:val="0029554D"/>
    <w:rsid w:val="002955FC"/>
    <w:rsid w:val="002957EE"/>
    <w:rsid w:val="00295F85"/>
    <w:rsid w:val="002967A3"/>
    <w:rsid w:val="00296A64"/>
    <w:rsid w:val="00296E12"/>
    <w:rsid w:val="00296EBF"/>
    <w:rsid w:val="002979CB"/>
    <w:rsid w:val="00297AA3"/>
    <w:rsid w:val="002A0950"/>
    <w:rsid w:val="002A0AF1"/>
    <w:rsid w:val="002A12C7"/>
    <w:rsid w:val="002A1B25"/>
    <w:rsid w:val="002A27CE"/>
    <w:rsid w:val="002A292C"/>
    <w:rsid w:val="002A40D5"/>
    <w:rsid w:val="002A57C2"/>
    <w:rsid w:val="002A5BAB"/>
    <w:rsid w:val="002A6D62"/>
    <w:rsid w:val="002A740A"/>
    <w:rsid w:val="002B02DB"/>
    <w:rsid w:val="002B0EE8"/>
    <w:rsid w:val="002B0FB7"/>
    <w:rsid w:val="002B14E4"/>
    <w:rsid w:val="002B2675"/>
    <w:rsid w:val="002B3A22"/>
    <w:rsid w:val="002B515A"/>
    <w:rsid w:val="002B56C3"/>
    <w:rsid w:val="002B5A76"/>
    <w:rsid w:val="002B6B33"/>
    <w:rsid w:val="002B71C4"/>
    <w:rsid w:val="002C0D53"/>
    <w:rsid w:val="002C0D5A"/>
    <w:rsid w:val="002C0E0E"/>
    <w:rsid w:val="002C12C9"/>
    <w:rsid w:val="002C18F0"/>
    <w:rsid w:val="002C1FB9"/>
    <w:rsid w:val="002C2314"/>
    <w:rsid w:val="002C27AB"/>
    <w:rsid w:val="002C3839"/>
    <w:rsid w:val="002C49E9"/>
    <w:rsid w:val="002C4A4A"/>
    <w:rsid w:val="002C562C"/>
    <w:rsid w:val="002C64E0"/>
    <w:rsid w:val="002C7364"/>
    <w:rsid w:val="002C78DD"/>
    <w:rsid w:val="002D034A"/>
    <w:rsid w:val="002D11C3"/>
    <w:rsid w:val="002D2B18"/>
    <w:rsid w:val="002D450D"/>
    <w:rsid w:val="002D499C"/>
    <w:rsid w:val="002D49C7"/>
    <w:rsid w:val="002D4A73"/>
    <w:rsid w:val="002D5A39"/>
    <w:rsid w:val="002D5C2F"/>
    <w:rsid w:val="002D5CEA"/>
    <w:rsid w:val="002D7250"/>
    <w:rsid w:val="002E0532"/>
    <w:rsid w:val="002E09D5"/>
    <w:rsid w:val="002E1C26"/>
    <w:rsid w:val="002E22E4"/>
    <w:rsid w:val="002E2634"/>
    <w:rsid w:val="002E34CC"/>
    <w:rsid w:val="002E3BB8"/>
    <w:rsid w:val="002E3CAE"/>
    <w:rsid w:val="002E3D93"/>
    <w:rsid w:val="002E4C17"/>
    <w:rsid w:val="002E5577"/>
    <w:rsid w:val="002E55FE"/>
    <w:rsid w:val="002E5C4B"/>
    <w:rsid w:val="002E5FCE"/>
    <w:rsid w:val="002E65C9"/>
    <w:rsid w:val="002E7C3E"/>
    <w:rsid w:val="002E7D6F"/>
    <w:rsid w:val="002F00D1"/>
    <w:rsid w:val="002F00E4"/>
    <w:rsid w:val="002F06BA"/>
    <w:rsid w:val="002F06ED"/>
    <w:rsid w:val="002F1F43"/>
    <w:rsid w:val="002F20C2"/>
    <w:rsid w:val="002F2265"/>
    <w:rsid w:val="002F255C"/>
    <w:rsid w:val="002F355C"/>
    <w:rsid w:val="002F439A"/>
    <w:rsid w:val="002F54DB"/>
    <w:rsid w:val="002F67B4"/>
    <w:rsid w:val="002F720B"/>
    <w:rsid w:val="003002C6"/>
    <w:rsid w:val="00300AAF"/>
    <w:rsid w:val="0030114B"/>
    <w:rsid w:val="003018B1"/>
    <w:rsid w:val="0030278E"/>
    <w:rsid w:val="00302EDC"/>
    <w:rsid w:val="003030C4"/>
    <w:rsid w:val="003037BA"/>
    <w:rsid w:val="003037C5"/>
    <w:rsid w:val="0030387C"/>
    <w:rsid w:val="00303922"/>
    <w:rsid w:val="00304D75"/>
    <w:rsid w:val="0030548D"/>
    <w:rsid w:val="00305787"/>
    <w:rsid w:val="003059AF"/>
    <w:rsid w:val="003059E8"/>
    <w:rsid w:val="00307956"/>
    <w:rsid w:val="003079F7"/>
    <w:rsid w:val="00307A57"/>
    <w:rsid w:val="00310CA0"/>
    <w:rsid w:val="0031104A"/>
    <w:rsid w:val="00311EFE"/>
    <w:rsid w:val="00312E34"/>
    <w:rsid w:val="00312E5D"/>
    <w:rsid w:val="00313186"/>
    <w:rsid w:val="0031323B"/>
    <w:rsid w:val="00314294"/>
    <w:rsid w:val="00314A04"/>
    <w:rsid w:val="00314C5A"/>
    <w:rsid w:val="00316357"/>
    <w:rsid w:val="00316928"/>
    <w:rsid w:val="00317206"/>
    <w:rsid w:val="00317A5C"/>
    <w:rsid w:val="00320CAF"/>
    <w:rsid w:val="003210C5"/>
    <w:rsid w:val="00321215"/>
    <w:rsid w:val="00321F51"/>
    <w:rsid w:val="00321F88"/>
    <w:rsid w:val="00322F71"/>
    <w:rsid w:val="0032300C"/>
    <w:rsid w:val="003232DA"/>
    <w:rsid w:val="00324851"/>
    <w:rsid w:val="003248AC"/>
    <w:rsid w:val="00324CB6"/>
    <w:rsid w:val="003256F8"/>
    <w:rsid w:val="003260DC"/>
    <w:rsid w:val="00327A7C"/>
    <w:rsid w:val="00330220"/>
    <w:rsid w:val="00331562"/>
    <w:rsid w:val="0033214B"/>
    <w:rsid w:val="003323E4"/>
    <w:rsid w:val="00333341"/>
    <w:rsid w:val="00333CDF"/>
    <w:rsid w:val="003349E2"/>
    <w:rsid w:val="0033574D"/>
    <w:rsid w:val="00335962"/>
    <w:rsid w:val="0033678D"/>
    <w:rsid w:val="0034012D"/>
    <w:rsid w:val="00341060"/>
    <w:rsid w:val="00342379"/>
    <w:rsid w:val="00342E12"/>
    <w:rsid w:val="003431B9"/>
    <w:rsid w:val="00343599"/>
    <w:rsid w:val="00343974"/>
    <w:rsid w:val="003446E4"/>
    <w:rsid w:val="003447C8"/>
    <w:rsid w:val="00345368"/>
    <w:rsid w:val="003458D9"/>
    <w:rsid w:val="00346DE3"/>
    <w:rsid w:val="00350DC9"/>
    <w:rsid w:val="00351079"/>
    <w:rsid w:val="00351A90"/>
    <w:rsid w:val="003520AC"/>
    <w:rsid w:val="003520F4"/>
    <w:rsid w:val="00352222"/>
    <w:rsid w:val="003523C3"/>
    <w:rsid w:val="00352F0E"/>
    <w:rsid w:val="00353341"/>
    <w:rsid w:val="0035428B"/>
    <w:rsid w:val="00354695"/>
    <w:rsid w:val="00354C41"/>
    <w:rsid w:val="00354ED8"/>
    <w:rsid w:val="00354F8E"/>
    <w:rsid w:val="003556ED"/>
    <w:rsid w:val="00357525"/>
    <w:rsid w:val="00360DCA"/>
    <w:rsid w:val="00362534"/>
    <w:rsid w:val="00363A29"/>
    <w:rsid w:val="00364434"/>
    <w:rsid w:val="003645E2"/>
    <w:rsid w:val="00364768"/>
    <w:rsid w:val="00365874"/>
    <w:rsid w:val="00365EC6"/>
    <w:rsid w:val="0036638E"/>
    <w:rsid w:val="0037183B"/>
    <w:rsid w:val="00373285"/>
    <w:rsid w:val="0037341D"/>
    <w:rsid w:val="0037389B"/>
    <w:rsid w:val="00373F55"/>
    <w:rsid w:val="003740B5"/>
    <w:rsid w:val="00375458"/>
    <w:rsid w:val="00375481"/>
    <w:rsid w:val="00375A6C"/>
    <w:rsid w:val="00377B61"/>
    <w:rsid w:val="003801FF"/>
    <w:rsid w:val="00380782"/>
    <w:rsid w:val="003828B7"/>
    <w:rsid w:val="00384121"/>
    <w:rsid w:val="00384497"/>
    <w:rsid w:val="00384499"/>
    <w:rsid w:val="00384664"/>
    <w:rsid w:val="003862D9"/>
    <w:rsid w:val="00387D50"/>
    <w:rsid w:val="00390D3F"/>
    <w:rsid w:val="00390D69"/>
    <w:rsid w:val="0039109C"/>
    <w:rsid w:val="00392214"/>
    <w:rsid w:val="003924BB"/>
    <w:rsid w:val="00392ED3"/>
    <w:rsid w:val="00394047"/>
    <w:rsid w:val="00394AC3"/>
    <w:rsid w:val="00394C25"/>
    <w:rsid w:val="00394DB9"/>
    <w:rsid w:val="003952FF"/>
    <w:rsid w:val="0039767F"/>
    <w:rsid w:val="003A02A8"/>
    <w:rsid w:val="003A03B4"/>
    <w:rsid w:val="003A084D"/>
    <w:rsid w:val="003A2458"/>
    <w:rsid w:val="003A26E9"/>
    <w:rsid w:val="003A2FAC"/>
    <w:rsid w:val="003A3164"/>
    <w:rsid w:val="003A369D"/>
    <w:rsid w:val="003A3A32"/>
    <w:rsid w:val="003A4176"/>
    <w:rsid w:val="003A41F1"/>
    <w:rsid w:val="003A49D2"/>
    <w:rsid w:val="003A5AEE"/>
    <w:rsid w:val="003A6339"/>
    <w:rsid w:val="003A6C9B"/>
    <w:rsid w:val="003A725B"/>
    <w:rsid w:val="003A74DF"/>
    <w:rsid w:val="003A7EC5"/>
    <w:rsid w:val="003B0410"/>
    <w:rsid w:val="003B18A4"/>
    <w:rsid w:val="003B1DB5"/>
    <w:rsid w:val="003B200B"/>
    <w:rsid w:val="003B22EB"/>
    <w:rsid w:val="003B288F"/>
    <w:rsid w:val="003B432D"/>
    <w:rsid w:val="003B4E4C"/>
    <w:rsid w:val="003B690A"/>
    <w:rsid w:val="003B6D7F"/>
    <w:rsid w:val="003B7AA0"/>
    <w:rsid w:val="003C04E3"/>
    <w:rsid w:val="003C0983"/>
    <w:rsid w:val="003C11D6"/>
    <w:rsid w:val="003C16FC"/>
    <w:rsid w:val="003C33BA"/>
    <w:rsid w:val="003C3721"/>
    <w:rsid w:val="003C3ED2"/>
    <w:rsid w:val="003C45B6"/>
    <w:rsid w:val="003C4727"/>
    <w:rsid w:val="003C4797"/>
    <w:rsid w:val="003C4EF6"/>
    <w:rsid w:val="003C5459"/>
    <w:rsid w:val="003C71DF"/>
    <w:rsid w:val="003D0009"/>
    <w:rsid w:val="003D0385"/>
    <w:rsid w:val="003D11A3"/>
    <w:rsid w:val="003D1226"/>
    <w:rsid w:val="003D1394"/>
    <w:rsid w:val="003D152D"/>
    <w:rsid w:val="003D15A1"/>
    <w:rsid w:val="003D1C4B"/>
    <w:rsid w:val="003D206B"/>
    <w:rsid w:val="003D25E4"/>
    <w:rsid w:val="003D2E05"/>
    <w:rsid w:val="003D2F5C"/>
    <w:rsid w:val="003D3107"/>
    <w:rsid w:val="003D35B8"/>
    <w:rsid w:val="003D3E04"/>
    <w:rsid w:val="003D4382"/>
    <w:rsid w:val="003D508A"/>
    <w:rsid w:val="003D521D"/>
    <w:rsid w:val="003D56D6"/>
    <w:rsid w:val="003D5A95"/>
    <w:rsid w:val="003D66EF"/>
    <w:rsid w:val="003D69B2"/>
    <w:rsid w:val="003D6D6F"/>
    <w:rsid w:val="003D7036"/>
    <w:rsid w:val="003D7599"/>
    <w:rsid w:val="003E0140"/>
    <w:rsid w:val="003E02C3"/>
    <w:rsid w:val="003E04BF"/>
    <w:rsid w:val="003E0C42"/>
    <w:rsid w:val="003E10E7"/>
    <w:rsid w:val="003E290F"/>
    <w:rsid w:val="003E35BC"/>
    <w:rsid w:val="003E3CED"/>
    <w:rsid w:val="003E3FD1"/>
    <w:rsid w:val="003E476C"/>
    <w:rsid w:val="003E48F1"/>
    <w:rsid w:val="003E4A80"/>
    <w:rsid w:val="003E7EA2"/>
    <w:rsid w:val="003F0436"/>
    <w:rsid w:val="003F0C65"/>
    <w:rsid w:val="003F1B91"/>
    <w:rsid w:val="003F1FB1"/>
    <w:rsid w:val="003F2495"/>
    <w:rsid w:val="003F2FB1"/>
    <w:rsid w:val="003F3C39"/>
    <w:rsid w:val="003F4C6F"/>
    <w:rsid w:val="003F7355"/>
    <w:rsid w:val="003F7DB8"/>
    <w:rsid w:val="00400476"/>
    <w:rsid w:val="00400627"/>
    <w:rsid w:val="00400AE0"/>
    <w:rsid w:val="00401852"/>
    <w:rsid w:val="0040188F"/>
    <w:rsid w:val="0040210C"/>
    <w:rsid w:val="004023BE"/>
    <w:rsid w:val="00402E22"/>
    <w:rsid w:val="004032A5"/>
    <w:rsid w:val="00403463"/>
    <w:rsid w:val="004044AE"/>
    <w:rsid w:val="00404588"/>
    <w:rsid w:val="00404D1D"/>
    <w:rsid w:val="00404D94"/>
    <w:rsid w:val="00405A93"/>
    <w:rsid w:val="00406188"/>
    <w:rsid w:val="0040727C"/>
    <w:rsid w:val="00407411"/>
    <w:rsid w:val="004104DB"/>
    <w:rsid w:val="0041064A"/>
    <w:rsid w:val="00410874"/>
    <w:rsid w:val="00411E18"/>
    <w:rsid w:val="00411E3B"/>
    <w:rsid w:val="0041247F"/>
    <w:rsid w:val="00412891"/>
    <w:rsid w:val="00413BBC"/>
    <w:rsid w:val="0041451B"/>
    <w:rsid w:val="00416183"/>
    <w:rsid w:val="00416F70"/>
    <w:rsid w:val="0041727A"/>
    <w:rsid w:val="00420D02"/>
    <w:rsid w:val="00420D42"/>
    <w:rsid w:val="004216ED"/>
    <w:rsid w:val="0042468B"/>
    <w:rsid w:val="0042518F"/>
    <w:rsid w:val="004253BC"/>
    <w:rsid w:val="004255EF"/>
    <w:rsid w:val="004257EC"/>
    <w:rsid w:val="0042673D"/>
    <w:rsid w:val="00426DB0"/>
    <w:rsid w:val="00426F8B"/>
    <w:rsid w:val="00427842"/>
    <w:rsid w:val="004300BB"/>
    <w:rsid w:val="0043102D"/>
    <w:rsid w:val="00431088"/>
    <w:rsid w:val="00431341"/>
    <w:rsid w:val="00431A06"/>
    <w:rsid w:val="004324D6"/>
    <w:rsid w:val="00433545"/>
    <w:rsid w:val="00433FC8"/>
    <w:rsid w:val="0043549D"/>
    <w:rsid w:val="0043644D"/>
    <w:rsid w:val="004374D5"/>
    <w:rsid w:val="00437567"/>
    <w:rsid w:val="004377D6"/>
    <w:rsid w:val="004402DD"/>
    <w:rsid w:val="0044131F"/>
    <w:rsid w:val="0044158E"/>
    <w:rsid w:val="00441643"/>
    <w:rsid w:val="004429AF"/>
    <w:rsid w:val="00442A93"/>
    <w:rsid w:val="00442FB2"/>
    <w:rsid w:val="00443012"/>
    <w:rsid w:val="004435D7"/>
    <w:rsid w:val="00444216"/>
    <w:rsid w:val="0044505B"/>
    <w:rsid w:val="00445996"/>
    <w:rsid w:val="00445A42"/>
    <w:rsid w:val="00446E09"/>
    <w:rsid w:val="004512B9"/>
    <w:rsid w:val="00451976"/>
    <w:rsid w:val="00452C63"/>
    <w:rsid w:val="00452EAB"/>
    <w:rsid w:val="00453C85"/>
    <w:rsid w:val="00454433"/>
    <w:rsid w:val="004547B0"/>
    <w:rsid w:val="00454A17"/>
    <w:rsid w:val="004554D0"/>
    <w:rsid w:val="00456387"/>
    <w:rsid w:val="0045782A"/>
    <w:rsid w:val="00457B23"/>
    <w:rsid w:val="004616A4"/>
    <w:rsid w:val="00461AB0"/>
    <w:rsid w:val="00461BC2"/>
    <w:rsid w:val="00461BDD"/>
    <w:rsid w:val="00462381"/>
    <w:rsid w:val="00462ABE"/>
    <w:rsid w:val="00463DEF"/>
    <w:rsid w:val="00464057"/>
    <w:rsid w:val="0046413C"/>
    <w:rsid w:val="004645B0"/>
    <w:rsid w:val="004645C2"/>
    <w:rsid w:val="0046468E"/>
    <w:rsid w:val="0046472E"/>
    <w:rsid w:val="00464CA9"/>
    <w:rsid w:val="00465700"/>
    <w:rsid w:val="00465814"/>
    <w:rsid w:val="0046587D"/>
    <w:rsid w:val="00465E22"/>
    <w:rsid w:val="0046614B"/>
    <w:rsid w:val="004669BA"/>
    <w:rsid w:val="00466FA5"/>
    <w:rsid w:val="004676C0"/>
    <w:rsid w:val="00467B51"/>
    <w:rsid w:val="004701C7"/>
    <w:rsid w:val="00470F2B"/>
    <w:rsid w:val="0047158D"/>
    <w:rsid w:val="00473039"/>
    <w:rsid w:val="00473266"/>
    <w:rsid w:val="0047342C"/>
    <w:rsid w:val="004737E2"/>
    <w:rsid w:val="00474041"/>
    <w:rsid w:val="00474058"/>
    <w:rsid w:val="00475F8C"/>
    <w:rsid w:val="004763CE"/>
    <w:rsid w:val="004763F6"/>
    <w:rsid w:val="00477554"/>
    <w:rsid w:val="00480257"/>
    <w:rsid w:val="0048047E"/>
    <w:rsid w:val="00480CC2"/>
    <w:rsid w:val="004810E3"/>
    <w:rsid w:val="00481240"/>
    <w:rsid w:val="00481499"/>
    <w:rsid w:val="004823BC"/>
    <w:rsid w:val="0048323B"/>
    <w:rsid w:val="004833BE"/>
    <w:rsid w:val="004834DF"/>
    <w:rsid w:val="00484CFF"/>
    <w:rsid w:val="0048571A"/>
    <w:rsid w:val="004858AA"/>
    <w:rsid w:val="004863D7"/>
    <w:rsid w:val="00486788"/>
    <w:rsid w:val="004916A3"/>
    <w:rsid w:val="0049352E"/>
    <w:rsid w:val="00493B87"/>
    <w:rsid w:val="00494E3C"/>
    <w:rsid w:val="004962BF"/>
    <w:rsid w:val="00496384"/>
    <w:rsid w:val="004A144C"/>
    <w:rsid w:val="004A16B7"/>
    <w:rsid w:val="004A1B0D"/>
    <w:rsid w:val="004A21D4"/>
    <w:rsid w:val="004A3728"/>
    <w:rsid w:val="004A44DF"/>
    <w:rsid w:val="004A4506"/>
    <w:rsid w:val="004A46A3"/>
    <w:rsid w:val="004A5746"/>
    <w:rsid w:val="004A6654"/>
    <w:rsid w:val="004A6865"/>
    <w:rsid w:val="004A78CB"/>
    <w:rsid w:val="004A7A3D"/>
    <w:rsid w:val="004B0413"/>
    <w:rsid w:val="004B1D94"/>
    <w:rsid w:val="004B2A00"/>
    <w:rsid w:val="004B3B2D"/>
    <w:rsid w:val="004B3E2E"/>
    <w:rsid w:val="004B480B"/>
    <w:rsid w:val="004B4D69"/>
    <w:rsid w:val="004B574C"/>
    <w:rsid w:val="004B5C3A"/>
    <w:rsid w:val="004B5FCF"/>
    <w:rsid w:val="004B6068"/>
    <w:rsid w:val="004B690B"/>
    <w:rsid w:val="004B69D5"/>
    <w:rsid w:val="004B6C2A"/>
    <w:rsid w:val="004B7804"/>
    <w:rsid w:val="004B7AFC"/>
    <w:rsid w:val="004C13A8"/>
    <w:rsid w:val="004C2507"/>
    <w:rsid w:val="004C2798"/>
    <w:rsid w:val="004C2A6E"/>
    <w:rsid w:val="004C2CA5"/>
    <w:rsid w:val="004C3ACD"/>
    <w:rsid w:val="004C3BE3"/>
    <w:rsid w:val="004C3D05"/>
    <w:rsid w:val="004C3E29"/>
    <w:rsid w:val="004C40AC"/>
    <w:rsid w:val="004C41C9"/>
    <w:rsid w:val="004C4789"/>
    <w:rsid w:val="004C4E47"/>
    <w:rsid w:val="004C6A1E"/>
    <w:rsid w:val="004D003D"/>
    <w:rsid w:val="004D00BD"/>
    <w:rsid w:val="004D09F9"/>
    <w:rsid w:val="004D0F88"/>
    <w:rsid w:val="004D13CB"/>
    <w:rsid w:val="004D16F0"/>
    <w:rsid w:val="004D174C"/>
    <w:rsid w:val="004D1E63"/>
    <w:rsid w:val="004D1F4F"/>
    <w:rsid w:val="004D2486"/>
    <w:rsid w:val="004D2548"/>
    <w:rsid w:val="004D3868"/>
    <w:rsid w:val="004D387C"/>
    <w:rsid w:val="004D3ED8"/>
    <w:rsid w:val="004D4E80"/>
    <w:rsid w:val="004D4F02"/>
    <w:rsid w:val="004D4F91"/>
    <w:rsid w:val="004D5D86"/>
    <w:rsid w:val="004D5D9D"/>
    <w:rsid w:val="004D6694"/>
    <w:rsid w:val="004D6CF9"/>
    <w:rsid w:val="004E0F00"/>
    <w:rsid w:val="004E1FED"/>
    <w:rsid w:val="004E23D3"/>
    <w:rsid w:val="004E26EF"/>
    <w:rsid w:val="004E2F98"/>
    <w:rsid w:val="004E4A49"/>
    <w:rsid w:val="004E584B"/>
    <w:rsid w:val="004E7321"/>
    <w:rsid w:val="004E7595"/>
    <w:rsid w:val="004E7716"/>
    <w:rsid w:val="004F0030"/>
    <w:rsid w:val="004F05B0"/>
    <w:rsid w:val="004F0739"/>
    <w:rsid w:val="004F1B17"/>
    <w:rsid w:val="004F3123"/>
    <w:rsid w:val="004F41CD"/>
    <w:rsid w:val="004F5A4F"/>
    <w:rsid w:val="004F5AC9"/>
    <w:rsid w:val="004F6222"/>
    <w:rsid w:val="004F6AFE"/>
    <w:rsid w:val="004F72A3"/>
    <w:rsid w:val="004F78F8"/>
    <w:rsid w:val="0050014A"/>
    <w:rsid w:val="00501C26"/>
    <w:rsid w:val="0050268D"/>
    <w:rsid w:val="00502CA4"/>
    <w:rsid w:val="005038EA"/>
    <w:rsid w:val="005046FA"/>
    <w:rsid w:val="00504D66"/>
    <w:rsid w:val="005050B9"/>
    <w:rsid w:val="00505EB9"/>
    <w:rsid w:val="00506074"/>
    <w:rsid w:val="0050625A"/>
    <w:rsid w:val="005072CE"/>
    <w:rsid w:val="00507555"/>
    <w:rsid w:val="00510AF1"/>
    <w:rsid w:val="005113C1"/>
    <w:rsid w:val="005113D7"/>
    <w:rsid w:val="005116BA"/>
    <w:rsid w:val="00512314"/>
    <w:rsid w:val="0051244D"/>
    <w:rsid w:val="0051261E"/>
    <w:rsid w:val="00513671"/>
    <w:rsid w:val="00513E38"/>
    <w:rsid w:val="00515055"/>
    <w:rsid w:val="0051553A"/>
    <w:rsid w:val="00515ED4"/>
    <w:rsid w:val="005172DC"/>
    <w:rsid w:val="005172F5"/>
    <w:rsid w:val="00522714"/>
    <w:rsid w:val="00523618"/>
    <w:rsid w:val="00524D34"/>
    <w:rsid w:val="005253C5"/>
    <w:rsid w:val="005255B8"/>
    <w:rsid w:val="00525A3C"/>
    <w:rsid w:val="00527115"/>
    <w:rsid w:val="0052749E"/>
    <w:rsid w:val="00527F7D"/>
    <w:rsid w:val="0053027E"/>
    <w:rsid w:val="00530461"/>
    <w:rsid w:val="0053114F"/>
    <w:rsid w:val="00531638"/>
    <w:rsid w:val="0053177B"/>
    <w:rsid w:val="00532397"/>
    <w:rsid w:val="00532675"/>
    <w:rsid w:val="005335F9"/>
    <w:rsid w:val="00533755"/>
    <w:rsid w:val="005343D4"/>
    <w:rsid w:val="005361D2"/>
    <w:rsid w:val="00536869"/>
    <w:rsid w:val="00536B13"/>
    <w:rsid w:val="00537C48"/>
    <w:rsid w:val="00537E50"/>
    <w:rsid w:val="0054014D"/>
    <w:rsid w:val="00540643"/>
    <w:rsid w:val="00540960"/>
    <w:rsid w:val="00540A14"/>
    <w:rsid w:val="00540D91"/>
    <w:rsid w:val="0054121E"/>
    <w:rsid w:val="00541362"/>
    <w:rsid w:val="00541DE6"/>
    <w:rsid w:val="00542098"/>
    <w:rsid w:val="005434C7"/>
    <w:rsid w:val="00544486"/>
    <w:rsid w:val="00545783"/>
    <w:rsid w:val="005472D7"/>
    <w:rsid w:val="00550639"/>
    <w:rsid w:val="00550AEC"/>
    <w:rsid w:val="005519FD"/>
    <w:rsid w:val="00551A24"/>
    <w:rsid w:val="00552F73"/>
    <w:rsid w:val="00553EB3"/>
    <w:rsid w:val="00554792"/>
    <w:rsid w:val="00554C3F"/>
    <w:rsid w:val="005550D2"/>
    <w:rsid w:val="00555DB0"/>
    <w:rsid w:val="005564DA"/>
    <w:rsid w:val="00557C4F"/>
    <w:rsid w:val="00557E38"/>
    <w:rsid w:val="005606BD"/>
    <w:rsid w:val="00560B23"/>
    <w:rsid w:val="00560CD9"/>
    <w:rsid w:val="005614B8"/>
    <w:rsid w:val="00561EDC"/>
    <w:rsid w:val="005635AE"/>
    <w:rsid w:val="005642E8"/>
    <w:rsid w:val="005646EB"/>
    <w:rsid w:val="005648AF"/>
    <w:rsid w:val="00564EB5"/>
    <w:rsid w:val="00564F9B"/>
    <w:rsid w:val="00565234"/>
    <w:rsid w:val="005654EE"/>
    <w:rsid w:val="00565793"/>
    <w:rsid w:val="00565819"/>
    <w:rsid w:val="005658D8"/>
    <w:rsid w:val="00567D1D"/>
    <w:rsid w:val="00570038"/>
    <w:rsid w:val="0057344F"/>
    <w:rsid w:val="00573BC4"/>
    <w:rsid w:val="005742B0"/>
    <w:rsid w:val="0057477B"/>
    <w:rsid w:val="00574C61"/>
    <w:rsid w:val="00575771"/>
    <w:rsid w:val="00575B32"/>
    <w:rsid w:val="00575F9D"/>
    <w:rsid w:val="005776D4"/>
    <w:rsid w:val="0057796F"/>
    <w:rsid w:val="00577A7E"/>
    <w:rsid w:val="00577BD3"/>
    <w:rsid w:val="00577C24"/>
    <w:rsid w:val="00577F7E"/>
    <w:rsid w:val="00581BE1"/>
    <w:rsid w:val="0058466F"/>
    <w:rsid w:val="005846E8"/>
    <w:rsid w:val="005846F6"/>
    <w:rsid w:val="00584773"/>
    <w:rsid w:val="00585BCC"/>
    <w:rsid w:val="00585D71"/>
    <w:rsid w:val="00586247"/>
    <w:rsid w:val="00587ACA"/>
    <w:rsid w:val="00587EBE"/>
    <w:rsid w:val="0059017C"/>
    <w:rsid w:val="00590B78"/>
    <w:rsid w:val="00590FBA"/>
    <w:rsid w:val="005913D6"/>
    <w:rsid w:val="005915CE"/>
    <w:rsid w:val="005917B8"/>
    <w:rsid w:val="0059227C"/>
    <w:rsid w:val="00592F1E"/>
    <w:rsid w:val="005935C2"/>
    <w:rsid w:val="005973B2"/>
    <w:rsid w:val="005979C2"/>
    <w:rsid w:val="00597A51"/>
    <w:rsid w:val="00597ED7"/>
    <w:rsid w:val="005A0FA5"/>
    <w:rsid w:val="005A10A8"/>
    <w:rsid w:val="005A1828"/>
    <w:rsid w:val="005A2142"/>
    <w:rsid w:val="005A2867"/>
    <w:rsid w:val="005A3ED4"/>
    <w:rsid w:val="005A436D"/>
    <w:rsid w:val="005A4CE4"/>
    <w:rsid w:val="005A4DF7"/>
    <w:rsid w:val="005A5487"/>
    <w:rsid w:val="005A59A0"/>
    <w:rsid w:val="005A5A7C"/>
    <w:rsid w:val="005A6F97"/>
    <w:rsid w:val="005B0A8F"/>
    <w:rsid w:val="005B0B8A"/>
    <w:rsid w:val="005B1192"/>
    <w:rsid w:val="005B119A"/>
    <w:rsid w:val="005B1B2D"/>
    <w:rsid w:val="005B2959"/>
    <w:rsid w:val="005B2EB0"/>
    <w:rsid w:val="005B3755"/>
    <w:rsid w:val="005B37FE"/>
    <w:rsid w:val="005B3DFE"/>
    <w:rsid w:val="005B542D"/>
    <w:rsid w:val="005B550F"/>
    <w:rsid w:val="005B5AA0"/>
    <w:rsid w:val="005B670C"/>
    <w:rsid w:val="005B7342"/>
    <w:rsid w:val="005B7C2C"/>
    <w:rsid w:val="005B7D2A"/>
    <w:rsid w:val="005C0892"/>
    <w:rsid w:val="005C1180"/>
    <w:rsid w:val="005C13A4"/>
    <w:rsid w:val="005C1943"/>
    <w:rsid w:val="005C19BE"/>
    <w:rsid w:val="005C2941"/>
    <w:rsid w:val="005C2E38"/>
    <w:rsid w:val="005C3093"/>
    <w:rsid w:val="005C4734"/>
    <w:rsid w:val="005C476B"/>
    <w:rsid w:val="005C56E2"/>
    <w:rsid w:val="005C5B61"/>
    <w:rsid w:val="005C6242"/>
    <w:rsid w:val="005C726F"/>
    <w:rsid w:val="005D06ED"/>
    <w:rsid w:val="005D0969"/>
    <w:rsid w:val="005D106E"/>
    <w:rsid w:val="005D1417"/>
    <w:rsid w:val="005D23F4"/>
    <w:rsid w:val="005D2C4A"/>
    <w:rsid w:val="005D49F8"/>
    <w:rsid w:val="005D4AB9"/>
    <w:rsid w:val="005D5082"/>
    <w:rsid w:val="005D57B4"/>
    <w:rsid w:val="005D6043"/>
    <w:rsid w:val="005E0022"/>
    <w:rsid w:val="005E1057"/>
    <w:rsid w:val="005E15C3"/>
    <w:rsid w:val="005E1785"/>
    <w:rsid w:val="005E1804"/>
    <w:rsid w:val="005E1CA3"/>
    <w:rsid w:val="005E1E9D"/>
    <w:rsid w:val="005E1FB0"/>
    <w:rsid w:val="005E2D8B"/>
    <w:rsid w:val="005E3A40"/>
    <w:rsid w:val="005E53E6"/>
    <w:rsid w:val="005E54AA"/>
    <w:rsid w:val="005E5992"/>
    <w:rsid w:val="005E799F"/>
    <w:rsid w:val="005E7AF1"/>
    <w:rsid w:val="005E7FCB"/>
    <w:rsid w:val="005F0A6B"/>
    <w:rsid w:val="005F1428"/>
    <w:rsid w:val="005F14CB"/>
    <w:rsid w:val="005F1C03"/>
    <w:rsid w:val="005F22D5"/>
    <w:rsid w:val="005F3920"/>
    <w:rsid w:val="005F4134"/>
    <w:rsid w:val="005F426C"/>
    <w:rsid w:val="005F42E1"/>
    <w:rsid w:val="005F5038"/>
    <w:rsid w:val="005F51CC"/>
    <w:rsid w:val="005F5507"/>
    <w:rsid w:val="005F59D9"/>
    <w:rsid w:val="005F5AC3"/>
    <w:rsid w:val="005F63DD"/>
    <w:rsid w:val="005F7FF5"/>
    <w:rsid w:val="006005E4"/>
    <w:rsid w:val="00600626"/>
    <w:rsid w:val="00600C85"/>
    <w:rsid w:val="006018B6"/>
    <w:rsid w:val="00601A4F"/>
    <w:rsid w:val="00601F83"/>
    <w:rsid w:val="006029D8"/>
    <w:rsid w:val="0060339B"/>
    <w:rsid w:val="006034EB"/>
    <w:rsid w:val="006034FE"/>
    <w:rsid w:val="006047C8"/>
    <w:rsid w:val="00605D27"/>
    <w:rsid w:val="0060677E"/>
    <w:rsid w:val="00606DA4"/>
    <w:rsid w:val="00607A00"/>
    <w:rsid w:val="00610D57"/>
    <w:rsid w:val="0061108E"/>
    <w:rsid w:val="00611473"/>
    <w:rsid w:val="00612260"/>
    <w:rsid w:val="00615792"/>
    <w:rsid w:val="00615B2E"/>
    <w:rsid w:val="0061685B"/>
    <w:rsid w:val="00616A55"/>
    <w:rsid w:val="00617B31"/>
    <w:rsid w:val="0062039C"/>
    <w:rsid w:val="00620827"/>
    <w:rsid w:val="006210CA"/>
    <w:rsid w:val="006225F9"/>
    <w:rsid w:val="006228B8"/>
    <w:rsid w:val="006242FC"/>
    <w:rsid w:val="00624AF9"/>
    <w:rsid w:val="00624ECA"/>
    <w:rsid w:val="006252ED"/>
    <w:rsid w:val="0062534F"/>
    <w:rsid w:val="00625DE5"/>
    <w:rsid w:val="00626651"/>
    <w:rsid w:val="00626B5F"/>
    <w:rsid w:val="00626D7A"/>
    <w:rsid w:val="00627675"/>
    <w:rsid w:val="006277F8"/>
    <w:rsid w:val="006278D6"/>
    <w:rsid w:val="0063051D"/>
    <w:rsid w:val="006308F8"/>
    <w:rsid w:val="00630ABC"/>
    <w:rsid w:val="00631E85"/>
    <w:rsid w:val="00631F5A"/>
    <w:rsid w:val="00632408"/>
    <w:rsid w:val="006339ED"/>
    <w:rsid w:val="00633A63"/>
    <w:rsid w:val="00633BFB"/>
    <w:rsid w:val="00634DDE"/>
    <w:rsid w:val="00636036"/>
    <w:rsid w:val="0063605A"/>
    <w:rsid w:val="00640AEE"/>
    <w:rsid w:val="00640BC2"/>
    <w:rsid w:val="00640E32"/>
    <w:rsid w:val="00642193"/>
    <w:rsid w:val="00642EF4"/>
    <w:rsid w:val="0064394C"/>
    <w:rsid w:val="00644438"/>
    <w:rsid w:val="0064510D"/>
    <w:rsid w:val="00645C43"/>
    <w:rsid w:val="00646ABE"/>
    <w:rsid w:val="0064727A"/>
    <w:rsid w:val="006508A6"/>
    <w:rsid w:val="00651622"/>
    <w:rsid w:val="00651E81"/>
    <w:rsid w:val="00652C01"/>
    <w:rsid w:val="00652D05"/>
    <w:rsid w:val="00653F70"/>
    <w:rsid w:val="006570D0"/>
    <w:rsid w:val="00657762"/>
    <w:rsid w:val="00657A70"/>
    <w:rsid w:val="00657F37"/>
    <w:rsid w:val="00661E25"/>
    <w:rsid w:val="0066288A"/>
    <w:rsid w:val="00662AED"/>
    <w:rsid w:val="00662B58"/>
    <w:rsid w:val="00662E2D"/>
    <w:rsid w:val="0066647D"/>
    <w:rsid w:val="006669DE"/>
    <w:rsid w:val="00666DED"/>
    <w:rsid w:val="006674F9"/>
    <w:rsid w:val="0066755A"/>
    <w:rsid w:val="00670085"/>
    <w:rsid w:val="00670FC9"/>
    <w:rsid w:val="00671976"/>
    <w:rsid w:val="00671D06"/>
    <w:rsid w:val="00674514"/>
    <w:rsid w:val="0067493E"/>
    <w:rsid w:val="00674DB0"/>
    <w:rsid w:val="00674F7E"/>
    <w:rsid w:val="006768B9"/>
    <w:rsid w:val="00676EC3"/>
    <w:rsid w:val="006774D3"/>
    <w:rsid w:val="00677EAC"/>
    <w:rsid w:val="00681276"/>
    <w:rsid w:val="0068156F"/>
    <w:rsid w:val="006823A4"/>
    <w:rsid w:val="00682901"/>
    <w:rsid w:val="00683326"/>
    <w:rsid w:val="006837E3"/>
    <w:rsid w:val="00683E91"/>
    <w:rsid w:val="00684401"/>
    <w:rsid w:val="00684413"/>
    <w:rsid w:val="00684603"/>
    <w:rsid w:val="00684F07"/>
    <w:rsid w:val="0068549D"/>
    <w:rsid w:val="006856D2"/>
    <w:rsid w:val="00686292"/>
    <w:rsid w:val="0068638C"/>
    <w:rsid w:val="0068646C"/>
    <w:rsid w:val="006873A6"/>
    <w:rsid w:val="006907F8"/>
    <w:rsid w:val="0069090B"/>
    <w:rsid w:val="00690E18"/>
    <w:rsid w:val="00690EA3"/>
    <w:rsid w:val="00691098"/>
    <w:rsid w:val="0069151B"/>
    <w:rsid w:val="00691DB3"/>
    <w:rsid w:val="006921AE"/>
    <w:rsid w:val="00692231"/>
    <w:rsid w:val="006922EF"/>
    <w:rsid w:val="00692618"/>
    <w:rsid w:val="00693328"/>
    <w:rsid w:val="006937B1"/>
    <w:rsid w:val="0069419B"/>
    <w:rsid w:val="00694A37"/>
    <w:rsid w:val="00696047"/>
    <w:rsid w:val="006A0685"/>
    <w:rsid w:val="006A0EAC"/>
    <w:rsid w:val="006A180F"/>
    <w:rsid w:val="006A1D14"/>
    <w:rsid w:val="006A1EEF"/>
    <w:rsid w:val="006A2EC0"/>
    <w:rsid w:val="006A36D8"/>
    <w:rsid w:val="006A4C9D"/>
    <w:rsid w:val="006A55BC"/>
    <w:rsid w:val="006A5B6C"/>
    <w:rsid w:val="006A6550"/>
    <w:rsid w:val="006A7151"/>
    <w:rsid w:val="006A7332"/>
    <w:rsid w:val="006B1E95"/>
    <w:rsid w:val="006B2395"/>
    <w:rsid w:val="006B3B33"/>
    <w:rsid w:val="006B49FD"/>
    <w:rsid w:val="006B5037"/>
    <w:rsid w:val="006B5A3C"/>
    <w:rsid w:val="006B6621"/>
    <w:rsid w:val="006B6851"/>
    <w:rsid w:val="006C0001"/>
    <w:rsid w:val="006C0A13"/>
    <w:rsid w:val="006C0E09"/>
    <w:rsid w:val="006C1CAA"/>
    <w:rsid w:val="006C2B01"/>
    <w:rsid w:val="006C38C6"/>
    <w:rsid w:val="006C3A2E"/>
    <w:rsid w:val="006C3B6F"/>
    <w:rsid w:val="006C40A6"/>
    <w:rsid w:val="006C4B44"/>
    <w:rsid w:val="006C5C20"/>
    <w:rsid w:val="006C5CA0"/>
    <w:rsid w:val="006C60C7"/>
    <w:rsid w:val="006C62F3"/>
    <w:rsid w:val="006C7058"/>
    <w:rsid w:val="006C76BF"/>
    <w:rsid w:val="006C7B98"/>
    <w:rsid w:val="006D0631"/>
    <w:rsid w:val="006D24EB"/>
    <w:rsid w:val="006D2848"/>
    <w:rsid w:val="006D3087"/>
    <w:rsid w:val="006D3E1C"/>
    <w:rsid w:val="006D3EA5"/>
    <w:rsid w:val="006D4A08"/>
    <w:rsid w:val="006D5365"/>
    <w:rsid w:val="006D65DD"/>
    <w:rsid w:val="006D6BB9"/>
    <w:rsid w:val="006D6FB1"/>
    <w:rsid w:val="006D740C"/>
    <w:rsid w:val="006D7B0D"/>
    <w:rsid w:val="006E0D84"/>
    <w:rsid w:val="006E19E8"/>
    <w:rsid w:val="006E298B"/>
    <w:rsid w:val="006E316A"/>
    <w:rsid w:val="006E3177"/>
    <w:rsid w:val="006E4399"/>
    <w:rsid w:val="006E4685"/>
    <w:rsid w:val="006E4F73"/>
    <w:rsid w:val="006E59FF"/>
    <w:rsid w:val="006E68FB"/>
    <w:rsid w:val="006E6D76"/>
    <w:rsid w:val="006E6E81"/>
    <w:rsid w:val="006E6F1C"/>
    <w:rsid w:val="006E7145"/>
    <w:rsid w:val="006E7F8D"/>
    <w:rsid w:val="006F1A20"/>
    <w:rsid w:val="006F2521"/>
    <w:rsid w:val="006F37EA"/>
    <w:rsid w:val="006F39A5"/>
    <w:rsid w:val="006F4968"/>
    <w:rsid w:val="006F5DE0"/>
    <w:rsid w:val="006F5F82"/>
    <w:rsid w:val="006F5F8C"/>
    <w:rsid w:val="006F6260"/>
    <w:rsid w:val="006F65FC"/>
    <w:rsid w:val="006F6AB1"/>
    <w:rsid w:val="006F72CE"/>
    <w:rsid w:val="006F7669"/>
    <w:rsid w:val="00700371"/>
    <w:rsid w:val="0070069E"/>
    <w:rsid w:val="007009FB"/>
    <w:rsid w:val="007018C1"/>
    <w:rsid w:val="00702448"/>
    <w:rsid w:val="00702E5E"/>
    <w:rsid w:val="00703053"/>
    <w:rsid w:val="0070355A"/>
    <w:rsid w:val="0070399F"/>
    <w:rsid w:val="00704600"/>
    <w:rsid w:val="00704D5C"/>
    <w:rsid w:val="00705BD0"/>
    <w:rsid w:val="0070607E"/>
    <w:rsid w:val="00712D8E"/>
    <w:rsid w:val="007135C5"/>
    <w:rsid w:val="0071413C"/>
    <w:rsid w:val="0071453C"/>
    <w:rsid w:val="00714C6E"/>
    <w:rsid w:val="00714E0C"/>
    <w:rsid w:val="00714E81"/>
    <w:rsid w:val="00715205"/>
    <w:rsid w:val="00715301"/>
    <w:rsid w:val="007153C6"/>
    <w:rsid w:val="00715B06"/>
    <w:rsid w:val="007162DD"/>
    <w:rsid w:val="00716689"/>
    <w:rsid w:val="00716B15"/>
    <w:rsid w:val="007177C3"/>
    <w:rsid w:val="0071786B"/>
    <w:rsid w:val="007178D6"/>
    <w:rsid w:val="0072045D"/>
    <w:rsid w:val="0072059B"/>
    <w:rsid w:val="007220AE"/>
    <w:rsid w:val="0072244E"/>
    <w:rsid w:val="0072275C"/>
    <w:rsid w:val="00722C86"/>
    <w:rsid w:val="0072316D"/>
    <w:rsid w:val="00723179"/>
    <w:rsid w:val="00723827"/>
    <w:rsid w:val="00723F72"/>
    <w:rsid w:val="00724085"/>
    <w:rsid w:val="00724104"/>
    <w:rsid w:val="00724F97"/>
    <w:rsid w:val="0072546B"/>
    <w:rsid w:val="00725942"/>
    <w:rsid w:val="00725DE5"/>
    <w:rsid w:val="00726919"/>
    <w:rsid w:val="00726F1B"/>
    <w:rsid w:val="0072722F"/>
    <w:rsid w:val="00727FD3"/>
    <w:rsid w:val="007305B2"/>
    <w:rsid w:val="0073086C"/>
    <w:rsid w:val="00731C84"/>
    <w:rsid w:val="00732575"/>
    <w:rsid w:val="00733069"/>
    <w:rsid w:val="00733D33"/>
    <w:rsid w:val="00734857"/>
    <w:rsid w:val="00734939"/>
    <w:rsid w:val="00735397"/>
    <w:rsid w:val="0073604D"/>
    <w:rsid w:val="00736306"/>
    <w:rsid w:val="0073792F"/>
    <w:rsid w:val="00737B6F"/>
    <w:rsid w:val="00737D18"/>
    <w:rsid w:val="00740E1D"/>
    <w:rsid w:val="007416D0"/>
    <w:rsid w:val="00742AA2"/>
    <w:rsid w:val="00742E7D"/>
    <w:rsid w:val="00743781"/>
    <w:rsid w:val="00745892"/>
    <w:rsid w:val="00745EB2"/>
    <w:rsid w:val="00745F43"/>
    <w:rsid w:val="007470BA"/>
    <w:rsid w:val="00750431"/>
    <w:rsid w:val="00751242"/>
    <w:rsid w:val="007517C8"/>
    <w:rsid w:val="00751E73"/>
    <w:rsid w:val="00752A9E"/>
    <w:rsid w:val="0075329B"/>
    <w:rsid w:val="00753728"/>
    <w:rsid w:val="00753EB1"/>
    <w:rsid w:val="00754744"/>
    <w:rsid w:val="00757579"/>
    <w:rsid w:val="0076175F"/>
    <w:rsid w:val="0076180D"/>
    <w:rsid w:val="00762338"/>
    <w:rsid w:val="007628CF"/>
    <w:rsid w:val="007628EA"/>
    <w:rsid w:val="00763D6F"/>
    <w:rsid w:val="00764555"/>
    <w:rsid w:val="0076495D"/>
    <w:rsid w:val="00765413"/>
    <w:rsid w:val="0076542B"/>
    <w:rsid w:val="00766405"/>
    <w:rsid w:val="0076715F"/>
    <w:rsid w:val="007676F2"/>
    <w:rsid w:val="007679CF"/>
    <w:rsid w:val="00767D1B"/>
    <w:rsid w:val="00771497"/>
    <w:rsid w:val="007714B7"/>
    <w:rsid w:val="007716C2"/>
    <w:rsid w:val="00771BAD"/>
    <w:rsid w:val="00772B01"/>
    <w:rsid w:val="00772BB5"/>
    <w:rsid w:val="007730D0"/>
    <w:rsid w:val="00773284"/>
    <w:rsid w:val="00773B98"/>
    <w:rsid w:val="007743D1"/>
    <w:rsid w:val="00775FA6"/>
    <w:rsid w:val="00776288"/>
    <w:rsid w:val="00777E31"/>
    <w:rsid w:val="00780214"/>
    <w:rsid w:val="00780681"/>
    <w:rsid w:val="0078068F"/>
    <w:rsid w:val="007808DE"/>
    <w:rsid w:val="00780A3B"/>
    <w:rsid w:val="00780CB1"/>
    <w:rsid w:val="007811D0"/>
    <w:rsid w:val="0078131C"/>
    <w:rsid w:val="007827BE"/>
    <w:rsid w:val="0078298F"/>
    <w:rsid w:val="00782EF2"/>
    <w:rsid w:val="00782F8E"/>
    <w:rsid w:val="007832FC"/>
    <w:rsid w:val="0078403A"/>
    <w:rsid w:val="0078439F"/>
    <w:rsid w:val="00785859"/>
    <w:rsid w:val="00786941"/>
    <w:rsid w:val="00787230"/>
    <w:rsid w:val="007908E7"/>
    <w:rsid w:val="00790C87"/>
    <w:rsid w:val="00791349"/>
    <w:rsid w:val="00791855"/>
    <w:rsid w:val="00792790"/>
    <w:rsid w:val="007928B2"/>
    <w:rsid w:val="007930F2"/>
    <w:rsid w:val="007932C6"/>
    <w:rsid w:val="00793FED"/>
    <w:rsid w:val="00795011"/>
    <w:rsid w:val="00795928"/>
    <w:rsid w:val="00795BFE"/>
    <w:rsid w:val="007960A8"/>
    <w:rsid w:val="007962F3"/>
    <w:rsid w:val="0079674B"/>
    <w:rsid w:val="00796A83"/>
    <w:rsid w:val="00796C65"/>
    <w:rsid w:val="00797079"/>
    <w:rsid w:val="007A0E32"/>
    <w:rsid w:val="007A1025"/>
    <w:rsid w:val="007A1AC6"/>
    <w:rsid w:val="007A25EC"/>
    <w:rsid w:val="007A387F"/>
    <w:rsid w:val="007A7166"/>
    <w:rsid w:val="007A73D9"/>
    <w:rsid w:val="007B178F"/>
    <w:rsid w:val="007B197A"/>
    <w:rsid w:val="007B2420"/>
    <w:rsid w:val="007B2A5A"/>
    <w:rsid w:val="007B30C0"/>
    <w:rsid w:val="007B30C4"/>
    <w:rsid w:val="007B3A76"/>
    <w:rsid w:val="007B4030"/>
    <w:rsid w:val="007B532B"/>
    <w:rsid w:val="007B5F62"/>
    <w:rsid w:val="007B6654"/>
    <w:rsid w:val="007B69D6"/>
    <w:rsid w:val="007B713B"/>
    <w:rsid w:val="007B7368"/>
    <w:rsid w:val="007B73A9"/>
    <w:rsid w:val="007B78FA"/>
    <w:rsid w:val="007B7B78"/>
    <w:rsid w:val="007B7BBC"/>
    <w:rsid w:val="007C0830"/>
    <w:rsid w:val="007C1D0E"/>
    <w:rsid w:val="007C2CC7"/>
    <w:rsid w:val="007C305B"/>
    <w:rsid w:val="007C341E"/>
    <w:rsid w:val="007C358E"/>
    <w:rsid w:val="007C362E"/>
    <w:rsid w:val="007C3AC0"/>
    <w:rsid w:val="007C43D8"/>
    <w:rsid w:val="007C43FF"/>
    <w:rsid w:val="007C691B"/>
    <w:rsid w:val="007C6A59"/>
    <w:rsid w:val="007C6B97"/>
    <w:rsid w:val="007C7512"/>
    <w:rsid w:val="007C763E"/>
    <w:rsid w:val="007D06DB"/>
    <w:rsid w:val="007D10F4"/>
    <w:rsid w:val="007D21A4"/>
    <w:rsid w:val="007D29CF"/>
    <w:rsid w:val="007D2C7E"/>
    <w:rsid w:val="007D4491"/>
    <w:rsid w:val="007D46DE"/>
    <w:rsid w:val="007D4D7D"/>
    <w:rsid w:val="007D7090"/>
    <w:rsid w:val="007D72FA"/>
    <w:rsid w:val="007D75B0"/>
    <w:rsid w:val="007D7BC7"/>
    <w:rsid w:val="007D7D1E"/>
    <w:rsid w:val="007E078A"/>
    <w:rsid w:val="007E3C0D"/>
    <w:rsid w:val="007E3ED0"/>
    <w:rsid w:val="007E4AAE"/>
    <w:rsid w:val="007E4B12"/>
    <w:rsid w:val="007E51D9"/>
    <w:rsid w:val="007E5CD9"/>
    <w:rsid w:val="007E5D45"/>
    <w:rsid w:val="007E6794"/>
    <w:rsid w:val="007E6B44"/>
    <w:rsid w:val="007E7B84"/>
    <w:rsid w:val="007F2267"/>
    <w:rsid w:val="007F4151"/>
    <w:rsid w:val="007F71A4"/>
    <w:rsid w:val="007F75EE"/>
    <w:rsid w:val="007F789A"/>
    <w:rsid w:val="007F7ACA"/>
    <w:rsid w:val="00800C1D"/>
    <w:rsid w:val="008012B3"/>
    <w:rsid w:val="008012E6"/>
    <w:rsid w:val="00801FA7"/>
    <w:rsid w:val="0080230A"/>
    <w:rsid w:val="00802CFF"/>
    <w:rsid w:val="00803BE0"/>
    <w:rsid w:val="00803F5C"/>
    <w:rsid w:val="008049B3"/>
    <w:rsid w:val="00804E7B"/>
    <w:rsid w:val="00805CF2"/>
    <w:rsid w:val="008061A7"/>
    <w:rsid w:val="00806568"/>
    <w:rsid w:val="008066A4"/>
    <w:rsid w:val="00806777"/>
    <w:rsid w:val="00806CB5"/>
    <w:rsid w:val="00807081"/>
    <w:rsid w:val="008077FE"/>
    <w:rsid w:val="00807DD1"/>
    <w:rsid w:val="00810E01"/>
    <w:rsid w:val="00811A3B"/>
    <w:rsid w:val="00811A87"/>
    <w:rsid w:val="00811C5C"/>
    <w:rsid w:val="008122BF"/>
    <w:rsid w:val="0081241E"/>
    <w:rsid w:val="0081321E"/>
    <w:rsid w:val="0081362D"/>
    <w:rsid w:val="008139B2"/>
    <w:rsid w:val="00814ADD"/>
    <w:rsid w:val="00814F0B"/>
    <w:rsid w:val="00816167"/>
    <w:rsid w:val="008162CD"/>
    <w:rsid w:val="00816914"/>
    <w:rsid w:val="00816CAE"/>
    <w:rsid w:val="00817827"/>
    <w:rsid w:val="008200A9"/>
    <w:rsid w:val="00820361"/>
    <w:rsid w:val="00820DF7"/>
    <w:rsid w:val="00821C2B"/>
    <w:rsid w:val="0082209F"/>
    <w:rsid w:val="00822971"/>
    <w:rsid w:val="00822A74"/>
    <w:rsid w:val="00824568"/>
    <w:rsid w:val="0082483F"/>
    <w:rsid w:val="00824BB3"/>
    <w:rsid w:val="00825707"/>
    <w:rsid w:val="00825E32"/>
    <w:rsid w:val="00826A45"/>
    <w:rsid w:val="0083072E"/>
    <w:rsid w:val="008308ED"/>
    <w:rsid w:val="00830C5B"/>
    <w:rsid w:val="00831043"/>
    <w:rsid w:val="008314C6"/>
    <w:rsid w:val="00831597"/>
    <w:rsid w:val="00831A63"/>
    <w:rsid w:val="00831BF2"/>
    <w:rsid w:val="00831DA3"/>
    <w:rsid w:val="00832103"/>
    <w:rsid w:val="00832145"/>
    <w:rsid w:val="00832C5D"/>
    <w:rsid w:val="00832E9A"/>
    <w:rsid w:val="00833EC7"/>
    <w:rsid w:val="0083432B"/>
    <w:rsid w:val="00834EBC"/>
    <w:rsid w:val="008351E4"/>
    <w:rsid w:val="0083586A"/>
    <w:rsid w:val="00836A62"/>
    <w:rsid w:val="00836CDF"/>
    <w:rsid w:val="0083725B"/>
    <w:rsid w:val="00837ED2"/>
    <w:rsid w:val="00841B97"/>
    <w:rsid w:val="008421E7"/>
    <w:rsid w:val="008425EB"/>
    <w:rsid w:val="00842D26"/>
    <w:rsid w:val="008434BC"/>
    <w:rsid w:val="00843EBD"/>
    <w:rsid w:val="00844DF6"/>
    <w:rsid w:val="00845DBE"/>
    <w:rsid w:val="00845DF9"/>
    <w:rsid w:val="00846591"/>
    <w:rsid w:val="00846D0A"/>
    <w:rsid w:val="00847C58"/>
    <w:rsid w:val="0085243D"/>
    <w:rsid w:val="0085252A"/>
    <w:rsid w:val="00852601"/>
    <w:rsid w:val="00853709"/>
    <w:rsid w:val="0085426D"/>
    <w:rsid w:val="008542A3"/>
    <w:rsid w:val="00854A1C"/>
    <w:rsid w:val="00855138"/>
    <w:rsid w:val="0085533A"/>
    <w:rsid w:val="008553A6"/>
    <w:rsid w:val="00855C7D"/>
    <w:rsid w:val="00855DE7"/>
    <w:rsid w:val="00855FE6"/>
    <w:rsid w:val="0085691D"/>
    <w:rsid w:val="008571FD"/>
    <w:rsid w:val="0086069C"/>
    <w:rsid w:val="00861291"/>
    <w:rsid w:val="0086162D"/>
    <w:rsid w:val="00861DE3"/>
    <w:rsid w:val="00862A91"/>
    <w:rsid w:val="00862DC6"/>
    <w:rsid w:val="008638CB"/>
    <w:rsid w:val="0086556C"/>
    <w:rsid w:val="00866055"/>
    <w:rsid w:val="008668A0"/>
    <w:rsid w:val="008678A1"/>
    <w:rsid w:val="00867DE5"/>
    <w:rsid w:val="008702D3"/>
    <w:rsid w:val="00870331"/>
    <w:rsid w:val="00870CAB"/>
    <w:rsid w:val="0087150F"/>
    <w:rsid w:val="00871E6C"/>
    <w:rsid w:val="00871F76"/>
    <w:rsid w:val="0087205F"/>
    <w:rsid w:val="00872D29"/>
    <w:rsid w:val="00873845"/>
    <w:rsid w:val="00873953"/>
    <w:rsid w:val="00873C65"/>
    <w:rsid w:val="008752DB"/>
    <w:rsid w:val="00875455"/>
    <w:rsid w:val="00875A47"/>
    <w:rsid w:val="00876253"/>
    <w:rsid w:val="00876828"/>
    <w:rsid w:val="008774E2"/>
    <w:rsid w:val="00877F4E"/>
    <w:rsid w:val="00880042"/>
    <w:rsid w:val="00880193"/>
    <w:rsid w:val="008805AE"/>
    <w:rsid w:val="0088074C"/>
    <w:rsid w:val="008821C8"/>
    <w:rsid w:val="008823CF"/>
    <w:rsid w:val="00883104"/>
    <w:rsid w:val="008840B4"/>
    <w:rsid w:val="00884A1E"/>
    <w:rsid w:val="00884B51"/>
    <w:rsid w:val="00885E36"/>
    <w:rsid w:val="0088668F"/>
    <w:rsid w:val="0088679C"/>
    <w:rsid w:val="00886B40"/>
    <w:rsid w:val="00886E70"/>
    <w:rsid w:val="00886E73"/>
    <w:rsid w:val="00886F68"/>
    <w:rsid w:val="008877F2"/>
    <w:rsid w:val="00887EA4"/>
    <w:rsid w:val="008900A0"/>
    <w:rsid w:val="00890B9E"/>
    <w:rsid w:val="00890CDC"/>
    <w:rsid w:val="008921CC"/>
    <w:rsid w:val="0089285A"/>
    <w:rsid w:val="0089297B"/>
    <w:rsid w:val="0089320C"/>
    <w:rsid w:val="00893E2F"/>
    <w:rsid w:val="00894711"/>
    <w:rsid w:val="00894FFE"/>
    <w:rsid w:val="00895696"/>
    <w:rsid w:val="00895A15"/>
    <w:rsid w:val="008971B8"/>
    <w:rsid w:val="00897BF9"/>
    <w:rsid w:val="008A1B35"/>
    <w:rsid w:val="008A2060"/>
    <w:rsid w:val="008A27BD"/>
    <w:rsid w:val="008A2B30"/>
    <w:rsid w:val="008A2FB3"/>
    <w:rsid w:val="008A378D"/>
    <w:rsid w:val="008A4600"/>
    <w:rsid w:val="008A4882"/>
    <w:rsid w:val="008A4D98"/>
    <w:rsid w:val="008A58B2"/>
    <w:rsid w:val="008A6BCC"/>
    <w:rsid w:val="008A6D8F"/>
    <w:rsid w:val="008A7660"/>
    <w:rsid w:val="008A7B58"/>
    <w:rsid w:val="008B0B4E"/>
    <w:rsid w:val="008B0DED"/>
    <w:rsid w:val="008B1694"/>
    <w:rsid w:val="008B1738"/>
    <w:rsid w:val="008B20E9"/>
    <w:rsid w:val="008B2736"/>
    <w:rsid w:val="008B30D7"/>
    <w:rsid w:val="008B3CC8"/>
    <w:rsid w:val="008B4D96"/>
    <w:rsid w:val="008B4EDC"/>
    <w:rsid w:val="008B526D"/>
    <w:rsid w:val="008B559D"/>
    <w:rsid w:val="008B57EE"/>
    <w:rsid w:val="008B5A7E"/>
    <w:rsid w:val="008B6C9C"/>
    <w:rsid w:val="008B6DC4"/>
    <w:rsid w:val="008B71A7"/>
    <w:rsid w:val="008B7EC0"/>
    <w:rsid w:val="008C1415"/>
    <w:rsid w:val="008C17B7"/>
    <w:rsid w:val="008C3A3B"/>
    <w:rsid w:val="008C4131"/>
    <w:rsid w:val="008C42AD"/>
    <w:rsid w:val="008C4828"/>
    <w:rsid w:val="008C4A17"/>
    <w:rsid w:val="008C55F6"/>
    <w:rsid w:val="008C5773"/>
    <w:rsid w:val="008C786C"/>
    <w:rsid w:val="008C7928"/>
    <w:rsid w:val="008C7C27"/>
    <w:rsid w:val="008C7D37"/>
    <w:rsid w:val="008D0DD3"/>
    <w:rsid w:val="008D16D1"/>
    <w:rsid w:val="008D1D07"/>
    <w:rsid w:val="008D2266"/>
    <w:rsid w:val="008D4022"/>
    <w:rsid w:val="008D4D8E"/>
    <w:rsid w:val="008D5081"/>
    <w:rsid w:val="008D5B76"/>
    <w:rsid w:val="008D6C0F"/>
    <w:rsid w:val="008E098F"/>
    <w:rsid w:val="008E0FAB"/>
    <w:rsid w:val="008E1053"/>
    <w:rsid w:val="008E10E6"/>
    <w:rsid w:val="008E1826"/>
    <w:rsid w:val="008E29BF"/>
    <w:rsid w:val="008E3195"/>
    <w:rsid w:val="008E32F3"/>
    <w:rsid w:val="008E3335"/>
    <w:rsid w:val="008E34C4"/>
    <w:rsid w:val="008E441E"/>
    <w:rsid w:val="008E5905"/>
    <w:rsid w:val="008E643B"/>
    <w:rsid w:val="008E6C6F"/>
    <w:rsid w:val="008E771C"/>
    <w:rsid w:val="008E7C63"/>
    <w:rsid w:val="008E7CD1"/>
    <w:rsid w:val="008F03B8"/>
    <w:rsid w:val="008F0DB1"/>
    <w:rsid w:val="008F1211"/>
    <w:rsid w:val="008F1541"/>
    <w:rsid w:val="008F16C5"/>
    <w:rsid w:val="008F2769"/>
    <w:rsid w:val="008F30E6"/>
    <w:rsid w:val="008F31F9"/>
    <w:rsid w:val="008F357E"/>
    <w:rsid w:val="008F41B3"/>
    <w:rsid w:val="008F5163"/>
    <w:rsid w:val="008F5B01"/>
    <w:rsid w:val="008F5BCB"/>
    <w:rsid w:val="008F66B8"/>
    <w:rsid w:val="008F75E2"/>
    <w:rsid w:val="008F7791"/>
    <w:rsid w:val="008F7AB5"/>
    <w:rsid w:val="009004F8"/>
    <w:rsid w:val="00900DFF"/>
    <w:rsid w:val="00901106"/>
    <w:rsid w:val="00901585"/>
    <w:rsid w:val="00902BA6"/>
    <w:rsid w:val="00902D04"/>
    <w:rsid w:val="009038E2"/>
    <w:rsid w:val="009038F1"/>
    <w:rsid w:val="00903ED1"/>
    <w:rsid w:val="00905E37"/>
    <w:rsid w:val="009063A6"/>
    <w:rsid w:val="00907F49"/>
    <w:rsid w:val="0091080D"/>
    <w:rsid w:val="0091080F"/>
    <w:rsid w:val="0091089A"/>
    <w:rsid w:val="00912B02"/>
    <w:rsid w:val="00913164"/>
    <w:rsid w:val="00913791"/>
    <w:rsid w:val="00914A64"/>
    <w:rsid w:val="00914CB7"/>
    <w:rsid w:val="0091565B"/>
    <w:rsid w:val="009158A8"/>
    <w:rsid w:val="00915A14"/>
    <w:rsid w:val="009166DB"/>
    <w:rsid w:val="0091720A"/>
    <w:rsid w:val="009172F2"/>
    <w:rsid w:val="00917B21"/>
    <w:rsid w:val="00917C2D"/>
    <w:rsid w:val="00920022"/>
    <w:rsid w:val="0092064D"/>
    <w:rsid w:val="009207AF"/>
    <w:rsid w:val="00920F0E"/>
    <w:rsid w:val="009214A5"/>
    <w:rsid w:val="00921E70"/>
    <w:rsid w:val="00924211"/>
    <w:rsid w:val="00924BF4"/>
    <w:rsid w:val="00925D84"/>
    <w:rsid w:val="00926818"/>
    <w:rsid w:val="0092684B"/>
    <w:rsid w:val="00926C9E"/>
    <w:rsid w:val="00927C20"/>
    <w:rsid w:val="00927DDB"/>
    <w:rsid w:val="0093149A"/>
    <w:rsid w:val="009316F8"/>
    <w:rsid w:val="00931F84"/>
    <w:rsid w:val="00933502"/>
    <w:rsid w:val="00934077"/>
    <w:rsid w:val="0093498E"/>
    <w:rsid w:val="00934CCA"/>
    <w:rsid w:val="00935CD6"/>
    <w:rsid w:val="00935F86"/>
    <w:rsid w:val="009374DE"/>
    <w:rsid w:val="00937882"/>
    <w:rsid w:val="00937B56"/>
    <w:rsid w:val="00940077"/>
    <w:rsid w:val="009400CC"/>
    <w:rsid w:val="0094011A"/>
    <w:rsid w:val="00940156"/>
    <w:rsid w:val="009401F1"/>
    <w:rsid w:val="009408A9"/>
    <w:rsid w:val="0094256D"/>
    <w:rsid w:val="00942937"/>
    <w:rsid w:val="00942BA7"/>
    <w:rsid w:val="0094444A"/>
    <w:rsid w:val="00944495"/>
    <w:rsid w:val="00944D2B"/>
    <w:rsid w:val="0094636E"/>
    <w:rsid w:val="00946486"/>
    <w:rsid w:val="00947281"/>
    <w:rsid w:val="009476A2"/>
    <w:rsid w:val="00947F0F"/>
    <w:rsid w:val="0095020B"/>
    <w:rsid w:val="009505EF"/>
    <w:rsid w:val="009527D6"/>
    <w:rsid w:val="00952967"/>
    <w:rsid w:val="00952D21"/>
    <w:rsid w:val="00953237"/>
    <w:rsid w:val="00954466"/>
    <w:rsid w:val="0095450E"/>
    <w:rsid w:val="0095589E"/>
    <w:rsid w:val="00955E25"/>
    <w:rsid w:val="00955F1D"/>
    <w:rsid w:val="00956FA2"/>
    <w:rsid w:val="009576F5"/>
    <w:rsid w:val="00960501"/>
    <w:rsid w:val="00960CEA"/>
    <w:rsid w:val="009610B8"/>
    <w:rsid w:val="00961DB0"/>
    <w:rsid w:val="0096220B"/>
    <w:rsid w:val="00962F38"/>
    <w:rsid w:val="00963456"/>
    <w:rsid w:val="00963A9B"/>
    <w:rsid w:val="0096413D"/>
    <w:rsid w:val="00964E07"/>
    <w:rsid w:val="00965D2D"/>
    <w:rsid w:val="00966008"/>
    <w:rsid w:val="00967231"/>
    <w:rsid w:val="009672B8"/>
    <w:rsid w:val="009677EC"/>
    <w:rsid w:val="009714EB"/>
    <w:rsid w:val="00971590"/>
    <w:rsid w:val="0097169B"/>
    <w:rsid w:val="009734A4"/>
    <w:rsid w:val="00973505"/>
    <w:rsid w:val="0097359D"/>
    <w:rsid w:val="00973AC7"/>
    <w:rsid w:val="00975B9D"/>
    <w:rsid w:val="00975BF4"/>
    <w:rsid w:val="00975C24"/>
    <w:rsid w:val="009777DF"/>
    <w:rsid w:val="00977FA0"/>
    <w:rsid w:val="00980AD8"/>
    <w:rsid w:val="0098166A"/>
    <w:rsid w:val="009816EA"/>
    <w:rsid w:val="0098175B"/>
    <w:rsid w:val="00981CE1"/>
    <w:rsid w:val="0098284D"/>
    <w:rsid w:val="0098287D"/>
    <w:rsid w:val="00982DDE"/>
    <w:rsid w:val="00983094"/>
    <w:rsid w:val="00984312"/>
    <w:rsid w:val="0098440B"/>
    <w:rsid w:val="00984D5F"/>
    <w:rsid w:val="009855AD"/>
    <w:rsid w:val="0098698C"/>
    <w:rsid w:val="00986AFA"/>
    <w:rsid w:val="00986D1A"/>
    <w:rsid w:val="00987205"/>
    <w:rsid w:val="009874E8"/>
    <w:rsid w:val="00990213"/>
    <w:rsid w:val="00990674"/>
    <w:rsid w:val="00990987"/>
    <w:rsid w:val="00991BDB"/>
    <w:rsid w:val="00991E32"/>
    <w:rsid w:val="00991FE5"/>
    <w:rsid w:val="00992583"/>
    <w:rsid w:val="009938D6"/>
    <w:rsid w:val="009945B9"/>
    <w:rsid w:val="009946ED"/>
    <w:rsid w:val="00994777"/>
    <w:rsid w:val="0099484B"/>
    <w:rsid w:val="00994CBE"/>
    <w:rsid w:val="00996303"/>
    <w:rsid w:val="009968B3"/>
    <w:rsid w:val="00996F8F"/>
    <w:rsid w:val="00997079"/>
    <w:rsid w:val="00997983"/>
    <w:rsid w:val="009A007E"/>
    <w:rsid w:val="009A1375"/>
    <w:rsid w:val="009A13F1"/>
    <w:rsid w:val="009A185F"/>
    <w:rsid w:val="009A321E"/>
    <w:rsid w:val="009A42E9"/>
    <w:rsid w:val="009A4D21"/>
    <w:rsid w:val="009A5FB7"/>
    <w:rsid w:val="009A6881"/>
    <w:rsid w:val="009A6FFD"/>
    <w:rsid w:val="009A7A29"/>
    <w:rsid w:val="009A7AC1"/>
    <w:rsid w:val="009A7B11"/>
    <w:rsid w:val="009B1087"/>
    <w:rsid w:val="009B1193"/>
    <w:rsid w:val="009B13CC"/>
    <w:rsid w:val="009B19F9"/>
    <w:rsid w:val="009B1EFB"/>
    <w:rsid w:val="009B23C8"/>
    <w:rsid w:val="009B247D"/>
    <w:rsid w:val="009B298A"/>
    <w:rsid w:val="009B2EC7"/>
    <w:rsid w:val="009B307F"/>
    <w:rsid w:val="009B3089"/>
    <w:rsid w:val="009B34B8"/>
    <w:rsid w:val="009B46DD"/>
    <w:rsid w:val="009B5683"/>
    <w:rsid w:val="009B60E5"/>
    <w:rsid w:val="009B671D"/>
    <w:rsid w:val="009B73EB"/>
    <w:rsid w:val="009C0A1E"/>
    <w:rsid w:val="009C0DC2"/>
    <w:rsid w:val="009C0F4B"/>
    <w:rsid w:val="009C1097"/>
    <w:rsid w:val="009C20B3"/>
    <w:rsid w:val="009C243A"/>
    <w:rsid w:val="009C2CEE"/>
    <w:rsid w:val="009C399C"/>
    <w:rsid w:val="009C3C97"/>
    <w:rsid w:val="009C4359"/>
    <w:rsid w:val="009C440D"/>
    <w:rsid w:val="009C454D"/>
    <w:rsid w:val="009C519B"/>
    <w:rsid w:val="009C5C4E"/>
    <w:rsid w:val="009C769C"/>
    <w:rsid w:val="009C7779"/>
    <w:rsid w:val="009C7C4E"/>
    <w:rsid w:val="009C7DFE"/>
    <w:rsid w:val="009D0ADF"/>
    <w:rsid w:val="009D0BC0"/>
    <w:rsid w:val="009D1301"/>
    <w:rsid w:val="009D1C3B"/>
    <w:rsid w:val="009D3CB7"/>
    <w:rsid w:val="009D4808"/>
    <w:rsid w:val="009D547C"/>
    <w:rsid w:val="009D57AF"/>
    <w:rsid w:val="009D5FD4"/>
    <w:rsid w:val="009D62BB"/>
    <w:rsid w:val="009D6449"/>
    <w:rsid w:val="009D6613"/>
    <w:rsid w:val="009D66DF"/>
    <w:rsid w:val="009D6CAA"/>
    <w:rsid w:val="009D7316"/>
    <w:rsid w:val="009D748C"/>
    <w:rsid w:val="009E1E0D"/>
    <w:rsid w:val="009E2228"/>
    <w:rsid w:val="009E275B"/>
    <w:rsid w:val="009E2D5D"/>
    <w:rsid w:val="009E42CF"/>
    <w:rsid w:val="009E575B"/>
    <w:rsid w:val="009E5BE6"/>
    <w:rsid w:val="009E6715"/>
    <w:rsid w:val="009E6817"/>
    <w:rsid w:val="009E77FB"/>
    <w:rsid w:val="009F0E8B"/>
    <w:rsid w:val="009F25AA"/>
    <w:rsid w:val="009F2D30"/>
    <w:rsid w:val="009F3DF1"/>
    <w:rsid w:val="009F458D"/>
    <w:rsid w:val="009F510D"/>
    <w:rsid w:val="009F5706"/>
    <w:rsid w:val="009F595A"/>
    <w:rsid w:val="009F6013"/>
    <w:rsid w:val="009F6375"/>
    <w:rsid w:val="009F6B78"/>
    <w:rsid w:val="009F6CD9"/>
    <w:rsid w:val="009F6F17"/>
    <w:rsid w:val="009F7273"/>
    <w:rsid w:val="00A00E42"/>
    <w:rsid w:val="00A010DB"/>
    <w:rsid w:val="00A01BF4"/>
    <w:rsid w:val="00A01FB6"/>
    <w:rsid w:val="00A02327"/>
    <w:rsid w:val="00A02AF7"/>
    <w:rsid w:val="00A032BF"/>
    <w:rsid w:val="00A03F96"/>
    <w:rsid w:val="00A04776"/>
    <w:rsid w:val="00A05ABC"/>
    <w:rsid w:val="00A06FC1"/>
    <w:rsid w:val="00A071F6"/>
    <w:rsid w:val="00A07C54"/>
    <w:rsid w:val="00A07F2D"/>
    <w:rsid w:val="00A1041A"/>
    <w:rsid w:val="00A1092B"/>
    <w:rsid w:val="00A10B72"/>
    <w:rsid w:val="00A11AB8"/>
    <w:rsid w:val="00A11BAA"/>
    <w:rsid w:val="00A11DF8"/>
    <w:rsid w:val="00A128AB"/>
    <w:rsid w:val="00A129FC"/>
    <w:rsid w:val="00A13053"/>
    <w:rsid w:val="00A130FC"/>
    <w:rsid w:val="00A133A6"/>
    <w:rsid w:val="00A13F70"/>
    <w:rsid w:val="00A14B34"/>
    <w:rsid w:val="00A14FDB"/>
    <w:rsid w:val="00A15F17"/>
    <w:rsid w:val="00A15F5D"/>
    <w:rsid w:val="00A16328"/>
    <w:rsid w:val="00A16894"/>
    <w:rsid w:val="00A16E2D"/>
    <w:rsid w:val="00A17AB1"/>
    <w:rsid w:val="00A20638"/>
    <w:rsid w:val="00A20CAD"/>
    <w:rsid w:val="00A2164A"/>
    <w:rsid w:val="00A22B2D"/>
    <w:rsid w:val="00A232BC"/>
    <w:rsid w:val="00A2371F"/>
    <w:rsid w:val="00A238D6"/>
    <w:rsid w:val="00A2440A"/>
    <w:rsid w:val="00A24678"/>
    <w:rsid w:val="00A26B86"/>
    <w:rsid w:val="00A26BEE"/>
    <w:rsid w:val="00A276E3"/>
    <w:rsid w:val="00A315B2"/>
    <w:rsid w:val="00A31D54"/>
    <w:rsid w:val="00A32D36"/>
    <w:rsid w:val="00A32FAF"/>
    <w:rsid w:val="00A340D7"/>
    <w:rsid w:val="00A34669"/>
    <w:rsid w:val="00A34B41"/>
    <w:rsid w:val="00A35C91"/>
    <w:rsid w:val="00A35E92"/>
    <w:rsid w:val="00A368B2"/>
    <w:rsid w:val="00A375C7"/>
    <w:rsid w:val="00A40DB7"/>
    <w:rsid w:val="00A40E26"/>
    <w:rsid w:val="00A41FAF"/>
    <w:rsid w:val="00A429B2"/>
    <w:rsid w:val="00A43798"/>
    <w:rsid w:val="00A44210"/>
    <w:rsid w:val="00A452F9"/>
    <w:rsid w:val="00A46738"/>
    <w:rsid w:val="00A46C0D"/>
    <w:rsid w:val="00A478E4"/>
    <w:rsid w:val="00A479A7"/>
    <w:rsid w:val="00A50906"/>
    <w:rsid w:val="00A50B62"/>
    <w:rsid w:val="00A51722"/>
    <w:rsid w:val="00A51883"/>
    <w:rsid w:val="00A5389E"/>
    <w:rsid w:val="00A54B0A"/>
    <w:rsid w:val="00A55B59"/>
    <w:rsid w:val="00A5630E"/>
    <w:rsid w:val="00A57D28"/>
    <w:rsid w:val="00A60825"/>
    <w:rsid w:val="00A6475B"/>
    <w:rsid w:val="00A64869"/>
    <w:rsid w:val="00A66C93"/>
    <w:rsid w:val="00A67924"/>
    <w:rsid w:val="00A67C49"/>
    <w:rsid w:val="00A67E9D"/>
    <w:rsid w:val="00A701D9"/>
    <w:rsid w:val="00A70787"/>
    <w:rsid w:val="00A720E4"/>
    <w:rsid w:val="00A72CC3"/>
    <w:rsid w:val="00A73E3F"/>
    <w:rsid w:val="00A73EE0"/>
    <w:rsid w:val="00A741A0"/>
    <w:rsid w:val="00A74B06"/>
    <w:rsid w:val="00A752F2"/>
    <w:rsid w:val="00A76A86"/>
    <w:rsid w:val="00A77065"/>
    <w:rsid w:val="00A7727A"/>
    <w:rsid w:val="00A77D52"/>
    <w:rsid w:val="00A82291"/>
    <w:rsid w:val="00A83496"/>
    <w:rsid w:val="00A85842"/>
    <w:rsid w:val="00A869AB"/>
    <w:rsid w:val="00A9096D"/>
    <w:rsid w:val="00A90E07"/>
    <w:rsid w:val="00A9147B"/>
    <w:rsid w:val="00A91BCD"/>
    <w:rsid w:val="00A91C73"/>
    <w:rsid w:val="00A91F64"/>
    <w:rsid w:val="00A91FDF"/>
    <w:rsid w:val="00A933E5"/>
    <w:rsid w:val="00A93C6F"/>
    <w:rsid w:val="00A94012"/>
    <w:rsid w:val="00A94729"/>
    <w:rsid w:val="00A94FEE"/>
    <w:rsid w:val="00A9572E"/>
    <w:rsid w:val="00A95AFE"/>
    <w:rsid w:val="00A95EA8"/>
    <w:rsid w:val="00A96196"/>
    <w:rsid w:val="00A96ECD"/>
    <w:rsid w:val="00A9774F"/>
    <w:rsid w:val="00AA0371"/>
    <w:rsid w:val="00AA0D9B"/>
    <w:rsid w:val="00AA177B"/>
    <w:rsid w:val="00AA1C72"/>
    <w:rsid w:val="00AA1DA2"/>
    <w:rsid w:val="00AA2751"/>
    <w:rsid w:val="00AA2788"/>
    <w:rsid w:val="00AA2A4A"/>
    <w:rsid w:val="00AA3912"/>
    <w:rsid w:val="00AA3BF2"/>
    <w:rsid w:val="00AA45DF"/>
    <w:rsid w:val="00AA6BD7"/>
    <w:rsid w:val="00AA7E30"/>
    <w:rsid w:val="00AB0061"/>
    <w:rsid w:val="00AB0629"/>
    <w:rsid w:val="00AB160E"/>
    <w:rsid w:val="00AB19C7"/>
    <w:rsid w:val="00AB258F"/>
    <w:rsid w:val="00AB383C"/>
    <w:rsid w:val="00AB3C6D"/>
    <w:rsid w:val="00AB4D73"/>
    <w:rsid w:val="00AB5126"/>
    <w:rsid w:val="00AB5287"/>
    <w:rsid w:val="00AB6877"/>
    <w:rsid w:val="00AB6A38"/>
    <w:rsid w:val="00AB70AA"/>
    <w:rsid w:val="00AB744F"/>
    <w:rsid w:val="00AB7804"/>
    <w:rsid w:val="00AB7CD3"/>
    <w:rsid w:val="00AC025A"/>
    <w:rsid w:val="00AC1979"/>
    <w:rsid w:val="00AC22FE"/>
    <w:rsid w:val="00AC442C"/>
    <w:rsid w:val="00AC543A"/>
    <w:rsid w:val="00AC5BC4"/>
    <w:rsid w:val="00AC5FC8"/>
    <w:rsid w:val="00AC61F9"/>
    <w:rsid w:val="00AC78ED"/>
    <w:rsid w:val="00AD0638"/>
    <w:rsid w:val="00AD0824"/>
    <w:rsid w:val="00AD0A6C"/>
    <w:rsid w:val="00AD0BA1"/>
    <w:rsid w:val="00AD1350"/>
    <w:rsid w:val="00AD1400"/>
    <w:rsid w:val="00AD144A"/>
    <w:rsid w:val="00AD18D4"/>
    <w:rsid w:val="00AD1C72"/>
    <w:rsid w:val="00AD1E22"/>
    <w:rsid w:val="00AD228F"/>
    <w:rsid w:val="00AD2348"/>
    <w:rsid w:val="00AD3335"/>
    <w:rsid w:val="00AD4BAF"/>
    <w:rsid w:val="00AD5D27"/>
    <w:rsid w:val="00AD63D1"/>
    <w:rsid w:val="00AD771E"/>
    <w:rsid w:val="00AD7EDE"/>
    <w:rsid w:val="00AE00CF"/>
    <w:rsid w:val="00AE0567"/>
    <w:rsid w:val="00AE067F"/>
    <w:rsid w:val="00AE0DB3"/>
    <w:rsid w:val="00AE2CBA"/>
    <w:rsid w:val="00AE3FED"/>
    <w:rsid w:val="00AE4C06"/>
    <w:rsid w:val="00AE4CFF"/>
    <w:rsid w:val="00AE547B"/>
    <w:rsid w:val="00AE5B2F"/>
    <w:rsid w:val="00AE5B65"/>
    <w:rsid w:val="00AE6019"/>
    <w:rsid w:val="00AE614C"/>
    <w:rsid w:val="00AE631C"/>
    <w:rsid w:val="00AE673A"/>
    <w:rsid w:val="00AE7A6A"/>
    <w:rsid w:val="00AF017B"/>
    <w:rsid w:val="00AF0890"/>
    <w:rsid w:val="00AF0C42"/>
    <w:rsid w:val="00AF13B2"/>
    <w:rsid w:val="00AF1494"/>
    <w:rsid w:val="00AF1F79"/>
    <w:rsid w:val="00AF2872"/>
    <w:rsid w:val="00AF2B75"/>
    <w:rsid w:val="00AF3BAB"/>
    <w:rsid w:val="00AF4C7D"/>
    <w:rsid w:val="00AF52B1"/>
    <w:rsid w:val="00AF68FF"/>
    <w:rsid w:val="00AF6C3B"/>
    <w:rsid w:val="00AF7DFD"/>
    <w:rsid w:val="00AF7FD9"/>
    <w:rsid w:val="00B00C2A"/>
    <w:rsid w:val="00B026B9"/>
    <w:rsid w:val="00B04902"/>
    <w:rsid w:val="00B04EC9"/>
    <w:rsid w:val="00B04F1F"/>
    <w:rsid w:val="00B05DF0"/>
    <w:rsid w:val="00B06F7B"/>
    <w:rsid w:val="00B06F98"/>
    <w:rsid w:val="00B07154"/>
    <w:rsid w:val="00B07BB4"/>
    <w:rsid w:val="00B10070"/>
    <w:rsid w:val="00B10D6E"/>
    <w:rsid w:val="00B11200"/>
    <w:rsid w:val="00B119F1"/>
    <w:rsid w:val="00B11D97"/>
    <w:rsid w:val="00B128C1"/>
    <w:rsid w:val="00B12D37"/>
    <w:rsid w:val="00B135EF"/>
    <w:rsid w:val="00B13E29"/>
    <w:rsid w:val="00B1434A"/>
    <w:rsid w:val="00B14A66"/>
    <w:rsid w:val="00B15781"/>
    <w:rsid w:val="00B169F3"/>
    <w:rsid w:val="00B16A16"/>
    <w:rsid w:val="00B17DEE"/>
    <w:rsid w:val="00B2043A"/>
    <w:rsid w:val="00B20757"/>
    <w:rsid w:val="00B210B7"/>
    <w:rsid w:val="00B216F1"/>
    <w:rsid w:val="00B21AB2"/>
    <w:rsid w:val="00B21FAF"/>
    <w:rsid w:val="00B227A9"/>
    <w:rsid w:val="00B232F5"/>
    <w:rsid w:val="00B24431"/>
    <w:rsid w:val="00B244AF"/>
    <w:rsid w:val="00B24ACE"/>
    <w:rsid w:val="00B261D0"/>
    <w:rsid w:val="00B26469"/>
    <w:rsid w:val="00B26B3F"/>
    <w:rsid w:val="00B26D3C"/>
    <w:rsid w:val="00B276D6"/>
    <w:rsid w:val="00B279DB"/>
    <w:rsid w:val="00B305AF"/>
    <w:rsid w:val="00B30D36"/>
    <w:rsid w:val="00B31DF6"/>
    <w:rsid w:val="00B32513"/>
    <w:rsid w:val="00B32A10"/>
    <w:rsid w:val="00B336C2"/>
    <w:rsid w:val="00B34F19"/>
    <w:rsid w:val="00B350DD"/>
    <w:rsid w:val="00B356D9"/>
    <w:rsid w:val="00B35C34"/>
    <w:rsid w:val="00B36721"/>
    <w:rsid w:val="00B3689E"/>
    <w:rsid w:val="00B36C7E"/>
    <w:rsid w:val="00B36EE5"/>
    <w:rsid w:val="00B37CD0"/>
    <w:rsid w:val="00B40F3D"/>
    <w:rsid w:val="00B41484"/>
    <w:rsid w:val="00B4158D"/>
    <w:rsid w:val="00B41CE8"/>
    <w:rsid w:val="00B41D2C"/>
    <w:rsid w:val="00B429A7"/>
    <w:rsid w:val="00B443D8"/>
    <w:rsid w:val="00B45B18"/>
    <w:rsid w:val="00B45E88"/>
    <w:rsid w:val="00B4765D"/>
    <w:rsid w:val="00B50D82"/>
    <w:rsid w:val="00B51562"/>
    <w:rsid w:val="00B52E53"/>
    <w:rsid w:val="00B539DB"/>
    <w:rsid w:val="00B53C0D"/>
    <w:rsid w:val="00B53D59"/>
    <w:rsid w:val="00B54E1A"/>
    <w:rsid w:val="00B550BF"/>
    <w:rsid w:val="00B55272"/>
    <w:rsid w:val="00B559E2"/>
    <w:rsid w:val="00B5653D"/>
    <w:rsid w:val="00B57A48"/>
    <w:rsid w:val="00B61577"/>
    <w:rsid w:val="00B619E3"/>
    <w:rsid w:val="00B61D2A"/>
    <w:rsid w:val="00B6268A"/>
    <w:rsid w:val="00B62DFC"/>
    <w:rsid w:val="00B63A20"/>
    <w:rsid w:val="00B63A5C"/>
    <w:rsid w:val="00B645FF"/>
    <w:rsid w:val="00B6519F"/>
    <w:rsid w:val="00B65773"/>
    <w:rsid w:val="00B6686F"/>
    <w:rsid w:val="00B66DCD"/>
    <w:rsid w:val="00B66F85"/>
    <w:rsid w:val="00B678F4"/>
    <w:rsid w:val="00B7038B"/>
    <w:rsid w:val="00B709C9"/>
    <w:rsid w:val="00B70CB3"/>
    <w:rsid w:val="00B715BF"/>
    <w:rsid w:val="00B719B0"/>
    <w:rsid w:val="00B71A42"/>
    <w:rsid w:val="00B721A7"/>
    <w:rsid w:val="00B721B8"/>
    <w:rsid w:val="00B7276B"/>
    <w:rsid w:val="00B727A8"/>
    <w:rsid w:val="00B732F0"/>
    <w:rsid w:val="00B73DCA"/>
    <w:rsid w:val="00B73F44"/>
    <w:rsid w:val="00B74405"/>
    <w:rsid w:val="00B74641"/>
    <w:rsid w:val="00B746E6"/>
    <w:rsid w:val="00B75378"/>
    <w:rsid w:val="00B75C1E"/>
    <w:rsid w:val="00B76222"/>
    <w:rsid w:val="00B76300"/>
    <w:rsid w:val="00B77633"/>
    <w:rsid w:val="00B77960"/>
    <w:rsid w:val="00B80166"/>
    <w:rsid w:val="00B8020F"/>
    <w:rsid w:val="00B80B87"/>
    <w:rsid w:val="00B81767"/>
    <w:rsid w:val="00B81801"/>
    <w:rsid w:val="00B8181E"/>
    <w:rsid w:val="00B8197F"/>
    <w:rsid w:val="00B81B98"/>
    <w:rsid w:val="00B81EC8"/>
    <w:rsid w:val="00B8236D"/>
    <w:rsid w:val="00B84E06"/>
    <w:rsid w:val="00B854AD"/>
    <w:rsid w:val="00B858C3"/>
    <w:rsid w:val="00B86AD1"/>
    <w:rsid w:val="00B87291"/>
    <w:rsid w:val="00B90ACB"/>
    <w:rsid w:val="00B919B9"/>
    <w:rsid w:val="00B92C84"/>
    <w:rsid w:val="00B92FFD"/>
    <w:rsid w:val="00B93A3A"/>
    <w:rsid w:val="00B93DF9"/>
    <w:rsid w:val="00B94B58"/>
    <w:rsid w:val="00B94D64"/>
    <w:rsid w:val="00B9589E"/>
    <w:rsid w:val="00B95DB3"/>
    <w:rsid w:val="00B963A7"/>
    <w:rsid w:val="00B96945"/>
    <w:rsid w:val="00B97B0A"/>
    <w:rsid w:val="00B97BD2"/>
    <w:rsid w:val="00BA050F"/>
    <w:rsid w:val="00BA0C5C"/>
    <w:rsid w:val="00BA175A"/>
    <w:rsid w:val="00BA194F"/>
    <w:rsid w:val="00BA2AA5"/>
    <w:rsid w:val="00BA3183"/>
    <w:rsid w:val="00BA3457"/>
    <w:rsid w:val="00BA3514"/>
    <w:rsid w:val="00BA395D"/>
    <w:rsid w:val="00BA3B17"/>
    <w:rsid w:val="00BA48D8"/>
    <w:rsid w:val="00BA4A66"/>
    <w:rsid w:val="00BA4E6B"/>
    <w:rsid w:val="00BA5EC9"/>
    <w:rsid w:val="00BA5EF1"/>
    <w:rsid w:val="00BA65F1"/>
    <w:rsid w:val="00BA78F3"/>
    <w:rsid w:val="00BB0887"/>
    <w:rsid w:val="00BB1581"/>
    <w:rsid w:val="00BB1590"/>
    <w:rsid w:val="00BB1600"/>
    <w:rsid w:val="00BB41AE"/>
    <w:rsid w:val="00BB442C"/>
    <w:rsid w:val="00BB4433"/>
    <w:rsid w:val="00BB57A4"/>
    <w:rsid w:val="00BB5EB5"/>
    <w:rsid w:val="00BB70BE"/>
    <w:rsid w:val="00BB76BE"/>
    <w:rsid w:val="00BB7CF3"/>
    <w:rsid w:val="00BC07F0"/>
    <w:rsid w:val="00BC0DEE"/>
    <w:rsid w:val="00BC0F9F"/>
    <w:rsid w:val="00BC2C57"/>
    <w:rsid w:val="00BC2CA2"/>
    <w:rsid w:val="00BC37F5"/>
    <w:rsid w:val="00BC3BB0"/>
    <w:rsid w:val="00BC4184"/>
    <w:rsid w:val="00BC44BF"/>
    <w:rsid w:val="00BC572A"/>
    <w:rsid w:val="00BC64A4"/>
    <w:rsid w:val="00BC7B52"/>
    <w:rsid w:val="00BD15AC"/>
    <w:rsid w:val="00BD1D2A"/>
    <w:rsid w:val="00BD246A"/>
    <w:rsid w:val="00BD26B9"/>
    <w:rsid w:val="00BD2712"/>
    <w:rsid w:val="00BD27BB"/>
    <w:rsid w:val="00BD4FB5"/>
    <w:rsid w:val="00BD60F4"/>
    <w:rsid w:val="00BD62A0"/>
    <w:rsid w:val="00BD6986"/>
    <w:rsid w:val="00BD7917"/>
    <w:rsid w:val="00BD7BC2"/>
    <w:rsid w:val="00BD7F0F"/>
    <w:rsid w:val="00BD7F41"/>
    <w:rsid w:val="00BE063C"/>
    <w:rsid w:val="00BE07B2"/>
    <w:rsid w:val="00BE16A8"/>
    <w:rsid w:val="00BE265E"/>
    <w:rsid w:val="00BE26D8"/>
    <w:rsid w:val="00BE2BEE"/>
    <w:rsid w:val="00BE2CAE"/>
    <w:rsid w:val="00BE2E4D"/>
    <w:rsid w:val="00BE3395"/>
    <w:rsid w:val="00BE41BD"/>
    <w:rsid w:val="00BE4848"/>
    <w:rsid w:val="00BE4B0F"/>
    <w:rsid w:val="00BE4CAB"/>
    <w:rsid w:val="00BE5443"/>
    <w:rsid w:val="00BE5A89"/>
    <w:rsid w:val="00BE624F"/>
    <w:rsid w:val="00BE6922"/>
    <w:rsid w:val="00BE6C6F"/>
    <w:rsid w:val="00BE719D"/>
    <w:rsid w:val="00BE7C62"/>
    <w:rsid w:val="00BF00C2"/>
    <w:rsid w:val="00BF0203"/>
    <w:rsid w:val="00BF08D1"/>
    <w:rsid w:val="00BF1B34"/>
    <w:rsid w:val="00BF3494"/>
    <w:rsid w:val="00BF4568"/>
    <w:rsid w:val="00BF4C1D"/>
    <w:rsid w:val="00BF4D28"/>
    <w:rsid w:val="00BF4E22"/>
    <w:rsid w:val="00BF5074"/>
    <w:rsid w:val="00BF5203"/>
    <w:rsid w:val="00BF561F"/>
    <w:rsid w:val="00BF60D1"/>
    <w:rsid w:val="00BF64BC"/>
    <w:rsid w:val="00BF7436"/>
    <w:rsid w:val="00C00004"/>
    <w:rsid w:val="00C0196C"/>
    <w:rsid w:val="00C023B2"/>
    <w:rsid w:val="00C02E2C"/>
    <w:rsid w:val="00C03AB0"/>
    <w:rsid w:val="00C03E1A"/>
    <w:rsid w:val="00C05721"/>
    <w:rsid w:val="00C058DB"/>
    <w:rsid w:val="00C05CF6"/>
    <w:rsid w:val="00C05F2D"/>
    <w:rsid w:val="00C0774A"/>
    <w:rsid w:val="00C07BDE"/>
    <w:rsid w:val="00C10346"/>
    <w:rsid w:val="00C103C9"/>
    <w:rsid w:val="00C1066F"/>
    <w:rsid w:val="00C10A79"/>
    <w:rsid w:val="00C11299"/>
    <w:rsid w:val="00C114F4"/>
    <w:rsid w:val="00C12691"/>
    <w:rsid w:val="00C126A0"/>
    <w:rsid w:val="00C12B2A"/>
    <w:rsid w:val="00C12B85"/>
    <w:rsid w:val="00C12F26"/>
    <w:rsid w:val="00C13187"/>
    <w:rsid w:val="00C13338"/>
    <w:rsid w:val="00C13AE3"/>
    <w:rsid w:val="00C14891"/>
    <w:rsid w:val="00C14AF2"/>
    <w:rsid w:val="00C162DF"/>
    <w:rsid w:val="00C169D2"/>
    <w:rsid w:val="00C17B9A"/>
    <w:rsid w:val="00C17BD8"/>
    <w:rsid w:val="00C2030E"/>
    <w:rsid w:val="00C20CA7"/>
    <w:rsid w:val="00C20F00"/>
    <w:rsid w:val="00C216DC"/>
    <w:rsid w:val="00C21BFC"/>
    <w:rsid w:val="00C22A06"/>
    <w:rsid w:val="00C23CD2"/>
    <w:rsid w:val="00C257A9"/>
    <w:rsid w:val="00C30E85"/>
    <w:rsid w:val="00C312B5"/>
    <w:rsid w:val="00C31D91"/>
    <w:rsid w:val="00C32942"/>
    <w:rsid w:val="00C34351"/>
    <w:rsid w:val="00C3479C"/>
    <w:rsid w:val="00C354DC"/>
    <w:rsid w:val="00C35764"/>
    <w:rsid w:val="00C35D58"/>
    <w:rsid w:val="00C36DE2"/>
    <w:rsid w:val="00C37C8D"/>
    <w:rsid w:val="00C37D7B"/>
    <w:rsid w:val="00C406A2"/>
    <w:rsid w:val="00C40BF7"/>
    <w:rsid w:val="00C40E25"/>
    <w:rsid w:val="00C41DE5"/>
    <w:rsid w:val="00C42012"/>
    <w:rsid w:val="00C42547"/>
    <w:rsid w:val="00C42569"/>
    <w:rsid w:val="00C426E8"/>
    <w:rsid w:val="00C42F08"/>
    <w:rsid w:val="00C44E25"/>
    <w:rsid w:val="00C4509C"/>
    <w:rsid w:val="00C45772"/>
    <w:rsid w:val="00C45872"/>
    <w:rsid w:val="00C45C8C"/>
    <w:rsid w:val="00C46427"/>
    <w:rsid w:val="00C46B9A"/>
    <w:rsid w:val="00C4758A"/>
    <w:rsid w:val="00C47F50"/>
    <w:rsid w:val="00C501FD"/>
    <w:rsid w:val="00C502F6"/>
    <w:rsid w:val="00C5035F"/>
    <w:rsid w:val="00C509CE"/>
    <w:rsid w:val="00C548B0"/>
    <w:rsid w:val="00C5577B"/>
    <w:rsid w:val="00C55D2C"/>
    <w:rsid w:val="00C56330"/>
    <w:rsid w:val="00C56A09"/>
    <w:rsid w:val="00C575D3"/>
    <w:rsid w:val="00C57DD3"/>
    <w:rsid w:val="00C60ED2"/>
    <w:rsid w:val="00C62419"/>
    <w:rsid w:val="00C628DD"/>
    <w:rsid w:val="00C62E1C"/>
    <w:rsid w:val="00C6374F"/>
    <w:rsid w:val="00C653CA"/>
    <w:rsid w:val="00C65B59"/>
    <w:rsid w:val="00C65F1F"/>
    <w:rsid w:val="00C66133"/>
    <w:rsid w:val="00C6626E"/>
    <w:rsid w:val="00C668D8"/>
    <w:rsid w:val="00C66E0E"/>
    <w:rsid w:val="00C67CDF"/>
    <w:rsid w:val="00C71938"/>
    <w:rsid w:val="00C7291C"/>
    <w:rsid w:val="00C729BC"/>
    <w:rsid w:val="00C72B94"/>
    <w:rsid w:val="00C730BD"/>
    <w:rsid w:val="00C7381E"/>
    <w:rsid w:val="00C74741"/>
    <w:rsid w:val="00C747F2"/>
    <w:rsid w:val="00C74D4F"/>
    <w:rsid w:val="00C75BF1"/>
    <w:rsid w:val="00C77C8F"/>
    <w:rsid w:val="00C8061F"/>
    <w:rsid w:val="00C809FE"/>
    <w:rsid w:val="00C8249D"/>
    <w:rsid w:val="00C83101"/>
    <w:rsid w:val="00C835B0"/>
    <w:rsid w:val="00C83946"/>
    <w:rsid w:val="00C843B2"/>
    <w:rsid w:val="00C85F46"/>
    <w:rsid w:val="00C867AF"/>
    <w:rsid w:val="00C87090"/>
    <w:rsid w:val="00C875D7"/>
    <w:rsid w:val="00C87F62"/>
    <w:rsid w:val="00C904D6"/>
    <w:rsid w:val="00C90F02"/>
    <w:rsid w:val="00C90F22"/>
    <w:rsid w:val="00C9151E"/>
    <w:rsid w:val="00C91566"/>
    <w:rsid w:val="00C9161F"/>
    <w:rsid w:val="00C91EB1"/>
    <w:rsid w:val="00C92A96"/>
    <w:rsid w:val="00C934ED"/>
    <w:rsid w:val="00C9398F"/>
    <w:rsid w:val="00C94550"/>
    <w:rsid w:val="00C94790"/>
    <w:rsid w:val="00C95348"/>
    <w:rsid w:val="00C95406"/>
    <w:rsid w:val="00C955C3"/>
    <w:rsid w:val="00C96285"/>
    <w:rsid w:val="00C96364"/>
    <w:rsid w:val="00C963A4"/>
    <w:rsid w:val="00C96845"/>
    <w:rsid w:val="00CA13B3"/>
    <w:rsid w:val="00CA182E"/>
    <w:rsid w:val="00CA2A67"/>
    <w:rsid w:val="00CA2D74"/>
    <w:rsid w:val="00CA373D"/>
    <w:rsid w:val="00CA39B1"/>
    <w:rsid w:val="00CA44DC"/>
    <w:rsid w:val="00CA4627"/>
    <w:rsid w:val="00CA4F76"/>
    <w:rsid w:val="00CA52C6"/>
    <w:rsid w:val="00CA53D0"/>
    <w:rsid w:val="00CA5726"/>
    <w:rsid w:val="00CA7B71"/>
    <w:rsid w:val="00CB12C5"/>
    <w:rsid w:val="00CB19DB"/>
    <w:rsid w:val="00CB2F4D"/>
    <w:rsid w:val="00CB3CCC"/>
    <w:rsid w:val="00CB4990"/>
    <w:rsid w:val="00CB5FC8"/>
    <w:rsid w:val="00CB7172"/>
    <w:rsid w:val="00CB769F"/>
    <w:rsid w:val="00CB7D39"/>
    <w:rsid w:val="00CC045B"/>
    <w:rsid w:val="00CC11A8"/>
    <w:rsid w:val="00CC1B30"/>
    <w:rsid w:val="00CC20C7"/>
    <w:rsid w:val="00CC3CED"/>
    <w:rsid w:val="00CC6313"/>
    <w:rsid w:val="00CC6FC7"/>
    <w:rsid w:val="00CC7F35"/>
    <w:rsid w:val="00CD01EA"/>
    <w:rsid w:val="00CD08B2"/>
    <w:rsid w:val="00CD0D74"/>
    <w:rsid w:val="00CD1101"/>
    <w:rsid w:val="00CD11BC"/>
    <w:rsid w:val="00CD1230"/>
    <w:rsid w:val="00CD1A15"/>
    <w:rsid w:val="00CD1D33"/>
    <w:rsid w:val="00CD24E5"/>
    <w:rsid w:val="00CD2690"/>
    <w:rsid w:val="00CD3423"/>
    <w:rsid w:val="00CD34D2"/>
    <w:rsid w:val="00CD3686"/>
    <w:rsid w:val="00CD3798"/>
    <w:rsid w:val="00CD446D"/>
    <w:rsid w:val="00CD4986"/>
    <w:rsid w:val="00CD4AAA"/>
    <w:rsid w:val="00CD4F25"/>
    <w:rsid w:val="00CD63B2"/>
    <w:rsid w:val="00CD654E"/>
    <w:rsid w:val="00CD65DB"/>
    <w:rsid w:val="00CD71AC"/>
    <w:rsid w:val="00CD7954"/>
    <w:rsid w:val="00CE0608"/>
    <w:rsid w:val="00CE0684"/>
    <w:rsid w:val="00CE0867"/>
    <w:rsid w:val="00CE0B9B"/>
    <w:rsid w:val="00CE11FA"/>
    <w:rsid w:val="00CE159B"/>
    <w:rsid w:val="00CE2416"/>
    <w:rsid w:val="00CE336B"/>
    <w:rsid w:val="00CE373D"/>
    <w:rsid w:val="00CE4137"/>
    <w:rsid w:val="00CE519B"/>
    <w:rsid w:val="00CE5E97"/>
    <w:rsid w:val="00CE7308"/>
    <w:rsid w:val="00CE76F3"/>
    <w:rsid w:val="00CE7808"/>
    <w:rsid w:val="00CF007C"/>
    <w:rsid w:val="00CF0792"/>
    <w:rsid w:val="00CF1420"/>
    <w:rsid w:val="00CF2A22"/>
    <w:rsid w:val="00CF2A28"/>
    <w:rsid w:val="00CF32A5"/>
    <w:rsid w:val="00CF4BD0"/>
    <w:rsid w:val="00CF5CFF"/>
    <w:rsid w:val="00CF6783"/>
    <w:rsid w:val="00CF731A"/>
    <w:rsid w:val="00CF7495"/>
    <w:rsid w:val="00CF7D06"/>
    <w:rsid w:val="00D00F16"/>
    <w:rsid w:val="00D011BA"/>
    <w:rsid w:val="00D0141A"/>
    <w:rsid w:val="00D01ED0"/>
    <w:rsid w:val="00D04BED"/>
    <w:rsid w:val="00D04D60"/>
    <w:rsid w:val="00D05162"/>
    <w:rsid w:val="00D0596D"/>
    <w:rsid w:val="00D059A6"/>
    <w:rsid w:val="00D05B75"/>
    <w:rsid w:val="00D05C44"/>
    <w:rsid w:val="00D072DB"/>
    <w:rsid w:val="00D074AB"/>
    <w:rsid w:val="00D07944"/>
    <w:rsid w:val="00D07DE3"/>
    <w:rsid w:val="00D113BE"/>
    <w:rsid w:val="00D12C0B"/>
    <w:rsid w:val="00D12CF3"/>
    <w:rsid w:val="00D12ED4"/>
    <w:rsid w:val="00D13A00"/>
    <w:rsid w:val="00D159C5"/>
    <w:rsid w:val="00D164C0"/>
    <w:rsid w:val="00D176F8"/>
    <w:rsid w:val="00D210F4"/>
    <w:rsid w:val="00D21680"/>
    <w:rsid w:val="00D21F93"/>
    <w:rsid w:val="00D22E3A"/>
    <w:rsid w:val="00D236AC"/>
    <w:rsid w:val="00D23CEC"/>
    <w:rsid w:val="00D23D61"/>
    <w:rsid w:val="00D23DAD"/>
    <w:rsid w:val="00D25340"/>
    <w:rsid w:val="00D26305"/>
    <w:rsid w:val="00D26F67"/>
    <w:rsid w:val="00D27666"/>
    <w:rsid w:val="00D27D0F"/>
    <w:rsid w:val="00D309F3"/>
    <w:rsid w:val="00D32564"/>
    <w:rsid w:val="00D32658"/>
    <w:rsid w:val="00D3424F"/>
    <w:rsid w:val="00D342B7"/>
    <w:rsid w:val="00D346C1"/>
    <w:rsid w:val="00D34EC5"/>
    <w:rsid w:val="00D35449"/>
    <w:rsid w:val="00D35EF9"/>
    <w:rsid w:val="00D361AF"/>
    <w:rsid w:val="00D369F6"/>
    <w:rsid w:val="00D377E2"/>
    <w:rsid w:val="00D37983"/>
    <w:rsid w:val="00D40AA6"/>
    <w:rsid w:val="00D41726"/>
    <w:rsid w:val="00D4182D"/>
    <w:rsid w:val="00D42770"/>
    <w:rsid w:val="00D42F19"/>
    <w:rsid w:val="00D43783"/>
    <w:rsid w:val="00D44371"/>
    <w:rsid w:val="00D468AF"/>
    <w:rsid w:val="00D46A57"/>
    <w:rsid w:val="00D47924"/>
    <w:rsid w:val="00D47931"/>
    <w:rsid w:val="00D47B06"/>
    <w:rsid w:val="00D5041F"/>
    <w:rsid w:val="00D51A94"/>
    <w:rsid w:val="00D51B99"/>
    <w:rsid w:val="00D52772"/>
    <w:rsid w:val="00D53815"/>
    <w:rsid w:val="00D53BFE"/>
    <w:rsid w:val="00D5447E"/>
    <w:rsid w:val="00D544BB"/>
    <w:rsid w:val="00D54B6F"/>
    <w:rsid w:val="00D55210"/>
    <w:rsid w:val="00D56EA4"/>
    <w:rsid w:val="00D6028A"/>
    <w:rsid w:val="00D602EB"/>
    <w:rsid w:val="00D606C0"/>
    <w:rsid w:val="00D60B48"/>
    <w:rsid w:val="00D60BED"/>
    <w:rsid w:val="00D60EFC"/>
    <w:rsid w:val="00D61B38"/>
    <w:rsid w:val="00D61F20"/>
    <w:rsid w:val="00D61FD9"/>
    <w:rsid w:val="00D633C9"/>
    <w:rsid w:val="00D63481"/>
    <w:rsid w:val="00D63869"/>
    <w:rsid w:val="00D63C37"/>
    <w:rsid w:val="00D64442"/>
    <w:rsid w:val="00D646F9"/>
    <w:rsid w:val="00D64BA7"/>
    <w:rsid w:val="00D6538B"/>
    <w:rsid w:val="00D656E6"/>
    <w:rsid w:val="00D6574E"/>
    <w:rsid w:val="00D6694D"/>
    <w:rsid w:val="00D66F23"/>
    <w:rsid w:val="00D67428"/>
    <w:rsid w:val="00D678F2"/>
    <w:rsid w:val="00D67A5F"/>
    <w:rsid w:val="00D70847"/>
    <w:rsid w:val="00D70F86"/>
    <w:rsid w:val="00D72507"/>
    <w:rsid w:val="00D72C6E"/>
    <w:rsid w:val="00D72F17"/>
    <w:rsid w:val="00D731B2"/>
    <w:rsid w:val="00D7324C"/>
    <w:rsid w:val="00D73C42"/>
    <w:rsid w:val="00D7463D"/>
    <w:rsid w:val="00D753C3"/>
    <w:rsid w:val="00D75754"/>
    <w:rsid w:val="00D75CF0"/>
    <w:rsid w:val="00D77F9D"/>
    <w:rsid w:val="00D80AE6"/>
    <w:rsid w:val="00D80E3E"/>
    <w:rsid w:val="00D81BFD"/>
    <w:rsid w:val="00D81CA6"/>
    <w:rsid w:val="00D82A76"/>
    <w:rsid w:val="00D82A8F"/>
    <w:rsid w:val="00D82DC4"/>
    <w:rsid w:val="00D8322F"/>
    <w:rsid w:val="00D836EE"/>
    <w:rsid w:val="00D83F79"/>
    <w:rsid w:val="00D84027"/>
    <w:rsid w:val="00D84806"/>
    <w:rsid w:val="00D84A47"/>
    <w:rsid w:val="00D84AE5"/>
    <w:rsid w:val="00D84F8E"/>
    <w:rsid w:val="00D85486"/>
    <w:rsid w:val="00D8611D"/>
    <w:rsid w:val="00D865D1"/>
    <w:rsid w:val="00D86B56"/>
    <w:rsid w:val="00D872F5"/>
    <w:rsid w:val="00D9011D"/>
    <w:rsid w:val="00D91D94"/>
    <w:rsid w:val="00D91F98"/>
    <w:rsid w:val="00D92D1C"/>
    <w:rsid w:val="00D93ACB"/>
    <w:rsid w:val="00D9433C"/>
    <w:rsid w:val="00D9445A"/>
    <w:rsid w:val="00D95180"/>
    <w:rsid w:val="00D951FC"/>
    <w:rsid w:val="00D95DAB"/>
    <w:rsid w:val="00D9689E"/>
    <w:rsid w:val="00D97406"/>
    <w:rsid w:val="00D97AE5"/>
    <w:rsid w:val="00D97BE3"/>
    <w:rsid w:val="00DA0A39"/>
    <w:rsid w:val="00DA0B07"/>
    <w:rsid w:val="00DA0F3D"/>
    <w:rsid w:val="00DA1AA3"/>
    <w:rsid w:val="00DA1DF8"/>
    <w:rsid w:val="00DA2EAD"/>
    <w:rsid w:val="00DA3059"/>
    <w:rsid w:val="00DA3A9A"/>
    <w:rsid w:val="00DA3AB4"/>
    <w:rsid w:val="00DA3E75"/>
    <w:rsid w:val="00DA419E"/>
    <w:rsid w:val="00DA4691"/>
    <w:rsid w:val="00DA4D0B"/>
    <w:rsid w:val="00DA4F31"/>
    <w:rsid w:val="00DA6407"/>
    <w:rsid w:val="00DA6599"/>
    <w:rsid w:val="00DA71D9"/>
    <w:rsid w:val="00DA7518"/>
    <w:rsid w:val="00DA7D5B"/>
    <w:rsid w:val="00DB0099"/>
    <w:rsid w:val="00DB180E"/>
    <w:rsid w:val="00DB1C05"/>
    <w:rsid w:val="00DB1EC6"/>
    <w:rsid w:val="00DB2555"/>
    <w:rsid w:val="00DB335A"/>
    <w:rsid w:val="00DB34B7"/>
    <w:rsid w:val="00DB38EF"/>
    <w:rsid w:val="00DB491B"/>
    <w:rsid w:val="00DB53FA"/>
    <w:rsid w:val="00DB5407"/>
    <w:rsid w:val="00DB55BC"/>
    <w:rsid w:val="00DB5B0F"/>
    <w:rsid w:val="00DB6007"/>
    <w:rsid w:val="00DB6340"/>
    <w:rsid w:val="00DB6973"/>
    <w:rsid w:val="00DB70A4"/>
    <w:rsid w:val="00DB70D2"/>
    <w:rsid w:val="00DB78EC"/>
    <w:rsid w:val="00DC070B"/>
    <w:rsid w:val="00DC08C8"/>
    <w:rsid w:val="00DC18FC"/>
    <w:rsid w:val="00DC2362"/>
    <w:rsid w:val="00DC268B"/>
    <w:rsid w:val="00DC3012"/>
    <w:rsid w:val="00DC3165"/>
    <w:rsid w:val="00DC3405"/>
    <w:rsid w:val="00DC381B"/>
    <w:rsid w:val="00DC3EC4"/>
    <w:rsid w:val="00DC43E9"/>
    <w:rsid w:val="00DC47D5"/>
    <w:rsid w:val="00DC51B5"/>
    <w:rsid w:val="00DC65F3"/>
    <w:rsid w:val="00DC6C78"/>
    <w:rsid w:val="00DC7275"/>
    <w:rsid w:val="00DD0A4E"/>
    <w:rsid w:val="00DD0CB6"/>
    <w:rsid w:val="00DD1C32"/>
    <w:rsid w:val="00DD22AC"/>
    <w:rsid w:val="00DD239D"/>
    <w:rsid w:val="00DD273E"/>
    <w:rsid w:val="00DD46FF"/>
    <w:rsid w:val="00DD4DCF"/>
    <w:rsid w:val="00DD4E76"/>
    <w:rsid w:val="00DD539A"/>
    <w:rsid w:val="00DD5974"/>
    <w:rsid w:val="00DD5F73"/>
    <w:rsid w:val="00DD66E5"/>
    <w:rsid w:val="00DD72F4"/>
    <w:rsid w:val="00DD7733"/>
    <w:rsid w:val="00DD7E06"/>
    <w:rsid w:val="00DE047D"/>
    <w:rsid w:val="00DE071A"/>
    <w:rsid w:val="00DE13F3"/>
    <w:rsid w:val="00DE17B6"/>
    <w:rsid w:val="00DE1B10"/>
    <w:rsid w:val="00DE1DCE"/>
    <w:rsid w:val="00DE26A6"/>
    <w:rsid w:val="00DE3058"/>
    <w:rsid w:val="00DE3925"/>
    <w:rsid w:val="00DE3E24"/>
    <w:rsid w:val="00DE475A"/>
    <w:rsid w:val="00DE486A"/>
    <w:rsid w:val="00DE4EEC"/>
    <w:rsid w:val="00DE5327"/>
    <w:rsid w:val="00DE58F7"/>
    <w:rsid w:val="00DE6EBD"/>
    <w:rsid w:val="00DE6EE4"/>
    <w:rsid w:val="00DE7E59"/>
    <w:rsid w:val="00DF0206"/>
    <w:rsid w:val="00DF046E"/>
    <w:rsid w:val="00DF0AF1"/>
    <w:rsid w:val="00DF18C0"/>
    <w:rsid w:val="00DF25F8"/>
    <w:rsid w:val="00DF2CE0"/>
    <w:rsid w:val="00DF3310"/>
    <w:rsid w:val="00DF44FE"/>
    <w:rsid w:val="00DF47EE"/>
    <w:rsid w:val="00DF4985"/>
    <w:rsid w:val="00DF4BF2"/>
    <w:rsid w:val="00DF50C2"/>
    <w:rsid w:val="00DF593B"/>
    <w:rsid w:val="00DF5B02"/>
    <w:rsid w:val="00DF6373"/>
    <w:rsid w:val="00DF6612"/>
    <w:rsid w:val="00DF706B"/>
    <w:rsid w:val="00DF73F1"/>
    <w:rsid w:val="00DF75B5"/>
    <w:rsid w:val="00DF7E68"/>
    <w:rsid w:val="00E004BA"/>
    <w:rsid w:val="00E0163D"/>
    <w:rsid w:val="00E01B41"/>
    <w:rsid w:val="00E025A6"/>
    <w:rsid w:val="00E03325"/>
    <w:rsid w:val="00E034F4"/>
    <w:rsid w:val="00E03589"/>
    <w:rsid w:val="00E03C40"/>
    <w:rsid w:val="00E03CA1"/>
    <w:rsid w:val="00E043C3"/>
    <w:rsid w:val="00E0469F"/>
    <w:rsid w:val="00E05F06"/>
    <w:rsid w:val="00E05F8A"/>
    <w:rsid w:val="00E06D52"/>
    <w:rsid w:val="00E07613"/>
    <w:rsid w:val="00E07679"/>
    <w:rsid w:val="00E103D6"/>
    <w:rsid w:val="00E10867"/>
    <w:rsid w:val="00E10A47"/>
    <w:rsid w:val="00E10E3A"/>
    <w:rsid w:val="00E1138D"/>
    <w:rsid w:val="00E1277F"/>
    <w:rsid w:val="00E12E90"/>
    <w:rsid w:val="00E12EC9"/>
    <w:rsid w:val="00E12FAE"/>
    <w:rsid w:val="00E132AB"/>
    <w:rsid w:val="00E13D97"/>
    <w:rsid w:val="00E14BEC"/>
    <w:rsid w:val="00E16153"/>
    <w:rsid w:val="00E20234"/>
    <w:rsid w:val="00E202EF"/>
    <w:rsid w:val="00E207EC"/>
    <w:rsid w:val="00E20D1A"/>
    <w:rsid w:val="00E21C97"/>
    <w:rsid w:val="00E22DB1"/>
    <w:rsid w:val="00E2413F"/>
    <w:rsid w:val="00E2462F"/>
    <w:rsid w:val="00E24DC7"/>
    <w:rsid w:val="00E25E2A"/>
    <w:rsid w:val="00E260BE"/>
    <w:rsid w:val="00E26E1A"/>
    <w:rsid w:val="00E26E8E"/>
    <w:rsid w:val="00E27970"/>
    <w:rsid w:val="00E27AF3"/>
    <w:rsid w:val="00E27B23"/>
    <w:rsid w:val="00E309BA"/>
    <w:rsid w:val="00E30D88"/>
    <w:rsid w:val="00E30F12"/>
    <w:rsid w:val="00E312D8"/>
    <w:rsid w:val="00E320CA"/>
    <w:rsid w:val="00E320D1"/>
    <w:rsid w:val="00E325AB"/>
    <w:rsid w:val="00E326A4"/>
    <w:rsid w:val="00E3358E"/>
    <w:rsid w:val="00E3447B"/>
    <w:rsid w:val="00E3456C"/>
    <w:rsid w:val="00E34E92"/>
    <w:rsid w:val="00E350C6"/>
    <w:rsid w:val="00E3533B"/>
    <w:rsid w:val="00E3553C"/>
    <w:rsid w:val="00E35F5A"/>
    <w:rsid w:val="00E3633B"/>
    <w:rsid w:val="00E36590"/>
    <w:rsid w:val="00E36C51"/>
    <w:rsid w:val="00E37E7D"/>
    <w:rsid w:val="00E40732"/>
    <w:rsid w:val="00E42350"/>
    <w:rsid w:val="00E43024"/>
    <w:rsid w:val="00E431F5"/>
    <w:rsid w:val="00E443AE"/>
    <w:rsid w:val="00E45166"/>
    <w:rsid w:val="00E46565"/>
    <w:rsid w:val="00E46F73"/>
    <w:rsid w:val="00E50124"/>
    <w:rsid w:val="00E502A0"/>
    <w:rsid w:val="00E50CCE"/>
    <w:rsid w:val="00E514EB"/>
    <w:rsid w:val="00E51F36"/>
    <w:rsid w:val="00E5209A"/>
    <w:rsid w:val="00E5238A"/>
    <w:rsid w:val="00E53CD1"/>
    <w:rsid w:val="00E54537"/>
    <w:rsid w:val="00E55112"/>
    <w:rsid w:val="00E55127"/>
    <w:rsid w:val="00E55663"/>
    <w:rsid w:val="00E556E2"/>
    <w:rsid w:val="00E579E1"/>
    <w:rsid w:val="00E60BCE"/>
    <w:rsid w:val="00E60CE0"/>
    <w:rsid w:val="00E61FDD"/>
    <w:rsid w:val="00E621CD"/>
    <w:rsid w:val="00E6358E"/>
    <w:rsid w:val="00E63794"/>
    <w:rsid w:val="00E63B7D"/>
    <w:rsid w:val="00E64E15"/>
    <w:rsid w:val="00E65379"/>
    <w:rsid w:val="00E65D32"/>
    <w:rsid w:val="00E66D7D"/>
    <w:rsid w:val="00E67B65"/>
    <w:rsid w:val="00E701D7"/>
    <w:rsid w:val="00E70B8D"/>
    <w:rsid w:val="00E71470"/>
    <w:rsid w:val="00E72D23"/>
    <w:rsid w:val="00E75706"/>
    <w:rsid w:val="00E76B9A"/>
    <w:rsid w:val="00E76EF0"/>
    <w:rsid w:val="00E8000A"/>
    <w:rsid w:val="00E809E9"/>
    <w:rsid w:val="00E8109B"/>
    <w:rsid w:val="00E82712"/>
    <w:rsid w:val="00E830AB"/>
    <w:rsid w:val="00E8363A"/>
    <w:rsid w:val="00E8389E"/>
    <w:rsid w:val="00E84A02"/>
    <w:rsid w:val="00E84BC7"/>
    <w:rsid w:val="00E85582"/>
    <w:rsid w:val="00E858DB"/>
    <w:rsid w:val="00E86260"/>
    <w:rsid w:val="00E86BAE"/>
    <w:rsid w:val="00E879CC"/>
    <w:rsid w:val="00E9128A"/>
    <w:rsid w:val="00E918D2"/>
    <w:rsid w:val="00E9194A"/>
    <w:rsid w:val="00E92444"/>
    <w:rsid w:val="00E93F9F"/>
    <w:rsid w:val="00E957B1"/>
    <w:rsid w:val="00E95C41"/>
    <w:rsid w:val="00E966D8"/>
    <w:rsid w:val="00E96E96"/>
    <w:rsid w:val="00E970B6"/>
    <w:rsid w:val="00E9786E"/>
    <w:rsid w:val="00E97BAC"/>
    <w:rsid w:val="00EA0819"/>
    <w:rsid w:val="00EA0838"/>
    <w:rsid w:val="00EA1592"/>
    <w:rsid w:val="00EA1756"/>
    <w:rsid w:val="00EA18E8"/>
    <w:rsid w:val="00EA1A4D"/>
    <w:rsid w:val="00EA21AE"/>
    <w:rsid w:val="00EA2AC9"/>
    <w:rsid w:val="00EA2B22"/>
    <w:rsid w:val="00EA3228"/>
    <w:rsid w:val="00EA3381"/>
    <w:rsid w:val="00EA38D4"/>
    <w:rsid w:val="00EA51D8"/>
    <w:rsid w:val="00EA6293"/>
    <w:rsid w:val="00EA6377"/>
    <w:rsid w:val="00EB29E6"/>
    <w:rsid w:val="00EB2DFC"/>
    <w:rsid w:val="00EB3D94"/>
    <w:rsid w:val="00EB3E4C"/>
    <w:rsid w:val="00EB4448"/>
    <w:rsid w:val="00EB4832"/>
    <w:rsid w:val="00EB579A"/>
    <w:rsid w:val="00EB5DDF"/>
    <w:rsid w:val="00EB6305"/>
    <w:rsid w:val="00EB6A33"/>
    <w:rsid w:val="00EB6D3F"/>
    <w:rsid w:val="00EB70F1"/>
    <w:rsid w:val="00EB77DB"/>
    <w:rsid w:val="00EC06E1"/>
    <w:rsid w:val="00EC2CEC"/>
    <w:rsid w:val="00EC331F"/>
    <w:rsid w:val="00EC3368"/>
    <w:rsid w:val="00EC4831"/>
    <w:rsid w:val="00EC4F61"/>
    <w:rsid w:val="00EC5568"/>
    <w:rsid w:val="00EC6E84"/>
    <w:rsid w:val="00EC6F10"/>
    <w:rsid w:val="00EC6FEE"/>
    <w:rsid w:val="00EC7311"/>
    <w:rsid w:val="00ED13C8"/>
    <w:rsid w:val="00ED1751"/>
    <w:rsid w:val="00ED284A"/>
    <w:rsid w:val="00ED2BAF"/>
    <w:rsid w:val="00ED362C"/>
    <w:rsid w:val="00ED3C5F"/>
    <w:rsid w:val="00ED4982"/>
    <w:rsid w:val="00ED4C08"/>
    <w:rsid w:val="00ED5FCA"/>
    <w:rsid w:val="00ED60CF"/>
    <w:rsid w:val="00ED757B"/>
    <w:rsid w:val="00EE0A78"/>
    <w:rsid w:val="00EE1061"/>
    <w:rsid w:val="00EE1B06"/>
    <w:rsid w:val="00EE29FA"/>
    <w:rsid w:val="00EE2B14"/>
    <w:rsid w:val="00EE4456"/>
    <w:rsid w:val="00EE48E6"/>
    <w:rsid w:val="00EE67F5"/>
    <w:rsid w:val="00EE6DE2"/>
    <w:rsid w:val="00EE7CEC"/>
    <w:rsid w:val="00EF0AC1"/>
    <w:rsid w:val="00EF0F79"/>
    <w:rsid w:val="00EF1009"/>
    <w:rsid w:val="00EF17EC"/>
    <w:rsid w:val="00EF18C7"/>
    <w:rsid w:val="00EF191B"/>
    <w:rsid w:val="00EF25E5"/>
    <w:rsid w:val="00EF274C"/>
    <w:rsid w:val="00EF28F9"/>
    <w:rsid w:val="00EF2FB8"/>
    <w:rsid w:val="00EF3352"/>
    <w:rsid w:val="00EF3C2F"/>
    <w:rsid w:val="00EF4348"/>
    <w:rsid w:val="00EF4B91"/>
    <w:rsid w:val="00EF5E2C"/>
    <w:rsid w:val="00EF60A3"/>
    <w:rsid w:val="00EF651B"/>
    <w:rsid w:val="00EF6AAD"/>
    <w:rsid w:val="00EF7EDE"/>
    <w:rsid w:val="00F00A5E"/>
    <w:rsid w:val="00F01CD2"/>
    <w:rsid w:val="00F0262F"/>
    <w:rsid w:val="00F03875"/>
    <w:rsid w:val="00F03C5C"/>
    <w:rsid w:val="00F04094"/>
    <w:rsid w:val="00F04872"/>
    <w:rsid w:val="00F04C94"/>
    <w:rsid w:val="00F04F3F"/>
    <w:rsid w:val="00F0523F"/>
    <w:rsid w:val="00F054B9"/>
    <w:rsid w:val="00F05C88"/>
    <w:rsid w:val="00F06742"/>
    <w:rsid w:val="00F07B6B"/>
    <w:rsid w:val="00F1050B"/>
    <w:rsid w:val="00F10D67"/>
    <w:rsid w:val="00F11188"/>
    <w:rsid w:val="00F11519"/>
    <w:rsid w:val="00F11C43"/>
    <w:rsid w:val="00F11E7F"/>
    <w:rsid w:val="00F12253"/>
    <w:rsid w:val="00F129DD"/>
    <w:rsid w:val="00F1327D"/>
    <w:rsid w:val="00F14010"/>
    <w:rsid w:val="00F1526A"/>
    <w:rsid w:val="00F1551F"/>
    <w:rsid w:val="00F16AF8"/>
    <w:rsid w:val="00F16C7E"/>
    <w:rsid w:val="00F16CE6"/>
    <w:rsid w:val="00F174F5"/>
    <w:rsid w:val="00F1776C"/>
    <w:rsid w:val="00F17BBC"/>
    <w:rsid w:val="00F17C28"/>
    <w:rsid w:val="00F206AA"/>
    <w:rsid w:val="00F20A1E"/>
    <w:rsid w:val="00F21951"/>
    <w:rsid w:val="00F23407"/>
    <w:rsid w:val="00F23652"/>
    <w:rsid w:val="00F23675"/>
    <w:rsid w:val="00F237A2"/>
    <w:rsid w:val="00F24372"/>
    <w:rsid w:val="00F24620"/>
    <w:rsid w:val="00F25615"/>
    <w:rsid w:val="00F25B93"/>
    <w:rsid w:val="00F26A4F"/>
    <w:rsid w:val="00F305E8"/>
    <w:rsid w:val="00F3201A"/>
    <w:rsid w:val="00F325BF"/>
    <w:rsid w:val="00F32D04"/>
    <w:rsid w:val="00F33203"/>
    <w:rsid w:val="00F3378D"/>
    <w:rsid w:val="00F33A68"/>
    <w:rsid w:val="00F3432A"/>
    <w:rsid w:val="00F3515E"/>
    <w:rsid w:val="00F35441"/>
    <w:rsid w:val="00F35B4A"/>
    <w:rsid w:val="00F35D32"/>
    <w:rsid w:val="00F36B2D"/>
    <w:rsid w:val="00F36BE3"/>
    <w:rsid w:val="00F36C0E"/>
    <w:rsid w:val="00F37336"/>
    <w:rsid w:val="00F37ED8"/>
    <w:rsid w:val="00F4030F"/>
    <w:rsid w:val="00F40F3D"/>
    <w:rsid w:val="00F41546"/>
    <w:rsid w:val="00F41C81"/>
    <w:rsid w:val="00F41D9F"/>
    <w:rsid w:val="00F41DF6"/>
    <w:rsid w:val="00F42696"/>
    <w:rsid w:val="00F4302C"/>
    <w:rsid w:val="00F43256"/>
    <w:rsid w:val="00F43C55"/>
    <w:rsid w:val="00F441BE"/>
    <w:rsid w:val="00F44254"/>
    <w:rsid w:val="00F44259"/>
    <w:rsid w:val="00F44557"/>
    <w:rsid w:val="00F448BF"/>
    <w:rsid w:val="00F449AE"/>
    <w:rsid w:val="00F449F5"/>
    <w:rsid w:val="00F44B2F"/>
    <w:rsid w:val="00F44FFD"/>
    <w:rsid w:val="00F45995"/>
    <w:rsid w:val="00F45CE5"/>
    <w:rsid w:val="00F475B8"/>
    <w:rsid w:val="00F47F75"/>
    <w:rsid w:val="00F50CEF"/>
    <w:rsid w:val="00F50E18"/>
    <w:rsid w:val="00F50FF8"/>
    <w:rsid w:val="00F51AFD"/>
    <w:rsid w:val="00F520DA"/>
    <w:rsid w:val="00F52597"/>
    <w:rsid w:val="00F53A54"/>
    <w:rsid w:val="00F547BA"/>
    <w:rsid w:val="00F56705"/>
    <w:rsid w:val="00F56DD9"/>
    <w:rsid w:val="00F574A7"/>
    <w:rsid w:val="00F578F2"/>
    <w:rsid w:val="00F57D45"/>
    <w:rsid w:val="00F605A8"/>
    <w:rsid w:val="00F61DB8"/>
    <w:rsid w:val="00F61EAC"/>
    <w:rsid w:val="00F61F2C"/>
    <w:rsid w:val="00F621B3"/>
    <w:rsid w:val="00F62AA7"/>
    <w:rsid w:val="00F639FD"/>
    <w:rsid w:val="00F63C8C"/>
    <w:rsid w:val="00F641A6"/>
    <w:rsid w:val="00F645D4"/>
    <w:rsid w:val="00F65075"/>
    <w:rsid w:val="00F65A8C"/>
    <w:rsid w:val="00F67445"/>
    <w:rsid w:val="00F67716"/>
    <w:rsid w:val="00F677F0"/>
    <w:rsid w:val="00F7015F"/>
    <w:rsid w:val="00F71383"/>
    <w:rsid w:val="00F72183"/>
    <w:rsid w:val="00F729BE"/>
    <w:rsid w:val="00F72B7B"/>
    <w:rsid w:val="00F72D16"/>
    <w:rsid w:val="00F72DFF"/>
    <w:rsid w:val="00F73045"/>
    <w:rsid w:val="00F74229"/>
    <w:rsid w:val="00F75058"/>
    <w:rsid w:val="00F75220"/>
    <w:rsid w:val="00F7547A"/>
    <w:rsid w:val="00F75CBB"/>
    <w:rsid w:val="00F765C1"/>
    <w:rsid w:val="00F766E6"/>
    <w:rsid w:val="00F76728"/>
    <w:rsid w:val="00F76BAC"/>
    <w:rsid w:val="00F76D4A"/>
    <w:rsid w:val="00F76E4F"/>
    <w:rsid w:val="00F7792E"/>
    <w:rsid w:val="00F806B1"/>
    <w:rsid w:val="00F8109E"/>
    <w:rsid w:val="00F81D58"/>
    <w:rsid w:val="00F826C0"/>
    <w:rsid w:val="00F82AFA"/>
    <w:rsid w:val="00F831C3"/>
    <w:rsid w:val="00F8351A"/>
    <w:rsid w:val="00F83B61"/>
    <w:rsid w:val="00F84C7C"/>
    <w:rsid w:val="00F856A8"/>
    <w:rsid w:val="00F85946"/>
    <w:rsid w:val="00F8631A"/>
    <w:rsid w:val="00F866EF"/>
    <w:rsid w:val="00F8737C"/>
    <w:rsid w:val="00F87569"/>
    <w:rsid w:val="00F903E5"/>
    <w:rsid w:val="00F9058D"/>
    <w:rsid w:val="00F90847"/>
    <w:rsid w:val="00F9117F"/>
    <w:rsid w:val="00F915A1"/>
    <w:rsid w:val="00F91BE6"/>
    <w:rsid w:val="00F91D6D"/>
    <w:rsid w:val="00F93920"/>
    <w:rsid w:val="00F93CAB"/>
    <w:rsid w:val="00F952D5"/>
    <w:rsid w:val="00F953D1"/>
    <w:rsid w:val="00F95AC5"/>
    <w:rsid w:val="00F9625F"/>
    <w:rsid w:val="00F970B6"/>
    <w:rsid w:val="00F9785E"/>
    <w:rsid w:val="00FA0CC1"/>
    <w:rsid w:val="00FA1FFE"/>
    <w:rsid w:val="00FA2767"/>
    <w:rsid w:val="00FA2DBA"/>
    <w:rsid w:val="00FA4473"/>
    <w:rsid w:val="00FA5589"/>
    <w:rsid w:val="00FA60D7"/>
    <w:rsid w:val="00FA75E9"/>
    <w:rsid w:val="00FB09F7"/>
    <w:rsid w:val="00FB10ED"/>
    <w:rsid w:val="00FB182B"/>
    <w:rsid w:val="00FB2A1E"/>
    <w:rsid w:val="00FB2C64"/>
    <w:rsid w:val="00FB2F88"/>
    <w:rsid w:val="00FB3972"/>
    <w:rsid w:val="00FB4A26"/>
    <w:rsid w:val="00FB54DC"/>
    <w:rsid w:val="00FB5978"/>
    <w:rsid w:val="00FB5E8E"/>
    <w:rsid w:val="00FB6C9C"/>
    <w:rsid w:val="00FB6E35"/>
    <w:rsid w:val="00FB6F78"/>
    <w:rsid w:val="00FB7749"/>
    <w:rsid w:val="00FC1902"/>
    <w:rsid w:val="00FC2315"/>
    <w:rsid w:val="00FC2D4C"/>
    <w:rsid w:val="00FC3D63"/>
    <w:rsid w:val="00FC4167"/>
    <w:rsid w:val="00FC482A"/>
    <w:rsid w:val="00FC5418"/>
    <w:rsid w:val="00FC5A17"/>
    <w:rsid w:val="00FC60B9"/>
    <w:rsid w:val="00FC6BDD"/>
    <w:rsid w:val="00FD028A"/>
    <w:rsid w:val="00FD0A8C"/>
    <w:rsid w:val="00FD0C0D"/>
    <w:rsid w:val="00FD0CE0"/>
    <w:rsid w:val="00FD6653"/>
    <w:rsid w:val="00FD7920"/>
    <w:rsid w:val="00FE0532"/>
    <w:rsid w:val="00FE10D1"/>
    <w:rsid w:val="00FE1210"/>
    <w:rsid w:val="00FE1424"/>
    <w:rsid w:val="00FE2203"/>
    <w:rsid w:val="00FE245F"/>
    <w:rsid w:val="00FE3099"/>
    <w:rsid w:val="00FE452D"/>
    <w:rsid w:val="00FE5371"/>
    <w:rsid w:val="00FE5583"/>
    <w:rsid w:val="00FE6064"/>
    <w:rsid w:val="00FE60EB"/>
    <w:rsid w:val="00FE6491"/>
    <w:rsid w:val="00FE68EB"/>
    <w:rsid w:val="00FE780C"/>
    <w:rsid w:val="00FE7959"/>
    <w:rsid w:val="00FF0F80"/>
    <w:rsid w:val="00FF13CC"/>
    <w:rsid w:val="00FF2363"/>
    <w:rsid w:val="00FF2CFD"/>
    <w:rsid w:val="00FF2FDD"/>
    <w:rsid w:val="00FF3119"/>
    <w:rsid w:val="00FF31C3"/>
    <w:rsid w:val="00FF3886"/>
    <w:rsid w:val="00FF4393"/>
    <w:rsid w:val="00FF4DD4"/>
    <w:rsid w:val="00FF50FF"/>
    <w:rsid w:val="00FF5847"/>
    <w:rsid w:val="00FF6618"/>
    <w:rsid w:val="00FF6FA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377C5AB"/>
  <w15:chartTrackingRefBased/>
  <w15:docId w15:val="{759C4BC3-1ED8-487B-BCDD-D07DA209D2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E36590"/>
    <w:pPr>
      <w:widowControl w:val="0"/>
      <w:jc w:val="both"/>
    </w:pPr>
    <w:rPr>
      <w:szCs w:val="24"/>
    </w:rPr>
  </w:style>
  <w:style w:type="paragraph" w:styleId="1">
    <w:name w:val="heading 1"/>
    <w:basedOn w:val="a1"/>
    <w:next w:val="a2"/>
    <w:link w:val="11"/>
    <w:autoRedefine/>
    <w:uiPriority w:val="9"/>
    <w:qFormat/>
    <w:rsid w:val="004D2486"/>
    <w:pPr>
      <w:keepNext/>
      <w:numPr>
        <w:numId w:val="28"/>
      </w:numPr>
      <w:outlineLvl w:val="0"/>
    </w:pPr>
    <w:rPr>
      <w:rFonts w:ascii="Times New Roman" w:eastAsiaTheme="minorHAnsi" w:hAnsi="Times New Roman" w:cs="Times New Roman"/>
      <w:b/>
      <w:sz w:val="28"/>
    </w:rPr>
  </w:style>
  <w:style w:type="paragraph" w:styleId="2">
    <w:name w:val="heading 2"/>
    <w:basedOn w:val="a1"/>
    <w:next w:val="a1"/>
    <w:link w:val="21"/>
    <w:uiPriority w:val="9"/>
    <w:unhideWhenUsed/>
    <w:qFormat/>
    <w:rsid w:val="00611473"/>
    <w:pPr>
      <w:keepNext/>
      <w:numPr>
        <w:ilvl w:val="1"/>
        <w:numId w:val="6"/>
      </w:numPr>
      <w:outlineLvl w:val="1"/>
    </w:pPr>
    <w:rPr>
      <w:rFonts w:ascii="Times New Roman" w:hAnsi="Times New Roman" w:cstheme="majorBidi"/>
      <w:b/>
      <w:sz w:val="24"/>
    </w:rPr>
  </w:style>
  <w:style w:type="paragraph" w:styleId="3">
    <w:name w:val="heading 3"/>
    <w:basedOn w:val="a1"/>
    <w:next w:val="a1"/>
    <w:link w:val="30"/>
    <w:uiPriority w:val="9"/>
    <w:unhideWhenUsed/>
    <w:qFormat/>
    <w:rsid w:val="00DA6407"/>
    <w:pPr>
      <w:keepNext/>
      <w:numPr>
        <w:ilvl w:val="2"/>
        <w:numId w:val="6"/>
      </w:numPr>
      <w:outlineLvl w:val="2"/>
    </w:pPr>
    <w:rPr>
      <w:rFonts w:asciiTheme="majorHAnsi" w:hAnsiTheme="majorHAnsi" w:cstheme="majorBidi"/>
      <w:b/>
      <w:sz w:val="22"/>
    </w:rPr>
  </w:style>
  <w:style w:type="paragraph" w:styleId="4">
    <w:name w:val="heading 4"/>
    <w:aliases w:val="タイトル"/>
    <w:basedOn w:val="a1"/>
    <w:next w:val="a1"/>
    <w:link w:val="40"/>
    <w:uiPriority w:val="9"/>
    <w:unhideWhenUsed/>
    <w:qFormat/>
    <w:rsid w:val="00611473"/>
    <w:pPr>
      <w:keepNext/>
      <w:jc w:val="center"/>
      <w:outlineLvl w:val="3"/>
    </w:pPr>
    <w:rPr>
      <w:rFonts w:ascii="Times New Roman" w:hAnsi="Times New Roman"/>
      <w:b/>
      <w:bCs/>
      <w:sz w:val="32"/>
    </w:rPr>
  </w:style>
  <w:style w:type="paragraph" w:styleId="5">
    <w:name w:val="heading 5"/>
    <w:basedOn w:val="a1"/>
    <w:next w:val="a1"/>
    <w:link w:val="50"/>
    <w:uiPriority w:val="9"/>
    <w:unhideWhenUsed/>
    <w:qFormat/>
    <w:rsid w:val="00125EA6"/>
    <w:pPr>
      <w:keepNext/>
      <w:ind w:leftChars="800" w:left="800"/>
      <w:outlineLvl w:val="4"/>
    </w:pPr>
    <w:rPr>
      <w:rFonts w:asciiTheme="majorHAnsi" w:eastAsiaTheme="majorEastAsia" w:hAnsiTheme="majorHAnsi" w:cstheme="majorBidi"/>
    </w:rPr>
  </w:style>
  <w:style w:type="paragraph" w:styleId="6">
    <w:name w:val="heading 6"/>
    <w:basedOn w:val="a1"/>
    <w:next w:val="a1"/>
    <w:link w:val="60"/>
    <w:uiPriority w:val="9"/>
    <w:semiHidden/>
    <w:unhideWhenUsed/>
    <w:qFormat/>
    <w:rsid w:val="00862A91"/>
    <w:pPr>
      <w:keepNext/>
      <w:ind w:leftChars="800" w:left="800"/>
      <w:outlineLvl w:val="5"/>
    </w:pPr>
    <w:rPr>
      <w:b/>
      <w:bCs/>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12">
    <w:name w:val="段落1"/>
    <w:basedOn w:val="a6"/>
    <w:next w:val="a6"/>
    <w:link w:val="13"/>
    <w:autoRedefine/>
    <w:rsid w:val="00350DC9"/>
    <w:rPr>
      <w:b/>
      <w:sz w:val="28"/>
    </w:rPr>
  </w:style>
  <w:style w:type="character" w:customStyle="1" w:styleId="13">
    <w:name w:val="段落1 (文字)"/>
    <w:basedOn w:val="a3"/>
    <w:link w:val="12"/>
    <w:rsid w:val="00350DC9"/>
    <w:rPr>
      <w:b/>
      <w:sz w:val="28"/>
    </w:rPr>
  </w:style>
  <w:style w:type="paragraph" w:styleId="a6">
    <w:name w:val="Body Text"/>
    <w:basedOn w:val="a1"/>
    <w:link w:val="a7"/>
    <w:uiPriority w:val="99"/>
    <w:unhideWhenUsed/>
    <w:rsid w:val="00350DC9"/>
  </w:style>
  <w:style w:type="character" w:customStyle="1" w:styleId="a7">
    <w:name w:val="本文 (文字)"/>
    <w:basedOn w:val="a3"/>
    <w:link w:val="a6"/>
    <w:uiPriority w:val="99"/>
    <w:rsid w:val="00B858C3"/>
  </w:style>
  <w:style w:type="paragraph" w:customStyle="1" w:styleId="22">
    <w:name w:val="段落2"/>
    <w:basedOn w:val="a6"/>
    <w:next w:val="a6"/>
    <w:link w:val="23"/>
    <w:autoRedefine/>
    <w:rsid w:val="00350DC9"/>
    <w:rPr>
      <w:sz w:val="24"/>
    </w:rPr>
  </w:style>
  <w:style w:type="character" w:customStyle="1" w:styleId="23">
    <w:name w:val="段落2 (文字)"/>
    <w:basedOn w:val="a7"/>
    <w:link w:val="22"/>
    <w:rsid w:val="0048323B"/>
    <w:rPr>
      <w:sz w:val="24"/>
    </w:rPr>
  </w:style>
  <w:style w:type="numbering" w:customStyle="1" w:styleId="10">
    <w:name w:val="スタイル1"/>
    <w:uiPriority w:val="99"/>
    <w:rsid w:val="00EC6E84"/>
    <w:pPr>
      <w:numPr>
        <w:numId w:val="1"/>
      </w:numPr>
    </w:pPr>
  </w:style>
  <w:style w:type="numbering" w:customStyle="1" w:styleId="20">
    <w:name w:val="スタイル2"/>
    <w:uiPriority w:val="99"/>
    <w:rsid w:val="00EC6E84"/>
    <w:pPr>
      <w:numPr>
        <w:numId w:val="2"/>
      </w:numPr>
    </w:pPr>
  </w:style>
  <w:style w:type="numbering" w:customStyle="1" w:styleId="a">
    <w:name w:val="スタイル３"/>
    <w:uiPriority w:val="99"/>
    <w:rsid w:val="006A180F"/>
    <w:pPr>
      <w:numPr>
        <w:numId w:val="3"/>
      </w:numPr>
    </w:pPr>
  </w:style>
  <w:style w:type="numbering" w:customStyle="1" w:styleId="a0">
    <w:name w:val="段落２"/>
    <w:uiPriority w:val="99"/>
    <w:rsid w:val="00350DC9"/>
    <w:pPr>
      <w:numPr>
        <w:numId w:val="4"/>
      </w:numPr>
    </w:pPr>
  </w:style>
  <w:style w:type="paragraph" w:customStyle="1" w:styleId="31">
    <w:name w:val="スタイル3"/>
    <w:basedOn w:val="12"/>
    <w:link w:val="32"/>
    <w:rsid w:val="00350DC9"/>
    <w:pPr>
      <w:ind w:left="425" w:hanging="425"/>
    </w:pPr>
  </w:style>
  <w:style w:type="paragraph" w:customStyle="1" w:styleId="41">
    <w:name w:val="スタイル4"/>
    <w:basedOn w:val="12"/>
    <w:next w:val="a6"/>
    <w:link w:val="42"/>
    <w:autoRedefine/>
    <w:rsid w:val="00350DC9"/>
    <w:rPr>
      <w:rFonts w:eastAsia="Times New Roman"/>
    </w:rPr>
  </w:style>
  <w:style w:type="character" w:customStyle="1" w:styleId="32">
    <w:name w:val="スタイル3 (文字)"/>
    <w:basedOn w:val="13"/>
    <w:link w:val="31"/>
    <w:rsid w:val="00350DC9"/>
    <w:rPr>
      <w:b/>
      <w:sz w:val="28"/>
      <w:szCs w:val="24"/>
    </w:rPr>
  </w:style>
  <w:style w:type="character" w:customStyle="1" w:styleId="21">
    <w:name w:val="見出し 2 (文字)"/>
    <w:basedOn w:val="a3"/>
    <w:link w:val="2"/>
    <w:uiPriority w:val="9"/>
    <w:rsid w:val="00611473"/>
    <w:rPr>
      <w:rFonts w:ascii="Times New Roman" w:hAnsi="Times New Roman" w:cstheme="majorBidi"/>
      <w:b/>
      <w:sz w:val="24"/>
      <w:szCs w:val="24"/>
    </w:rPr>
  </w:style>
  <w:style w:type="character" w:customStyle="1" w:styleId="42">
    <w:name w:val="スタイル4 (文字)"/>
    <w:basedOn w:val="13"/>
    <w:link w:val="41"/>
    <w:rsid w:val="00350DC9"/>
    <w:rPr>
      <w:rFonts w:eastAsia="Times New Roman"/>
      <w:b/>
      <w:sz w:val="28"/>
    </w:rPr>
  </w:style>
  <w:style w:type="character" w:customStyle="1" w:styleId="11">
    <w:name w:val="見出し 1 (文字)"/>
    <w:basedOn w:val="a3"/>
    <w:link w:val="1"/>
    <w:uiPriority w:val="9"/>
    <w:rsid w:val="004D2486"/>
    <w:rPr>
      <w:rFonts w:ascii="Times New Roman" w:eastAsiaTheme="minorHAnsi" w:hAnsi="Times New Roman" w:cs="Times New Roman"/>
      <w:b/>
      <w:sz w:val="28"/>
      <w:szCs w:val="24"/>
    </w:rPr>
  </w:style>
  <w:style w:type="paragraph" w:styleId="a8">
    <w:name w:val="List Paragraph"/>
    <w:basedOn w:val="a1"/>
    <w:uiPriority w:val="1"/>
    <w:qFormat/>
    <w:rsid w:val="0081321E"/>
    <w:pPr>
      <w:ind w:leftChars="400" w:left="840"/>
    </w:pPr>
  </w:style>
  <w:style w:type="character" w:customStyle="1" w:styleId="30">
    <w:name w:val="見出し 3 (文字)"/>
    <w:basedOn w:val="a3"/>
    <w:link w:val="3"/>
    <w:uiPriority w:val="9"/>
    <w:rsid w:val="00DA6407"/>
    <w:rPr>
      <w:rFonts w:asciiTheme="majorHAnsi" w:hAnsiTheme="majorHAnsi" w:cstheme="majorBidi"/>
      <w:b/>
      <w:sz w:val="22"/>
      <w:szCs w:val="24"/>
    </w:rPr>
  </w:style>
  <w:style w:type="character" w:customStyle="1" w:styleId="40">
    <w:name w:val="見出し 4 (文字)"/>
    <w:aliases w:val="タイトル (文字)"/>
    <w:basedOn w:val="a3"/>
    <w:link w:val="4"/>
    <w:uiPriority w:val="9"/>
    <w:rsid w:val="00611473"/>
    <w:rPr>
      <w:rFonts w:ascii="Times New Roman" w:hAnsi="Times New Roman"/>
      <w:b/>
      <w:bCs/>
      <w:sz w:val="32"/>
      <w:szCs w:val="24"/>
    </w:rPr>
  </w:style>
  <w:style w:type="paragraph" w:styleId="a9">
    <w:name w:val="Date"/>
    <w:basedOn w:val="a1"/>
    <w:next w:val="a1"/>
    <w:link w:val="aa"/>
    <w:uiPriority w:val="99"/>
    <w:semiHidden/>
    <w:unhideWhenUsed/>
    <w:rsid w:val="00E1138D"/>
  </w:style>
  <w:style w:type="character" w:customStyle="1" w:styleId="aa">
    <w:name w:val="日付 (文字)"/>
    <w:basedOn w:val="a3"/>
    <w:link w:val="a9"/>
    <w:uiPriority w:val="99"/>
    <w:semiHidden/>
    <w:rsid w:val="00E1138D"/>
  </w:style>
  <w:style w:type="character" w:styleId="ab">
    <w:name w:val="Placeholder Text"/>
    <w:basedOn w:val="a3"/>
    <w:uiPriority w:val="99"/>
    <w:semiHidden/>
    <w:rsid w:val="00177316"/>
    <w:rPr>
      <w:color w:val="808080"/>
    </w:rPr>
  </w:style>
  <w:style w:type="table" w:styleId="ac">
    <w:name w:val="Table Grid"/>
    <w:basedOn w:val="a4"/>
    <w:uiPriority w:val="39"/>
    <w:rsid w:val="003A369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caption"/>
    <w:basedOn w:val="a1"/>
    <w:next w:val="a1"/>
    <w:uiPriority w:val="35"/>
    <w:unhideWhenUsed/>
    <w:qFormat/>
    <w:rsid w:val="003A369D"/>
    <w:rPr>
      <w:b/>
      <w:bCs/>
      <w:szCs w:val="21"/>
    </w:rPr>
  </w:style>
  <w:style w:type="paragraph" w:styleId="ae">
    <w:name w:val="header"/>
    <w:basedOn w:val="a1"/>
    <w:link w:val="af"/>
    <w:uiPriority w:val="99"/>
    <w:unhideWhenUsed/>
    <w:rsid w:val="00D91D94"/>
    <w:pPr>
      <w:tabs>
        <w:tab w:val="center" w:pos="4252"/>
        <w:tab w:val="right" w:pos="8504"/>
      </w:tabs>
      <w:snapToGrid w:val="0"/>
    </w:pPr>
  </w:style>
  <w:style w:type="character" w:customStyle="1" w:styleId="af">
    <w:name w:val="ヘッダー (文字)"/>
    <w:basedOn w:val="a3"/>
    <w:link w:val="ae"/>
    <w:uiPriority w:val="99"/>
    <w:rsid w:val="00D91D94"/>
  </w:style>
  <w:style w:type="paragraph" w:styleId="af0">
    <w:name w:val="footer"/>
    <w:basedOn w:val="a1"/>
    <w:link w:val="af1"/>
    <w:uiPriority w:val="99"/>
    <w:unhideWhenUsed/>
    <w:rsid w:val="00D91D94"/>
    <w:pPr>
      <w:tabs>
        <w:tab w:val="center" w:pos="4252"/>
        <w:tab w:val="right" w:pos="8504"/>
      </w:tabs>
      <w:snapToGrid w:val="0"/>
    </w:pPr>
  </w:style>
  <w:style w:type="character" w:customStyle="1" w:styleId="af1">
    <w:name w:val="フッター (文字)"/>
    <w:basedOn w:val="a3"/>
    <w:link w:val="af0"/>
    <w:uiPriority w:val="99"/>
    <w:rsid w:val="00D91D94"/>
  </w:style>
  <w:style w:type="paragraph" w:styleId="af2">
    <w:name w:val="Balloon Text"/>
    <w:basedOn w:val="a1"/>
    <w:link w:val="af3"/>
    <w:uiPriority w:val="99"/>
    <w:semiHidden/>
    <w:unhideWhenUsed/>
    <w:rsid w:val="009F6375"/>
    <w:rPr>
      <w:rFonts w:asciiTheme="majorHAnsi" w:eastAsiaTheme="majorEastAsia" w:hAnsiTheme="majorHAnsi" w:cstheme="majorBidi"/>
      <w:sz w:val="18"/>
      <w:szCs w:val="18"/>
    </w:rPr>
  </w:style>
  <w:style w:type="character" w:customStyle="1" w:styleId="af3">
    <w:name w:val="吹き出し (文字)"/>
    <w:basedOn w:val="a3"/>
    <w:link w:val="af2"/>
    <w:uiPriority w:val="99"/>
    <w:semiHidden/>
    <w:rsid w:val="009F6375"/>
    <w:rPr>
      <w:rFonts w:asciiTheme="majorHAnsi" w:eastAsiaTheme="majorEastAsia" w:hAnsiTheme="majorHAnsi" w:cstheme="majorBidi"/>
      <w:sz w:val="18"/>
      <w:szCs w:val="18"/>
    </w:rPr>
  </w:style>
  <w:style w:type="paragraph" w:styleId="af4">
    <w:name w:val="footnote text"/>
    <w:basedOn w:val="a1"/>
    <w:link w:val="af5"/>
    <w:uiPriority w:val="99"/>
    <w:semiHidden/>
    <w:unhideWhenUsed/>
    <w:rsid w:val="004D5D9D"/>
    <w:pPr>
      <w:snapToGrid w:val="0"/>
      <w:jc w:val="left"/>
    </w:pPr>
  </w:style>
  <w:style w:type="character" w:customStyle="1" w:styleId="af5">
    <w:name w:val="脚注文字列 (文字)"/>
    <w:basedOn w:val="a3"/>
    <w:link w:val="af4"/>
    <w:uiPriority w:val="99"/>
    <w:semiHidden/>
    <w:rsid w:val="004D5D9D"/>
  </w:style>
  <w:style w:type="character" w:styleId="af6">
    <w:name w:val="footnote reference"/>
    <w:basedOn w:val="a3"/>
    <w:uiPriority w:val="99"/>
    <w:semiHidden/>
    <w:unhideWhenUsed/>
    <w:rsid w:val="004D5D9D"/>
    <w:rPr>
      <w:vertAlign w:val="superscript"/>
    </w:rPr>
  </w:style>
  <w:style w:type="paragraph" w:styleId="af7">
    <w:name w:val="No Spacing"/>
    <w:uiPriority w:val="1"/>
    <w:qFormat/>
    <w:rsid w:val="00BC2CA2"/>
    <w:pPr>
      <w:widowControl w:val="0"/>
      <w:jc w:val="both"/>
    </w:pPr>
    <w:rPr>
      <w:szCs w:val="24"/>
    </w:rPr>
  </w:style>
  <w:style w:type="character" w:styleId="af8">
    <w:name w:val="annotation reference"/>
    <w:basedOn w:val="a3"/>
    <w:uiPriority w:val="99"/>
    <w:semiHidden/>
    <w:unhideWhenUsed/>
    <w:rsid w:val="00884B51"/>
    <w:rPr>
      <w:sz w:val="18"/>
      <w:szCs w:val="18"/>
    </w:rPr>
  </w:style>
  <w:style w:type="paragraph" w:styleId="af9">
    <w:name w:val="annotation text"/>
    <w:basedOn w:val="a1"/>
    <w:link w:val="afa"/>
    <w:uiPriority w:val="99"/>
    <w:semiHidden/>
    <w:unhideWhenUsed/>
    <w:rsid w:val="00884B51"/>
    <w:pPr>
      <w:jc w:val="left"/>
    </w:pPr>
  </w:style>
  <w:style w:type="character" w:customStyle="1" w:styleId="afa">
    <w:name w:val="コメント文字列 (文字)"/>
    <w:basedOn w:val="a3"/>
    <w:link w:val="af9"/>
    <w:uiPriority w:val="99"/>
    <w:semiHidden/>
    <w:rsid w:val="00884B51"/>
    <w:rPr>
      <w:szCs w:val="24"/>
    </w:rPr>
  </w:style>
  <w:style w:type="paragraph" w:styleId="afb">
    <w:name w:val="annotation subject"/>
    <w:basedOn w:val="af9"/>
    <w:next w:val="af9"/>
    <w:link w:val="afc"/>
    <w:uiPriority w:val="99"/>
    <w:semiHidden/>
    <w:unhideWhenUsed/>
    <w:rsid w:val="00884B51"/>
    <w:rPr>
      <w:b/>
      <w:bCs/>
    </w:rPr>
  </w:style>
  <w:style w:type="character" w:customStyle="1" w:styleId="afc">
    <w:name w:val="コメント内容 (文字)"/>
    <w:basedOn w:val="afa"/>
    <w:link w:val="afb"/>
    <w:uiPriority w:val="99"/>
    <w:semiHidden/>
    <w:rsid w:val="00884B51"/>
    <w:rPr>
      <w:b/>
      <w:bCs/>
      <w:szCs w:val="24"/>
    </w:rPr>
  </w:style>
  <w:style w:type="character" w:styleId="afd">
    <w:name w:val="Hyperlink"/>
    <w:basedOn w:val="a3"/>
    <w:uiPriority w:val="99"/>
    <w:unhideWhenUsed/>
    <w:rsid w:val="000704D4"/>
    <w:rPr>
      <w:color w:val="0563C1" w:themeColor="hyperlink"/>
      <w:u w:val="single"/>
    </w:rPr>
  </w:style>
  <w:style w:type="character" w:styleId="afe">
    <w:name w:val="Unresolved Mention"/>
    <w:basedOn w:val="a3"/>
    <w:uiPriority w:val="99"/>
    <w:semiHidden/>
    <w:unhideWhenUsed/>
    <w:rsid w:val="000704D4"/>
    <w:rPr>
      <w:color w:val="605E5C"/>
      <w:shd w:val="clear" w:color="auto" w:fill="E1DFDD"/>
    </w:rPr>
  </w:style>
  <w:style w:type="paragraph" w:customStyle="1" w:styleId="TableParagraph">
    <w:name w:val="Table Paragraph"/>
    <w:basedOn w:val="a1"/>
    <w:uiPriority w:val="1"/>
    <w:qFormat/>
    <w:rsid w:val="00DE3058"/>
    <w:pPr>
      <w:autoSpaceDE w:val="0"/>
      <w:autoSpaceDN w:val="0"/>
      <w:spacing w:before="32"/>
      <w:ind w:left="118"/>
      <w:jc w:val="left"/>
    </w:pPr>
    <w:rPr>
      <w:rFonts w:ascii="Cambria" w:eastAsia="Cambria" w:hAnsi="Cambria" w:cs="Cambria"/>
      <w:kern w:val="0"/>
      <w:sz w:val="22"/>
      <w:szCs w:val="22"/>
      <w:lang w:eastAsia="en-US"/>
    </w:rPr>
  </w:style>
  <w:style w:type="character" w:customStyle="1" w:styleId="50">
    <w:name w:val="見出し 5 (文字)"/>
    <w:basedOn w:val="a3"/>
    <w:link w:val="5"/>
    <w:uiPriority w:val="9"/>
    <w:rsid w:val="00125EA6"/>
    <w:rPr>
      <w:rFonts w:asciiTheme="majorHAnsi" w:eastAsiaTheme="majorEastAsia" w:hAnsiTheme="majorHAnsi" w:cstheme="majorBidi"/>
      <w:szCs w:val="24"/>
    </w:rPr>
  </w:style>
  <w:style w:type="character" w:customStyle="1" w:styleId="60">
    <w:name w:val="見出し 6 (文字)"/>
    <w:basedOn w:val="a3"/>
    <w:link w:val="6"/>
    <w:uiPriority w:val="9"/>
    <w:semiHidden/>
    <w:rsid w:val="00862A91"/>
    <w:rPr>
      <w:b/>
      <w:bCs/>
      <w:szCs w:val="24"/>
    </w:rPr>
  </w:style>
  <w:style w:type="character" w:styleId="aff">
    <w:name w:val="Strong"/>
    <w:basedOn w:val="a3"/>
    <w:uiPriority w:val="22"/>
    <w:qFormat/>
    <w:rsid w:val="001B6BCA"/>
    <w:rPr>
      <w:b/>
      <w:bCs/>
    </w:rPr>
  </w:style>
  <w:style w:type="character" w:styleId="aff0">
    <w:name w:val="FollowedHyperlink"/>
    <w:basedOn w:val="a3"/>
    <w:uiPriority w:val="99"/>
    <w:semiHidden/>
    <w:unhideWhenUsed/>
    <w:rsid w:val="000051F9"/>
    <w:rPr>
      <w:color w:val="954F72" w:themeColor="followedHyperlink"/>
      <w:u w:val="single"/>
    </w:rPr>
  </w:style>
  <w:style w:type="paragraph" w:customStyle="1" w:styleId="msonormal0">
    <w:name w:val="msonormal"/>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styleId="Web">
    <w:name w:val="Normal (Web)"/>
    <w:basedOn w:val="a1"/>
    <w:uiPriority w:val="99"/>
    <w:semiHidden/>
    <w:unhideWhenUsed/>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paragraph" w:customStyle="1" w:styleId="m-taglistitem">
    <w:name w:val="m-taglist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m-iconbuttonlabelwithicon">
    <w:name w:val="m-iconbutton__labelwithicon"/>
    <w:basedOn w:val="a3"/>
    <w:rsid w:val="006005E4"/>
  </w:style>
  <w:style w:type="character" w:customStyle="1" w:styleId="is-clickable">
    <w:name w:val="is-clickable"/>
    <w:basedOn w:val="a3"/>
    <w:rsid w:val="006005E4"/>
  </w:style>
  <w:style w:type="paragraph" w:customStyle="1" w:styleId="m-creatorsociallinksitem">
    <w:name w:val="m-creatorsociallinks__item"/>
    <w:basedOn w:val="a1"/>
    <w:rsid w:val="006005E4"/>
    <w:pPr>
      <w:widowControl/>
      <w:spacing w:before="100" w:beforeAutospacing="1" w:after="100" w:afterAutospacing="1"/>
      <w:jc w:val="left"/>
    </w:pPr>
    <w:rPr>
      <w:rFonts w:ascii="ＭＳ Ｐゴシック" w:eastAsia="ＭＳ Ｐゴシック" w:hAnsi="ＭＳ Ｐゴシック" w:cs="ＭＳ Ｐゴシック"/>
      <w:kern w:val="0"/>
      <w:sz w:val="24"/>
    </w:rPr>
  </w:style>
  <w:style w:type="character" w:customStyle="1" w:styleId="o-smallnotesummarystatusicon">
    <w:name w:val="o-smallnotesummary__statusicon"/>
    <w:basedOn w:val="a3"/>
    <w:rsid w:val="006005E4"/>
  </w:style>
  <w:style w:type="character" w:customStyle="1" w:styleId="o-smallnotesummarystatuscount">
    <w:name w:val="o-smallnotesummary__statuscount"/>
    <w:basedOn w:val="a3"/>
    <w:rsid w:val="006005E4"/>
  </w:style>
  <w:style w:type="table" w:customStyle="1" w:styleId="TableNormal1">
    <w:name w:val="Table Normal1"/>
    <w:uiPriority w:val="2"/>
    <w:semiHidden/>
    <w:unhideWhenUsed/>
    <w:qFormat/>
    <w:rsid w:val="002955FC"/>
    <w:pPr>
      <w:widowControl w:val="0"/>
      <w:autoSpaceDE w:val="0"/>
      <w:autoSpaceDN w:val="0"/>
    </w:pPr>
    <w:rPr>
      <w:kern w:val="0"/>
      <w:sz w:val="22"/>
      <w:lang w:eastAsia="en-US"/>
    </w:rPr>
    <w:tblPr>
      <w:tblInd w:w="0" w:type="dxa"/>
      <w:tblCellMar>
        <w:top w:w="0" w:type="dxa"/>
        <w:left w:w="0" w:type="dxa"/>
        <w:bottom w:w="0" w:type="dxa"/>
        <w:right w:w="0" w:type="dxa"/>
      </w:tblCellMar>
    </w:tblPr>
  </w:style>
  <w:style w:type="paragraph" w:styleId="a2">
    <w:name w:val="Body Text First Indent"/>
    <w:basedOn w:val="a6"/>
    <w:link w:val="aff1"/>
    <w:uiPriority w:val="99"/>
    <w:semiHidden/>
    <w:unhideWhenUsed/>
    <w:rsid w:val="0029554D"/>
    <w:pPr>
      <w:ind w:firstLineChars="100" w:firstLine="210"/>
    </w:pPr>
  </w:style>
  <w:style w:type="character" w:customStyle="1" w:styleId="aff1">
    <w:name w:val="本文字下げ (文字)"/>
    <w:basedOn w:val="a7"/>
    <w:link w:val="a2"/>
    <w:uiPriority w:val="99"/>
    <w:semiHidden/>
    <w:rsid w:val="0029554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190559">
      <w:bodyDiv w:val="1"/>
      <w:marLeft w:val="0"/>
      <w:marRight w:val="0"/>
      <w:marTop w:val="0"/>
      <w:marBottom w:val="0"/>
      <w:divBdr>
        <w:top w:val="none" w:sz="0" w:space="0" w:color="auto"/>
        <w:left w:val="none" w:sz="0" w:space="0" w:color="auto"/>
        <w:bottom w:val="none" w:sz="0" w:space="0" w:color="auto"/>
        <w:right w:val="none" w:sz="0" w:space="0" w:color="auto"/>
      </w:divBdr>
    </w:div>
    <w:div w:id="1193029901">
      <w:bodyDiv w:val="1"/>
      <w:marLeft w:val="0"/>
      <w:marRight w:val="0"/>
      <w:marTop w:val="0"/>
      <w:marBottom w:val="0"/>
      <w:divBdr>
        <w:top w:val="none" w:sz="0" w:space="0" w:color="auto"/>
        <w:left w:val="none" w:sz="0" w:space="0" w:color="auto"/>
        <w:bottom w:val="none" w:sz="0" w:space="0" w:color="auto"/>
        <w:right w:val="none" w:sz="0" w:space="0" w:color="auto"/>
      </w:divBdr>
      <w:divsChild>
        <w:div w:id="957880044">
          <w:marLeft w:val="0"/>
          <w:marRight w:val="0"/>
          <w:marTop w:val="720"/>
          <w:marBottom w:val="720"/>
          <w:divBdr>
            <w:top w:val="none" w:sz="0" w:space="0" w:color="auto"/>
            <w:left w:val="none" w:sz="0" w:space="0" w:color="auto"/>
            <w:bottom w:val="none" w:sz="0" w:space="0" w:color="auto"/>
            <w:right w:val="none" w:sz="0" w:space="0" w:color="auto"/>
          </w:divBdr>
          <w:divsChild>
            <w:div w:id="2059549825">
              <w:marLeft w:val="0"/>
              <w:marRight w:val="0"/>
              <w:marTop w:val="0"/>
              <w:marBottom w:val="0"/>
              <w:divBdr>
                <w:top w:val="none" w:sz="0" w:space="0" w:color="auto"/>
                <w:left w:val="none" w:sz="0" w:space="0" w:color="auto"/>
                <w:bottom w:val="none" w:sz="0" w:space="0" w:color="auto"/>
                <w:right w:val="none" w:sz="0" w:space="0" w:color="auto"/>
              </w:divBdr>
              <w:divsChild>
                <w:div w:id="803276376">
                  <w:marLeft w:val="0"/>
                  <w:marRight w:val="0"/>
                  <w:marTop w:val="0"/>
                  <w:marBottom w:val="0"/>
                  <w:divBdr>
                    <w:top w:val="none" w:sz="0" w:space="0" w:color="auto"/>
                    <w:left w:val="none" w:sz="0" w:space="0" w:color="auto"/>
                    <w:bottom w:val="none" w:sz="0" w:space="0" w:color="auto"/>
                    <w:right w:val="none" w:sz="0" w:space="0" w:color="auto"/>
                  </w:divBdr>
                  <w:divsChild>
                    <w:div w:id="694430641">
                      <w:marLeft w:val="0"/>
                      <w:marRight w:val="0"/>
                      <w:marTop w:val="0"/>
                      <w:marBottom w:val="0"/>
                      <w:divBdr>
                        <w:top w:val="none" w:sz="0" w:space="0" w:color="auto"/>
                        <w:left w:val="none" w:sz="0" w:space="0" w:color="auto"/>
                        <w:bottom w:val="none" w:sz="0" w:space="0" w:color="auto"/>
                        <w:right w:val="none" w:sz="0" w:space="0" w:color="auto"/>
                      </w:divBdr>
                      <w:divsChild>
                        <w:div w:id="1507554105">
                          <w:blockQuote w:val="1"/>
                          <w:marLeft w:val="0"/>
                          <w:marRight w:val="0"/>
                          <w:marTop w:val="540"/>
                          <w:marBottom w:val="540"/>
                          <w:divBdr>
                            <w:top w:val="none" w:sz="0" w:space="0" w:color="auto"/>
                            <w:left w:val="none" w:sz="0" w:space="0" w:color="auto"/>
                            <w:bottom w:val="none" w:sz="0" w:space="0" w:color="auto"/>
                            <w:right w:val="none" w:sz="0" w:space="0" w:color="auto"/>
                          </w:divBdr>
                        </w:div>
                        <w:div w:id="173110591">
                          <w:blockQuote w:val="1"/>
                          <w:marLeft w:val="0"/>
                          <w:marRight w:val="0"/>
                          <w:marTop w:val="540"/>
                          <w:marBottom w:val="540"/>
                          <w:divBdr>
                            <w:top w:val="none" w:sz="0" w:space="0" w:color="auto"/>
                            <w:left w:val="none" w:sz="0" w:space="0" w:color="auto"/>
                            <w:bottom w:val="none" w:sz="0" w:space="0" w:color="auto"/>
                            <w:right w:val="none" w:sz="0" w:space="0" w:color="auto"/>
                          </w:divBdr>
                        </w:div>
                        <w:div w:id="424347587">
                          <w:blockQuote w:val="1"/>
                          <w:marLeft w:val="0"/>
                          <w:marRight w:val="0"/>
                          <w:marTop w:val="540"/>
                          <w:marBottom w:val="540"/>
                          <w:divBdr>
                            <w:top w:val="none" w:sz="0" w:space="0" w:color="auto"/>
                            <w:left w:val="none" w:sz="0" w:space="0" w:color="auto"/>
                            <w:bottom w:val="none" w:sz="0" w:space="0" w:color="auto"/>
                            <w:right w:val="none" w:sz="0" w:space="0" w:color="auto"/>
                          </w:divBdr>
                        </w:div>
                        <w:div w:id="1253472502">
                          <w:blockQuote w:val="1"/>
                          <w:marLeft w:val="0"/>
                          <w:marRight w:val="0"/>
                          <w:marTop w:val="540"/>
                          <w:marBottom w:val="540"/>
                          <w:divBdr>
                            <w:top w:val="none" w:sz="0" w:space="0" w:color="auto"/>
                            <w:left w:val="none" w:sz="0" w:space="0" w:color="auto"/>
                            <w:bottom w:val="none" w:sz="0" w:space="0" w:color="auto"/>
                            <w:right w:val="none" w:sz="0" w:space="0" w:color="auto"/>
                          </w:divBdr>
                        </w:div>
                        <w:div w:id="2012833501">
                          <w:marLeft w:val="0"/>
                          <w:marRight w:val="0"/>
                          <w:marTop w:val="600"/>
                          <w:marBottom w:val="600"/>
                          <w:divBdr>
                            <w:top w:val="none" w:sz="0" w:space="0" w:color="auto"/>
                            <w:left w:val="none" w:sz="0" w:space="0" w:color="auto"/>
                            <w:bottom w:val="none" w:sz="0" w:space="0" w:color="auto"/>
                            <w:right w:val="none" w:sz="0" w:space="0" w:color="auto"/>
                          </w:divBdr>
                          <w:divsChild>
                            <w:div w:id="796336480">
                              <w:marLeft w:val="0"/>
                              <w:marRight w:val="0"/>
                              <w:marTop w:val="0"/>
                              <w:marBottom w:val="0"/>
                              <w:divBdr>
                                <w:top w:val="none" w:sz="0" w:space="0" w:color="auto"/>
                                <w:left w:val="none" w:sz="0" w:space="0" w:color="auto"/>
                                <w:bottom w:val="none" w:sz="0" w:space="0" w:color="auto"/>
                                <w:right w:val="none" w:sz="0" w:space="0" w:color="auto"/>
                              </w:divBdr>
                            </w:div>
                          </w:divsChild>
                        </w:div>
                        <w:div w:id="1322198619">
                          <w:blockQuote w:val="1"/>
                          <w:marLeft w:val="0"/>
                          <w:marRight w:val="0"/>
                          <w:marTop w:val="540"/>
                          <w:marBottom w:val="540"/>
                          <w:divBdr>
                            <w:top w:val="none" w:sz="0" w:space="0" w:color="auto"/>
                            <w:left w:val="none" w:sz="0" w:space="0" w:color="auto"/>
                            <w:bottom w:val="none" w:sz="0" w:space="0" w:color="auto"/>
                            <w:right w:val="none" w:sz="0" w:space="0" w:color="auto"/>
                          </w:divBdr>
                        </w:div>
                        <w:div w:id="119223541">
                          <w:blockQuote w:val="1"/>
                          <w:marLeft w:val="0"/>
                          <w:marRight w:val="0"/>
                          <w:marTop w:val="540"/>
                          <w:marBottom w:val="540"/>
                          <w:divBdr>
                            <w:top w:val="none" w:sz="0" w:space="0" w:color="auto"/>
                            <w:left w:val="none" w:sz="0" w:space="0" w:color="auto"/>
                            <w:bottom w:val="none" w:sz="0" w:space="0" w:color="auto"/>
                            <w:right w:val="none" w:sz="0" w:space="0" w:color="auto"/>
                          </w:divBdr>
                        </w:div>
                        <w:div w:id="568074381">
                          <w:blockQuote w:val="1"/>
                          <w:marLeft w:val="0"/>
                          <w:marRight w:val="0"/>
                          <w:marTop w:val="540"/>
                          <w:marBottom w:val="540"/>
                          <w:divBdr>
                            <w:top w:val="none" w:sz="0" w:space="0" w:color="auto"/>
                            <w:left w:val="none" w:sz="0" w:space="0" w:color="auto"/>
                            <w:bottom w:val="none" w:sz="0" w:space="0" w:color="auto"/>
                            <w:right w:val="none" w:sz="0" w:space="0" w:color="auto"/>
                          </w:divBdr>
                        </w:div>
                        <w:div w:id="1556308014">
                          <w:blockQuote w:val="1"/>
                          <w:marLeft w:val="0"/>
                          <w:marRight w:val="0"/>
                          <w:marTop w:val="540"/>
                          <w:marBottom w:val="540"/>
                          <w:divBdr>
                            <w:top w:val="none" w:sz="0" w:space="0" w:color="auto"/>
                            <w:left w:val="none" w:sz="0" w:space="0" w:color="auto"/>
                            <w:bottom w:val="none" w:sz="0" w:space="0" w:color="auto"/>
                            <w:right w:val="none" w:sz="0" w:space="0" w:color="auto"/>
                          </w:divBdr>
                        </w:div>
                        <w:div w:id="1549142412">
                          <w:blockQuote w:val="1"/>
                          <w:marLeft w:val="0"/>
                          <w:marRight w:val="0"/>
                          <w:marTop w:val="540"/>
                          <w:marBottom w:val="540"/>
                          <w:divBdr>
                            <w:top w:val="none" w:sz="0" w:space="0" w:color="auto"/>
                            <w:left w:val="none" w:sz="0" w:space="0" w:color="auto"/>
                            <w:bottom w:val="none" w:sz="0" w:space="0" w:color="auto"/>
                            <w:right w:val="none" w:sz="0" w:space="0" w:color="auto"/>
                          </w:divBdr>
                        </w:div>
                        <w:div w:id="981158913">
                          <w:blockQuote w:val="1"/>
                          <w:marLeft w:val="0"/>
                          <w:marRight w:val="0"/>
                          <w:marTop w:val="540"/>
                          <w:marBottom w:val="540"/>
                          <w:divBdr>
                            <w:top w:val="none" w:sz="0" w:space="0" w:color="auto"/>
                            <w:left w:val="none" w:sz="0" w:space="0" w:color="auto"/>
                            <w:bottom w:val="none" w:sz="0" w:space="0" w:color="auto"/>
                            <w:right w:val="none" w:sz="0" w:space="0" w:color="auto"/>
                          </w:divBdr>
                        </w:div>
                        <w:div w:id="1344740984">
                          <w:blockQuote w:val="1"/>
                          <w:marLeft w:val="0"/>
                          <w:marRight w:val="0"/>
                          <w:marTop w:val="540"/>
                          <w:marBottom w:val="540"/>
                          <w:divBdr>
                            <w:top w:val="none" w:sz="0" w:space="0" w:color="auto"/>
                            <w:left w:val="none" w:sz="0" w:space="0" w:color="auto"/>
                            <w:bottom w:val="none" w:sz="0" w:space="0" w:color="auto"/>
                            <w:right w:val="none" w:sz="0" w:space="0" w:color="auto"/>
                          </w:divBdr>
                        </w:div>
                        <w:div w:id="2020964912">
                          <w:blockQuote w:val="1"/>
                          <w:marLeft w:val="0"/>
                          <w:marRight w:val="0"/>
                          <w:marTop w:val="540"/>
                          <w:marBottom w:val="540"/>
                          <w:divBdr>
                            <w:top w:val="none" w:sz="0" w:space="0" w:color="auto"/>
                            <w:left w:val="none" w:sz="0" w:space="0" w:color="auto"/>
                            <w:bottom w:val="none" w:sz="0" w:space="0" w:color="auto"/>
                            <w:right w:val="none" w:sz="0" w:space="0" w:color="auto"/>
                          </w:divBdr>
                        </w:div>
                        <w:div w:id="873081645">
                          <w:blockQuote w:val="1"/>
                          <w:marLeft w:val="0"/>
                          <w:marRight w:val="0"/>
                          <w:marTop w:val="540"/>
                          <w:marBottom w:val="540"/>
                          <w:divBdr>
                            <w:top w:val="none" w:sz="0" w:space="0" w:color="auto"/>
                            <w:left w:val="none" w:sz="0" w:space="0" w:color="auto"/>
                            <w:bottom w:val="none" w:sz="0" w:space="0" w:color="auto"/>
                            <w:right w:val="none" w:sz="0" w:space="0" w:color="auto"/>
                          </w:divBdr>
                        </w:div>
                        <w:div w:id="62488340">
                          <w:blockQuote w:val="1"/>
                          <w:marLeft w:val="0"/>
                          <w:marRight w:val="0"/>
                          <w:marTop w:val="540"/>
                          <w:marBottom w:val="540"/>
                          <w:divBdr>
                            <w:top w:val="none" w:sz="0" w:space="0" w:color="auto"/>
                            <w:left w:val="none" w:sz="0" w:space="0" w:color="auto"/>
                            <w:bottom w:val="none" w:sz="0" w:space="0" w:color="auto"/>
                            <w:right w:val="none" w:sz="0" w:space="0" w:color="auto"/>
                          </w:divBdr>
                        </w:div>
                        <w:div w:id="1148205068">
                          <w:blockQuote w:val="1"/>
                          <w:marLeft w:val="0"/>
                          <w:marRight w:val="0"/>
                          <w:marTop w:val="540"/>
                          <w:marBottom w:val="540"/>
                          <w:divBdr>
                            <w:top w:val="none" w:sz="0" w:space="0" w:color="auto"/>
                            <w:left w:val="none" w:sz="0" w:space="0" w:color="auto"/>
                            <w:bottom w:val="none" w:sz="0" w:space="0" w:color="auto"/>
                            <w:right w:val="none" w:sz="0" w:space="0" w:color="auto"/>
                          </w:divBdr>
                        </w:div>
                        <w:div w:id="770930903">
                          <w:blockQuote w:val="1"/>
                          <w:marLeft w:val="0"/>
                          <w:marRight w:val="0"/>
                          <w:marTop w:val="540"/>
                          <w:marBottom w:val="540"/>
                          <w:divBdr>
                            <w:top w:val="none" w:sz="0" w:space="0" w:color="auto"/>
                            <w:left w:val="none" w:sz="0" w:space="0" w:color="auto"/>
                            <w:bottom w:val="none" w:sz="0" w:space="0" w:color="auto"/>
                            <w:right w:val="none" w:sz="0" w:space="0" w:color="auto"/>
                          </w:divBdr>
                        </w:div>
                        <w:div w:id="1954825426">
                          <w:blockQuote w:val="1"/>
                          <w:marLeft w:val="0"/>
                          <w:marRight w:val="0"/>
                          <w:marTop w:val="540"/>
                          <w:marBottom w:val="540"/>
                          <w:divBdr>
                            <w:top w:val="none" w:sz="0" w:space="0" w:color="auto"/>
                            <w:left w:val="none" w:sz="0" w:space="0" w:color="auto"/>
                            <w:bottom w:val="none" w:sz="0" w:space="0" w:color="auto"/>
                            <w:right w:val="none" w:sz="0" w:space="0" w:color="auto"/>
                          </w:divBdr>
                        </w:div>
                        <w:div w:id="1017923852">
                          <w:blockQuote w:val="1"/>
                          <w:marLeft w:val="0"/>
                          <w:marRight w:val="0"/>
                          <w:marTop w:val="540"/>
                          <w:marBottom w:val="540"/>
                          <w:divBdr>
                            <w:top w:val="none" w:sz="0" w:space="0" w:color="auto"/>
                            <w:left w:val="none" w:sz="0" w:space="0" w:color="auto"/>
                            <w:bottom w:val="none" w:sz="0" w:space="0" w:color="auto"/>
                            <w:right w:val="none" w:sz="0" w:space="0" w:color="auto"/>
                          </w:divBdr>
                        </w:div>
                        <w:div w:id="1862737527">
                          <w:blockQuote w:val="1"/>
                          <w:marLeft w:val="0"/>
                          <w:marRight w:val="0"/>
                          <w:marTop w:val="540"/>
                          <w:marBottom w:val="540"/>
                          <w:divBdr>
                            <w:top w:val="none" w:sz="0" w:space="0" w:color="auto"/>
                            <w:left w:val="none" w:sz="0" w:space="0" w:color="auto"/>
                            <w:bottom w:val="none" w:sz="0" w:space="0" w:color="auto"/>
                            <w:right w:val="none" w:sz="0" w:space="0" w:color="auto"/>
                          </w:divBdr>
                        </w:div>
                        <w:div w:id="1017736522">
                          <w:blockQuote w:val="1"/>
                          <w:marLeft w:val="0"/>
                          <w:marRight w:val="0"/>
                          <w:marTop w:val="540"/>
                          <w:marBottom w:val="540"/>
                          <w:divBdr>
                            <w:top w:val="none" w:sz="0" w:space="0" w:color="auto"/>
                            <w:left w:val="none" w:sz="0" w:space="0" w:color="auto"/>
                            <w:bottom w:val="none" w:sz="0" w:space="0" w:color="auto"/>
                            <w:right w:val="none" w:sz="0" w:space="0" w:color="auto"/>
                          </w:divBdr>
                        </w:div>
                        <w:div w:id="1661690411">
                          <w:blockQuote w:val="1"/>
                          <w:marLeft w:val="0"/>
                          <w:marRight w:val="0"/>
                          <w:marTop w:val="540"/>
                          <w:marBottom w:val="540"/>
                          <w:divBdr>
                            <w:top w:val="none" w:sz="0" w:space="0" w:color="auto"/>
                            <w:left w:val="none" w:sz="0" w:space="0" w:color="auto"/>
                            <w:bottom w:val="none" w:sz="0" w:space="0" w:color="auto"/>
                            <w:right w:val="none" w:sz="0" w:space="0" w:color="auto"/>
                          </w:divBdr>
                        </w:div>
                        <w:div w:id="729230248">
                          <w:blockQuote w:val="1"/>
                          <w:marLeft w:val="0"/>
                          <w:marRight w:val="0"/>
                          <w:marTop w:val="540"/>
                          <w:marBottom w:val="540"/>
                          <w:divBdr>
                            <w:top w:val="none" w:sz="0" w:space="0" w:color="auto"/>
                            <w:left w:val="none" w:sz="0" w:space="0" w:color="auto"/>
                            <w:bottom w:val="none" w:sz="0" w:space="0" w:color="auto"/>
                            <w:right w:val="none" w:sz="0" w:space="0" w:color="auto"/>
                          </w:divBdr>
                        </w:div>
                        <w:div w:id="1674650238">
                          <w:blockQuote w:val="1"/>
                          <w:marLeft w:val="0"/>
                          <w:marRight w:val="0"/>
                          <w:marTop w:val="540"/>
                          <w:marBottom w:val="540"/>
                          <w:divBdr>
                            <w:top w:val="none" w:sz="0" w:space="0" w:color="auto"/>
                            <w:left w:val="none" w:sz="0" w:space="0" w:color="auto"/>
                            <w:bottom w:val="none" w:sz="0" w:space="0" w:color="auto"/>
                            <w:right w:val="none" w:sz="0" w:space="0" w:color="auto"/>
                          </w:divBdr>
                        </w:div>
                        <w:div w:id="1364791166">
                          <w:blockQuote w:val="1"/>
                          <w:marLeft w:val="0"/>
                          <w:marRight w:val="0"/>
                          <w:marTop w:val="540"/>
                          <w:marBottom w:val="540"/>
                          <w:divBdr>
                            <w:top w:val="none" w:sz="0" w:space="0" w:color="auto"/>
                            <w:left w:val="none" w:sz="0" w:space="0" w:color="auto"/>
                            <w:bottom w:val="none" w:sz="0" w:space="0" w:color="auto"/>
                            <w:right w:val="none" w:sz="0" w:space="0" w:color="auto"/>
                          </w:divBdr>
                        </w:div>
                        <w:div w:id="1312248322">
                          <w:blockQuote w:val="1"/>
                          <w:marLeft w:val="0"/>
                          <w:marRight w:val="0"/>
                          <w:marTop w:val="540"/>
                          <w:marBottom w:val="540"/>
                          <w:divBdr>
                            <w:top w:val="none" w:sz="0" w:space="0" w:color="auto"/>
                            <w:left w:val="none" w:sz="0" w:space="0" w:color="auto"/>
                            <w:bottom w:val="none" w:sz="0" w:space="0" w:color="auto"/>
                            <w:right w:val="none" w:sz="0" w:space="0" w:color="auto"/>
                          </w:divBdr>
                        </w:div>
                        <w:div w:id="917440737">
                          <w:blockQuote w:val="1"/>
                          <w:marLeft w:val="0"/>
                          <w:marRight w:val="0"/>
                          <w:marTop w:val="540"/>
                          <w:marBottom w:val="540"/>
                          <w:divBdr>
                            <w:top w:val="none" w:sz="0" w:space="0" w:color="auto"/>
                            <w:left w:val="none" w:sz="0" w:space="0" w:color="auto"/>
                            <w:bottom w:val="none" w:sz="0" w:space="0" w:color="auto"/>
                            <w:right w:val="none" w:sz="0" w:space="0" w:color="auto"/>
                          </w:divBdr>
                        </w:div>
                        <w:div w:id="430663547">
                          <w:blockQuote w:val="1"/>
                          <w:marLeft w:val="0"/>
                          <w:marRight w:val="0"/>
                          <w:marTop w:val="540"/>
                          <w:marBottom w:val="540"/>
                          <w:divBdr>
                            <w:top w:val="none" w:sz="0" w:space="0" w:color="auto"/>
                            <w:left w:val="none" w:sz="0" w:space="0" w:color="auto"/>
                            <w:bottom w:val="none" w:sz="0" w:space="0" w:color="auto"/>
                            <w:right w:val="none" w:sz="0" w:space="0" w:color="auto"/>
                          </w:divBdr>
                        </w:div>
                        <w:div w:id="70659205">
                          <w:blockQuote w:val="1"/>
                          <w:marLeft w:val="0"/>
                          <w:marRight w:val="0"/>
                          <w:marTop w:val="540"/>
                          <w:marBottom w:val="540"/>
                          <w:divBdr>
                            <w:top w:val="none" w:sz="0" w:space="0" w:color="auto"/>
                            <w:left w:val="none" w:sz="0" w:space="0" w:color="auto"/>
                            <w:bottom w:val="none" w:sz="0" w:space="0" w:color="auto"/>
                            <w:right w:val="none" w:sz="0" w:space="0" w:color="auto"/>
                          </w:divBdr>
                        </w:div>
                        <w:div w:id="2128812497">
                          <w:blockQuote w:val="1"/>
                          <w:marLeft w:val="0"/>
                          <w:marRight w:val="0"/>
                          <w:marTop w:val="540"/>
                          <w:marBottom w:val="540"/>
                          <w:divBdr>
                            <w:top w:val="none" w:sz="0" w:space="0" w:color="auto"/>
                            <w:left w:val="none" w:sz="0" w:space="0" w:color="auto"/>
                            <w:bottom w:val="none" w:sz="0" w:space="0" w:color="auto"/>
                            <w:right w:val="none" w:sz="0" w:space="0" w:color="auto"/>
                          </w:divBdr>
                        </w:div>
                        <w:div w:id="1737240314">
                          <w:blockQuote w:val="1"/>
                          <w:marLeft w:val="0"/>
                          <w:marRight w:val="0"/>
                          <w:marTop w:val="540"/>
                          <w:marBottom w:val="540"/>
                          <w:divBdr>
                            <w:top w:val="none" w:sz="0" w:space="0" w:color="auto"/>
                            <w:left w:val="none" w:sz="0" w:space="0" w:color="auto"/>
                            <w:bottom w:val="none" w:sz="0" w:space="0" w:color="auto"/>
                            <w:right w:val="none" w:sz="0" w:space="0" w:color="auto"/>
                          </w:divBdr>
                        </w:div>
                        <w:div w:id="1125079412">
                          <w:blockQuote w:val="1"/>
                          <w:marLeft w:val="0"/>
                          <w:marRight w:val="0"/>
                          <w:marTop w:val="540"/>
                          <w:marBottom w:val="540"/>
                          <w:divBdr>
                            <w:top w:val="none" w:sz="0" w:space="0" w:color="auto"/>
                            <w:left w:val="none" w:sz="0" w:space="0" w:color="auto"/>
                            <w:bottom w:val="none" w:sz="0" w:space="0" w:color="auto"/>
                            <w:right w:val="none" w:sz="0" w:space="0" w:color="auto"/>
                          </w:divBdr>
                        </w:div>
                        <w:div w:id="1534345122">
                          <w:blockQuote w:val="1"/>
                          <w:marLeft w:val="0"/>
                          <w:marRight w:val="0"/>
                          <w:marTop w:val="540"/>
                          <w:marBottom w:val="540"/>
                          <w:divBdr>
                            <w:top w:val="none" w:sz="0" w:space="0" w:color="auto"/>
                            <w:left w:val="none" w:sz="0" w:space="0" w:color="auto"/>
                            <w:bottom w:val="none" w:sz="0" w:space="0" w:color="auto"/>
                            <w:right w:val="none" w:sz="0" w:space="0" w:color="auto"/>
                          </w:divBdr>
                        </w:div>
                        <w:div w:id="971637161">
                          <w:blockQuote w:val="1"/>
                          <w:marLeft w:val="0"/>
                          <w:marRight w:val="0"/>
                          <w:marTop w:val="540"/>
                          <w:marBottom w:val="540"/>
                          <w:divBdr>
                            <w:top w:val="none" w:sz="0" w:space="0" w:color="auto"/>
                            <w:left w:val="none" w:sz="0" w:space="0" w:color="auto"/>
                            <w:bottom w:val="none" w:sz="0" w:space="0" w:color="auto"/>
                            <w:right w:val="none" w:sz="0" w:space="0" w:color="auto"/>
                          </w:divBdr>
                        </w:div>
                        <w:div w:id="1182665128">
                          <w:blockQuote w:val="1"/>
                          <w:marLeft w:val="0"/>
                          <w:marRight w:val="0"/>
                          <w:marTop w:val="540"/>
                          <w:marBottom w:val="540"/>
                          <w:divBdr>
                            <w:top w:val="none" w:sz="0" w:space="0" w:color="auto"/>
                            <w:left w:val="none" w:sz="0" w:space="0" w:color="auto"/>
                            <w:bottom w:val="none" w:sz="0" w:space="0" w:color="auto"/>
                            <w:right w:val="none" w:sz="0" w:space="0" w:color="auto"/>
                          </w:divBdr>
                        </w:div>
                        <w:div w:id="243800476">
                          <w:blockQuote w:val="1"/>
                          <w:marLeft w:val="0"/>
                          <w:marRight w:val="0"/>
                          <w:marTop w:val="540"/>
                          <w:marBottom w:val="540"/>
                          <w:divBdr>
                            <w:top w:val="none" w:sz="0" w:space="0" w:color="auto"/>
                            <w:left w:val="none" w:sz="0" w:space="0" w:color="auto"/>
                            <w:bottom w:val="none" w:sz="0" w:space="0" w:color="auto"/>
                            <w:right w:val="none" w:sz="0" w:space="0" w:color="auto"/>
                          </w:divBdr>
                        </w:div>
                        <w:div w:id="165903465">
                          <w:blockQuote w:val="1"/>
                          <w:marLeft w:val="0"/>
                          <w:marRight w:val="0"/>
                          <w:marTop w:val="540"/>
                          <w:marBottom w:val="540"/>
                          <w:divBdr>
                            <w:top w:val="none" w:sz="0" w:space="0" w:color="auto"/>
                            <w:left w:val="none" w:sz="0" w:space="0" w:color="auto"/>
                            <w:bottom w:val="none" w:sz="0" w:space="0" w:color="auto"/>
                            <w:right w:val="none" w:sz="0" w:space="0" w:color="auto"/>
                          </w:divBdr>
                        </w:div>
                        <w:div w:id="2085446567">
                          <w:blockQuote w:val="1"/>
                          <w:marLeft w:val="0"/>
                          <w:marRight w:val="0"/>
                          <w:marTop w:val="540"/>
                          <w:marBottom w:val="540"/>
                          <w:divBdr>
                            <w:top w:val="none" w:sz="0" w:space="0" w:color="auto"/>
                            <w:left w:val="none" w:sz="0" w:space="0" w:color="auto"/>
                            <w:bottom w:val="none" w:sz="0" w:space="0" w:color="auto"/>
                            <w:right w:val="none" w:sz="0" w:space="0" w:color="auto"/>
                          </w:divBdr>
                        </w:div>
                        <w:div w:id="889657132">
                          <w:blockQuote w:val="1"/>
                          <w:marLeft w:val="0"/>
                          <w:marRight w:val="0"/>
                          <w:marTop w:val="540"/>
                          <w:marBottom w:val="540"/>
                          <w:divBdr>
                            <w:top w:val="none" w:sz="0" w:space="0" w:color="auto"/>
                            <w:left w:val="none" w:sz="0" w:space="0" w:color="auto"/>
                            <w:bottom w:val="none" w:sz="0" w:space="0" w:color="auto"/>
                            <w:right w:val="none" w:sz="0" w:space="0" w:color="auto"/>
                          </w:divBdr>
                        </w:div>
                        <w:div w:id="1886872916">
                          <w:blockQuote w:val="1"/>
                          <w:marLeft w:val="0"/>
                          <w:marRight w:val="0"/>
                          <w:marTop w:val="540"/>
                          <w:marBottom w:val="540"/>
                          <w:divBdr>
                            <w:top w:val="none" w:sz="0" w:space="0" w:color="auto"/>
                            <w:left w:val="none" w:sz="0" w:space="0" w:color="auto"/>
                            <w:bottom w:val="none" w:sz="0" w:space="0" w:color="auto"/>
                            <w:right w:val="none" w:sz="0" w:space="0" w:color="auto"/>
                          </w:divBdr>
                        </w:div>
                        <w:div w:id="1679963740">
                          <w:blockQuote w:val="1"/>
                          <w:marLeft w:val="0"/>
                          <w:marRight w:val="0"/>
                          <w:marTop w:val="540"/>
                          <w:marBottom w:val="540"/>
                          <w:divBdr>
                            <w:top w:val="none" w:sz="0" w:space="0" w:color="auto"/>
                            <w:left w:val="none" w:sz="0" w:space="0" w:color="auto"/>
                            <w:bottom w:val="none" w:sz="0" w:space="0" w:color="auto"/>
                            <w:right w:val="none" w:sz="0" w:space="0" w:color="auto"/>
                          </w:divBdr>
                        </w:div>
                        <w:div w:id="2109158432">
                          <w:blockQuote w:val="1"/>
                          <w:marLeft w:val="0"/>
                          <w:marRight w:val="0"/>
                          <w:marTop w:val="540"/>
                          <w:marBottom w:val="540"/>
                          <w:divBdr>
                            <w:top w:val="none" w:sz="0" w:space="0" w:color="auto"/>
                            <w:left w:val="none" w:sz="0" w:space="0" w:color="auto"/>
                            <w:bottom w:val="none" w:sz="0" w:space="0" w:color="auto"/>
                            <w:right w:val="none" w:sz="0" w:space="0" w:color="auto"/>
                          </w:divBdr>
                        </w:div>
                        <w:div w:id="1306928953">
                          <w:blockQuote w:val="1"/>
                          <w:marLeft w:val="0"/>
                          <w:marRight w:val="0"/>
                          <w:marTop w:val="540"/>
                          <w:marBottom w:val="540"/>
                          <w:divBdr>
                            <w:top w:val="none" w:sz="0" w:space="0" w:color="auto"/>
                            <w:left w:val="none" w:sz="0" w:space="0" w:color="auto"/>
                            <w:bottom w:val="none" w:sz="0" w:space="0" w:color="auto"/>
                            <w:right w:val="none" w:sz="0" w:space="0" w:color="auto"/>
                          </w:divBdr>
                        </w:div>
                        <w:div w:id="984286360">
                          <w:blockQuote w:val="1"/>
                          <w:marLeft w:val="0"/>
                          <w:marRight w:val="0"/>
                          <w:marTop w:val="540"/>
                          <w:marBottom w:val="540"/>
                          <w:divBdr>
                            <w:top w:val="none" w:sz="0" w:space="0" w:color="auto"/>
                            <w:left w:val="none" w:sz="0" w:space="0" w:color="auto"/>
                            <w:bottom w:val="none" w:sz="0" w:space="0" w:color="auto"/>
                            <w:right w:val="none" w:sz="0" w:space="0" w:color="auto"/>
                          </w:divBdr>
                        </w:div>
                        <w:div w:id="1043822568">
                          <w:blockQuote w:val="1"/>
                          <w:marLeft w:val="0"/>
                          <w:marRight w:val="0"/>
                          <w:marTop w:val="540"/>
                          <w:marBottom w:val="540"/>
                          <w:divBdr>
                            <w:top w:val="none" w:sz="0" w:space="0" w:color="auto"/>
                            <w:left w:val="none" w:sz="0" w:space="0" w:color="auto"/>
                            <w:bottom w:val="none" w:sz="0" w:space="0" w:color="auto"/>
                            <w:right w:val="none" w:sz="0" w:space="0" w:color="auto"/>
                          </w:divBdr>
                        </w:div>
                        <w:div w:id="874804467">
                          <w:blockQuote w:val="1"/>
                          <w:marLeft w:val="0"/>
                          <w:marRight w:val="0"/>
                          <w:marTop w:val="540"/>
                          <w:marBottom w:val="540"/>
                          <w:divBdr>
                            <w:top w:val="none" w:sz="0" w:space="0" w:color="auto"/>
                            <w:left w:val="none" w:sz="0" w:space="0" w:color="auto"/>
                            <w:bottom w:val="none" w:sz="0" w:space="0" w:color="auto"/>
                            <w:right w:val="none" w:sz="0" w:space="0" w:color="auto"/>
                          </w:divBdr>
                        </w:div>
                        <w:div w:id="986327481">
                          <w:blockQuote w:val="1"/>
                          <w:marLeft w:val="0"/>
                          <w:marRight w:val="0"/>
                          <w:marTop w:val="540"/>
                          <w:marBottom w:val="540"/>
                          <w:divBdr>
                            <w:top w:val="none" w:sz="0" w:space="0" w:color="auto"/>
                            <w:left w:val="none" w:sz="0" w:space="0" w:color="auto"/>
                            <w:bottom w:val="none" w:sz="0" w:space="0" w:color="auto"/>
                            <w:right w:val="none" w:sz="0" w:space="0" w:color="auto"/>
                          </w:divBdr>
                        </w:div>
                        <w:div w:id="1154489196">
                          <w:blockQuote w:val="1"/>
                          <w:marLeft w:val="0"/>
                          <w:marRight w:val="0"/>
                          <w:marTop w:val="540"/>
                          <w:marBottom w:val="540"/>
                          <w:divBdr>
                            <w:top w:val="none" w:sz="0" w:space="0" w:color="auto"/>
                            <w:left w:val="none" w:sz="0" w:space="0" w:color="auto"/>
                            <w:bottom w:val="none" w:sz="0" w:space="0" w:color="auto"/>
                            <w:right w:val="none" w:sz="0" w:space="0" w:color="auto"/>
                          </w:divBdr>
                        </w:div>
                        <w:div w:id="274677683">
                          <w:blockQuote w:val="1"/>
                          <w:marLeft w:val="0"/>
                          <w:marRight w:val="0"/>
                          <w:marTop w:val="540"/>
                          <w:marBottom w:val="540"/>
                          <w:divBdr>
                            <w:top w:val="none" w:sz="0" w:space="0" w:color="auto"/>
                            <w:left w:val="none" w:sz="0" w:space="0" w:color="auto"/>
                            <w:bottom w:val="none" w:sz="0" w:space="0" w:color="auto"/>
                            <w:right w:val="none" w:sz="0" w:space="0" w:color="auto"/>
                          </w:divBdr>
                        </w:div>
                        <w:div w:id="1439526173">
                          <w:blockQuote w:val="1"/>
                          <w:marLeft w:val="0"/>
                          <w:marRight w:val="0"/>
                          <w:marTop w:val="540"/>
                          <w:marBottom w:val="540"/>
                          <w:divBdr>
                            <w:top w:val="none" w:sz="0" w:space="0" w:color="auto"/>
                            <w:left w:val="none" w:sz="0" w:space="0" w:color="auto"/>
                            <w:bottom w:val="none" w:sz="0" w:space="0" w:color="auto"/>
                            <w:right w:val="none" w:sz="0" w:space="0" w:color="auto"/>
                          </w:divBdr>
                        </w:div>
                        <w:div w:id="187648222">
                          <w:blockQuote w:val="1"/>
                          <w:marLeft w:val="0"/>
                          <w:marRight w:val="0"/>
                          <w:marTop w:val="540"/>
                          <w:marBottom w:val="540"/>
                          <w:divBdr>
                            <w:top w:val="none" w:sz="0" w:space="0" w:color="auto"/>
                            <w:left w:val="none" w:sz="0" w:space="0" w:color="auto"/>
                            <w:bottom w:val="none" w:sz="0" w:space="0" w:color="auto"/>
                            <w:right w:val="none" w:sz="0" w:space="0" w:color="auto"/>
                          </w:divBdr>
                        </w:div>
                        <w:div w:id="136992593">
                          <w:blockQuote w:val="1"/>
                          <w:marLeft w:val="0"/>
                          <w:marRight w:val="0"/>
                          <w:marTop w:val="540"/>
                          <w:marBottom w:val="540"/>
                          <w:divBdr>
                            <w:top w:val="none" w:sz="0" w:space="0" w:color="auto"/>
                            <w:left w:val="none" w:sz="0" w:space="0" w:color="auto"/>
                            <w:bottom w:val="none" w:sz="0" w:space="0" w:color="auto"/>
                            <w:right w:val="none" w:sz="0" w:space="0" w:color="auto"/>
                          </w:divBdr>
                        </w:div>
                        <w:div w:id="1461992112">
                          <w:blockQuote w:val="1"/>
                          <w:marLeft w:val="0"/>
                          <w:marRight w:val="0"/>
                          <w:marTop w:val="540"/>
                          <w:marBottom w:val="540"/>
                          <w:divBdr>
                            <w:top w:val="none" w:sz="0" w:space="0" w:color="auto"/>
                            <w:left w:val="none" w:sz="0" w:space="0" w:color="auto"/>
                            <w:bottom w:val="none" w:sz="0" w:space="0" w:color="auto"/>
                            <w:right w:val="none" w:sz="0" w:space="0" w:color="auto"/>
                          </w:divBdr>
                        </w:div>
                        <w:div w:id="355085040">
                          <w:blockQuote w:val="1"/>
                          <w:marLeft w:val="0"/>
                          <w:marRight w:val="0"/>
                          <w:marTop w:val="540"/>
                          <w:marBottom w:val="540"/>
                          <w:divBdr>
                            <w:top w:val="none" w:sz="0" w:space="0" w:color="auto"/>
                            <w:left w:val="none" w:sz="0" w:space="0" w:color="auto"/>
                            <w:bottom w:val="none" w:sz="0" w:space="0" w:color="auto"/>
                            <w:right w:val="none" w:sz="0" w:space="0" w:color="auto"/>
                          </w:divBdr>
                        </w:div>
                        <w:div w:id="1494760502">
                          <w:blockQuote w:val="1"/>
                          <w:marLeft w:val="0"/>
                          <w:marRight w:val="0"/>
                          <w:marTop w:val="540"/>
                          <w:marBottom w:val="540"/>
                          <w:divBdr>
                            <w:top w:val="none" w:sz="0" w:space="0" w:color="auto"/>
                            <w:left w:val="none" w:sz="0" w:space="0" w:color="auto"/>
                            <w:bottom w:val="none" w:sz="0" w:space="0" w:color="auto"/>
                            <w:right w:val="none" w:sz="0" w:space="0" w:color="auto"/>
                          </w:divBdr>
                        </w:div>
                        <w:div w:id="145754749">
                          <w:blockQuote w:val="1"/>
                          <w:marLeft w:val="0"/>
                          <w:marRight w:val="0"/>
                          <w:marTop w:val="540"/>
                          <w:marBottom w:val="540"/>
                          <w:divBdr>
                            <w:top w:val="none" w:sz="0" w:space="0" w:color="auto"/>
                            <w:left w:val="none" w:sz="0" w:space="0" w:color="auto"/>
                            <w:bottom w:val="none" w:sz="0" w:space="0" w:color="auto"/>
                            <w:right w:val="none" w:sz="0" w:space="0" w:color="auto"/>
                          </w:divBdr>
                        </w:div>
                        <w:div w:id="1881160706">
                          <w:blockQuote w:val="1"/>
                          <w:marLeft w:val="0"/>
                          <w:marRight w:val="0"/>
                          <w:marTop w:val="540"/>
                          <w:marBottom w:val="540"/>
                          <w:divBdr>
                            <w:top w:val="none" w:sz="0" w:space="0" w:color="auto"/>
                            <w:left w:val="none" w:sz="0" w:space="0" w:color="auto"/>
                            <w:bottom w:val="none" w:sz="0" w:space="0" w:color="auto"/>
                            <w:right w:val="none" w:sz="0" w:space="0" w:color="auto"/>
                          </w:divBdr>
                        </w:div>
                        <w:div w:id="921571076">
                          <w:blockQuote w:val="1"/>
                          <w:marLeft w:val="0"/>
                          <w:marRight w:val="0"/>
                          <w:marTop w:val="540"/>
                          <w:marBottom w:val="540"/>
                          <w:divBdr>
                            <w:top w:val="none" w:sz="0" w:space="0" w:color="auto"/>
                            <w:left w:val="none" w:sz="0" w:space="0" w:color="auto"/>
                            <w:bottom w:val="none" w:sz="0" w:space="0" w:color="auto"/>
                            <w:right w:val="none" w:sz="0" w:space="0" w:color="auto"/>
                          </w:divBdr>
                        </w:div>
                        <w:div w:id="197742369">
                          <w:blockQuote w:val="1"/>
                          <w:marLeft w:val="0"/>
                          <w:marRight w:val="0"/>
                          <w:marTop w:val="540"/>
                          <w:marBottom w:val="540"/>
                          <w:divBdr>
                            <w:top w:val="none" w:sz="0" w:space="0" w:color="auto"/>
                            <w:left w:val="none" w:sz="0" w:space="0" w:color="auto"/>
                            <w:bottom w:val="none" w:sz="0" w:space="0" w:color="auto"/>
                            <w:right w:val="none" w:sz="0" w:space="0" w:color="auto"/>
                          </w:divBdr>
                        </w:div>
                        <w:div w:id="1417509867">
                          <w:blockQuote w:val="1"/>
                          <w:marLeft w:val="0"/>
                          <w:marRight w:val="0"/>
                          <w:marTop w:val="540"/>
                          <w:marBottom w:val="540"/>
                          <w:divBdr>
                            <w:top w:val="none" w:sz="0" w:space="0" w:color="auto"/>
                            <w:left w:val="none" w:sz="0" w:space="0" w:color="auto"/>
                            <w:bottom w:val="none" w:sz="0" w:space="0" w:color="auto"/>
                            <w:right w:val="none" w:sz="0" w:space="0" w:color="auto"/>
                          </w:divBdr>
                        </w:div>
                        <w:div w:id="359890687">
                          <w:blockQuote w:val="1"/>
                          <w:marLeft w:val="0"/>
                          <w:marRight w:val="0"/>
                          <w:marTop w:val="540"/>
                          <w:marBottom w:val="540"/>
                          <w:divBdr>
                            <w:top w:val="none" w:sz="0" w:space="0" w:color="auto"/>
                            <w:left w:val="none" w:sz="0" w:space="0" w:color="auto"/>
                            <w:bottom w:val="none" w:sz="0" w:space="0" w:color="auto"/>
                            <w:right w:val="none" w:sz="0" w:space="0" w:color="auto"/>
                          </w:divBdr>
                        </w:div>
                        <w:div w:id="952519672">
                          <w:blockQuote w:val="1"/>
                          <w:marLeft w:val="0"/>
                          <w:marRight w:val="0"/>
                          <w:marTop w:val="540"/>
                          <w:marBottom w:val="540"/>
                          <w:divBdr>
                            <w:top w:val="none" w:sz="0" w:space="0" w:color="auto"/>
                            <w:left w:val="none" w:sz="0" w:space="0" w:color="auto"/>
                            <w:bottom w:val="none" w:sz="0" w:space="0" w:color="auto"/>
                            <w:right w:val="none" w:sz="0" w:space="0" w:color="auto"/>
                          </w:divBdr>
                        </w:div>
                        <w:div w:id="251938703">
                          <w:blockQuote w:val="1"/>
                          <w:marLeft w:val="0"/>
                          <w:marRight w:val="0"/>
                          <w:marTop w:val="540"/>
                          <w:marBottom w:val="540"/>
                          <w:divBdr>
                            <w:top w:val="none" w:sz="0" w:space="0" w:color="auto"/>
                            <w:left w:val="none" w:sz="0" w:space="0" w:color="auto"/>
                            <w:bottom w:val="none" w:sz="0" w:space="0" w:color="auto"/>
                            <w:right w:val="none" w:sz="0" w:space="0" w:color="auto"/>
                          </w:divBdr>
                        </w:div>
                        <w:div w:id="1634943846">
                          <w:blockQuote w:val="1"/>
                          <w:marLeft w:val="0"/>
                          <w:marRight w:val="0"/>
                          <w:marTop w:val="540"/>
                          <w:marBottom w:val="540"/>
                          <w:divBdr>
                            <w:top w:val="none" w:sz="0" w:space="0" w:color="auto"/>
                            <w:left w:val="none" w:sz="0" w:space="0" w:color="auto"/>
                            <w:bottom w:val="none" w:sz="0" w:space="0" w:color="auto"/>
                            <w:right w:val="none" w:sz="0" w:space="0" w:color="auto"/>
                          </w:divBdr>
                        </w:div>
                        <w:div w:id="1149715538">
                          <w:blockQuote w:val="1"/>
                          <w:marLeft w:val="0"/>
                          <w:marRight w:val="0"/>
                          <w:marTop w:val="540"/>
                          <w:marBottom w:val="540"/>
                          <w:divBdr>
                            <w:top w:val="none" w:sz="0" w:space="0" w:color="auto"/>
                            <w:left w:val="none" w:sz="0" w:space="0" w:color="auto"/>
                            <w:bottom w:val="none" w:sz="0" w:space="0" w:color="auto"/>
                            <w:right w:val="none" w:sz="0" w:space="0" w:color="auto"/>
                          </w:divBdr>
                        </w:div>
                        <w:div w:id="427972418">
                          <w:blockQuote w:val="1"/>
                          <w:marLeft w:val="0"/>
                          <w:marRight w:val="0"/>
                          <w:marTop w:val="540"/>
                          <w:marBottom w:val="540"/>
                          <w:divBdr>
                            <w:top w:val="none" w:sz="0" w:space="0" w:color="auto"/>
                            <w:left w:val="none" w:sz="0" w:space="0" w:color="auto"/>
                            <w:bottom w:val="none" w:sz="0" w:space="0" w:color="auto"/>
                            <w:right w:val="none" w:sz="0" w:space="0" w:color="auto"/>
                          </w:divBdr>
                        </w:div>
                        <w:div w:id="670838809">
                          <w:blockQuote w:val="1"/>
                          <w:marLeft w:val="0"/>
                          <w:marRight w:val="0"/>
                          <w:marTop w:val="540"/>
                          <w:marBottom w:val="540"/>
                          <w:divBdr>
                            <w:top w:val="none" w:sz="0" w:space="0" w:color="auto"/>
                            <w:left w:val="none" w:sz="0" w:space="0" w:color="auto"/>
                            <w:bottom w:val="none" w:sz="0" w:space="0" w:color="auto"/>
                            <w:right w:val="none" w:sz="0" w:space="0" w:color="auto"/>
                          </w:divBdr>
                        </w:div>
                        <w:div w:id="937713295">
                          <w:blockQuote w:val="1"/>
                          <w:marLeft w:val="0"/>
                          <w:marRight w:val="0"/>
                          <w:marTop w:val="540"/>
                          <w:marBottom w:val="540"/>
                          <w:divBdr>
                            <w:top w:val="none" w:sz="0" w:space="0" w:color="auto"/>
                            <w:left w:val="none" w:sz="0" w:space="0" w:color="auto"/>
                            <w:bottom w:val="none" w:sz="0" w:space="0" w:color="auto"/>
                            <w:right w:val="none" w:sz="0" w:space="0" w:color="auto"/>
                          </w:divBdr>
                        </w:div>
                        <w:div w:id="821119904">
                          <w:blockQuote w:val="1"/>
                          <w:marLeft w:val="0"/>
                          <w:marRight w:val="0"/>
                          <w:marTop w:val="540"/>
                          <w:marBottom w:val="540"/>
                          <w:divBdr>
                            <w:top w:val="none" w:sz="0" w:space="0" w:color="auto"/>
                            <w:left w:val="none" w:sz="0" w:space="0" w:color="auto"/>
                            <w:bottom w:val="none" w:sz="0" w:space="0" w:color="auto"/>
                            <w:right w:val="none" w:sz="0" w:space="0" w:color="auto"/>
                          </w:divBdr>
                        </w:div>
                        <w:div w:id="1632589064">
                          <w:blockQuote w:val="1"/>
                          <w:marLeft w:val="0"/>
                          <w:marRight w:val="0"/>
                          <w:marTop w:val="540"/>
                          <w:marBottom w:val="540"/>
                          <w:divBdr>
                            <w:top w:val="none" w:sz="0" w:space="0" w:color="auto"/>
                            <w:left w:val="none" w:sz="0" w:space="0" w:color="auto"/>
                            <w:bottom w:val="none" w:sz="0" w:space="0" w:color="auto"/>
                            <w:right w:val="none" w:sz="0" w:space="0" w:color="auto"/>
                          </w:divBdr>
                        </w:div>
                        <w:div w:id="768043346">
                          <w:blockQuote w:val="1"/>
                          <w:marLeft w:val="0"/>
                          <w:marRight w:val="0"/>
                          <w:marTop w:val="540"/>
                          <w:marBottom w:val="540"/>
                          <w:divBdr>
                            <w:top w:val="none" w:sz="0" w:space="0" w:color="auto"/>
                            <w:left w:val="none" w:sz="0" w:space="0" w:color="auto"/>
                            <w:bottom w:val="none" w:sz="0" w:space="0" w:color="auto"/>
                            <w:right w:val="none" w:sz="0" w:space="0" w:color="auto"/>
                          </w:divBdr>
                        </w:div>
                        <w:div w:id="110251635">
                          <w:blockQuote w:val="1"/>
                          <w:marLeft w:val="0"/>
                          <w:marRight w:val="0"/>
                          <w:marTop w:val="540"/>
                          <w:marBottom w:val="540"/>
                          <w:divBdr>
                            <w:top w:val="none" w:sz="0" w:space="0" w:color="auto"/>
                            <w:left w:val="none" w:sz="0" w:space="0" w:color="auto"/>
                            <w:bottom w:val="none" w:sz="0" w:space="0" w:color="auto"/>
                            <w:right w:val="none" w:sz="0" w:space="0" w:color="auto"/>
                          </w:divBdr>
                        </w:div>
                        <w:div w:id="758597223">
                          <w:blockQuote w:val="1"/>
                          <w:marLeft w:val="0"/>
                          <w:marRight w:val="0"/>
                          <w:marTop w:val="540"/>
                          <w:marBottom w:val="540"/>
                          <w:divBdr>
                            <w:top w:val="none" w:sz="0" w:space="0" w:color="auto"/>
                            <w:left w:val="none" w:sz="0" w:space="0" w:color="auto"/>
                            <w:bottom w:val="none" w:sz="0" w:space="0" w:color="auto"/>
                            <w:right w:val="none" w:sz="0" w:space="0" w:color="auto"/>
                          </w:divBdr>
                        </w:div>
                        <w:div w:id="1987473490">
                          <w:blockQuote w:val="1"/>
                          <w:marLeft w:val="0"/>
                          <w:marRight w:val="0"/>
                          <w:marTop w:val="540"/>
                          <w:marBottom w:val="540"/>
                          <w:divBdr>
                            <w:top w:val="none" w:sz="0" w:space="0" w:color="auto"/>
                            <w:left w:val="none" w:sz="0" w:space="0" w:color="auto"/>
                            <w:bottom w:val="none" w:sz="0" w:space="0" w:color="auto"/>
                            <w:right w:val="none" w:sz="0" w:space="0" w:color="auto"/>
                          </w:divBdr>
                        </w:div>
                        <w:div w:id="601914101">
                          <w:blockQuote w:val="1"/>
                          <w:marLeft w:val="0"/>
                          <w:marRight w:val="0"/>
                          <w:marTop w:val="540"/>
                          <w:marBottom w:val="540"/>
                          <w:divBdr>
                            <w:top w:val="none" w:sz="0" w:space="0" w:color="auto"/>
                            <w:left w:val="none" w:sz="0" w:space="0" w:color="auto"/>
                            <w:bottom w:val="none" w:sz="0" w:space="0" w:color="auto"/>
                            <w:right w:val="none" w:sz="0" w:space="0" w:color="auto"/>
                          </w:divBdr>
                        </w:div>
                        <w:div w:id="1054352981">
                          <w:blockQuote w:val="1"/>
                          <w:marLeft w:val="0"/>
                          <w:marRight w:val="0"/>
                          <w:marTop w:val="540"/>
                          <w:marBottom w:val="540"/>
                          <w:divBdr>
                            <w:top w:val="none" w:sz="0" w:space="0" w:color="auto"/>
                            <w:left w:val="none" w:sz="0" w:space="0" w:color="auto"/>
                            <w:bottom w:val="none" w:sz="0" w:space="0" w:color="auto"/>
                            <w:right w:val="none" w:sz="0" w:space="0" w:color="auto"/>
                          </w:divBdr>
                        </w:div>
                        <w:div w:id="389496571">
                          <w:blockQuote w:val="1"/>
                          <w:marLeft w:val="0"/>
                          <w:marRight w:val="0"/>
                          <w:marTop w:val="540"/>
                          <w:marBottom w:val="540"/>
                          <w:divBdr>
                            <w:top w:val="none" w:sz="0" w:space="0" w:color="auto"/>
                            <w:left w:val="none" w:sz="0" w:space="0" w:color="auto"/>
                            <w:bottom w:val="none" w:sz="0" w:space="0" w:color="auto"/>
                            <w:right w:val="none" w:sz="0" w:space="0" w:color="auto"/>
                          </w:divBdr>
                        </w:div>
                        <w:div w:id="1088886480">
                          <w:blockQuote w:val="1"/>
                          <w:marLeft w:val="0"/>
                          <w:marRight w:val="0"/>
                          <w:marTop w:val="540"/>
                          <w:marBottom w:val="540"/>
                          <w:divBdr>
                            <w:top w:val="none" w:sz="0" w:space="0" w:color="auto"/>
                            <w:left w:val="none" w:sz="0" w:space="0" w:color="auto"/>
                            <w:bottom w:val="none" w:sz="0" w:space="0" w:color="auto"/>
                            <w:right w:val="none" w:sz="0" w:space="0" w:color="auto"/>
                          </w:divBdr>
                        </w:div>
                      </w:divsChild>
                    </w:div>
                  </w:divsChild>
                </w:div>
              </w:divsChild>
            </w:div>
          </w:divsChild>
        </w:div>
        <w:div w:id="695615642">
          <w:marLeft w:val="0"/>
          <w:marRight w:val="0"/>
          <w:marTop w:val="240"/>
          <w:marBottom w:val="720"/>
          <w:divBdr>
            <w:top w:val="none" w:sz="0" w:space="0" w:color="auto"/>
            <w:left w:val="none" w:sz="0" w:space="0" w:color="auto"/>
            <w:bottom w:val="none" w:sz="0" w:space="0" w:color="auto"/>
            <w:right w:val="none" w:sz="0" w:space="0" w:color="auto"/>
          </w:divBdr>
          <w:divsChild>
            <w:div w:id="1388645057">
              <w:marLeft w:val="0"/>
              <w:marRight w:val="0"/>
              <w:marTop w:val="0"/>
              <w:marBottom w:val="0"/>
              <w:divBdr>
                <w:top w:val="none" w:sz="0" w:space="0" w:color="auto"/>
                <w:left w:val="none" w:sz="0" w:space="0" w:color="auto"/>
                <w:bottom w:val="none" w:sz="0" w:space="0" w:color="auto"/>
                <w:right w:val="none" w:sz="0" w:space="0" w:color="auto"/>
              </w:divBdr>
              <w:divsChild>
                <w:div w:id="2026511998">
                  <w:marLeft w:val="0"/>
                  <w:marRight w:val="0"/>
                  <w:marTop w:val="0"/>
                  <w:marBottom w:val="0"/>
                  <w:divBdr>
                    <w:top w:val="none" w:sz="0" w:space="0" w:color="auto"/>
                    <w:left w:val="none" w:sz="0" w:space="0" w:color="auto"/>
                    <w:bottom w:val="none" w:sz="0" w:space="0" w:color="auto"/>
                    <w:right w:val="none" w:sz="0" w:space="0" w:color="auto"/>
                  </w:divBdr>
                  <w:divsChild>
                    <w:div w:id="980117007">
                      <w:marLeft w:val="0"/>
                      <w:marRight w:val="0"/>
                      <w:marTop w:val="0"/>
                      <w:marBottom w:val="0"/>
                      <w:divBdr>
                        <w:top w:val="none" w:sz="0" w:space="0" w:color="auto"/>
                        <w:left w:val="none" w:sz="0" w:space="0" w:color="auto"/>
                        <w:bottom w:val="none" w:sz="0" w:space="0" w:color="auto"/>
                        <w:right w:val="none" w:sz="0" w:space="0" w:color="auto"/>
                      </w:divBdr>
                      <w:divsChild>
                        <w:div w:id="2119327485">
                          <w:marLeft w:val="0"/>
                          <w:marRight w:val="0"/>
                          <w:marTop w:val="0"/>
                          <w:marBottom w:val="0"/>
                          <w:divBdr>
                            <w:top w:val="none" w:sz="0" w:space="0" w:color="auto"/>
                            <w:left w:val="none" w:sz="0" w:space="0" w:color="auto"/>
                            <w:bottom w:val="none" w:sz="0" w:space="0" w:color="auto"/>
                            <w:right w:val="none" w:sz="0" w:space="0" w:color="auto"/>
                          </w:divBdr>
                        </w:div>
                      </w:divsChild>
                    </w:div>
                    <w:div w:id="570624124">
                      <w:marLeft w:val="0"/>
                      <w:marRight w:val="0"/>
                      <w:marTop w:val="0"/>
                      <w:marBottom w:val="0"/>
                      <w:divBdr>
                        <w:top w:val="none" w:sz="0" w:space="0" w:color="auto"/>
                        <w:left w:val="none" w:sz="0" w:space="0" w:color="auto"/>
                        <w:bottom w:val="none" w:sz="0" w:space="0" w:color="auto"/>
                        <w:right w:val="none" w:sz="0" w:space="0" w:color="auto"/>
                      </w:divBdr>
                      <w:divsChild>
                        <w:div w:id="906185490">
                          <w:marLeft w:val="0"/>
                          <w:marRight w:val="0"/>
                          <w:marTop w:val="0"/>
                          <w:marBottom w:val="0"/>
                          <w:divBdr>
                            <w:top w:val="none" w:sz="0" w:space="0" w:color="auto"/>
                            <w:left w:val="none" w:sz="0" w:space="0" w:color="auto"/>
                            <w:bottom w:val="none" w:sz="0" w:space="0" w:color="auto"/>
                            <w:right w:val="none" w:sz="0" w:space="0" w:color="auto"/>
                          </w:divBdr>
                        </w:div>
                      </w:divsChild>
                    </w:div>
                    <w:div w:id="2036150225">
                      <w:marLeft w:val="0"/>
                      <w:marRight w:val="0"/>
                      <w:marTop w:val="0"/>
                      <w:marBottom w:val="0"/>
                      <w:divBdr>
                        <w:top w:val="none" w:sz="0" w:space="0" w:color="auto"/>
                        <w:left w:val="none" w:sz="0" w:space="0" w:color="auto"/>
                        <w:bottom w:val="none" w:sz="0" w:space="0" w:color="auto"/>
                        <w:right w:val="none" w:sz="0" w:space="0" w:color="auto"/>
                      </w:divBdr>
                      <w:divsChild>
                        <w:div w:id="1485465891">
                          <w:marLeft w:val="0"/>
                          <w:marRight w:val="0"/>
                          <w:marTop w:val="0"/>
                          <w:marBottom w:val="0"/>
                          <w:divBdr>
                            <w:top w:val="none" w:sz="0" w:space="0" w:color="auto"/>
                            <w:left w:val="none" w:sz="0" w:space="0" w:color="auto"/>
                            <w:bottom w:val="none" w:sz="0" w:space="0" w:color="auto"/>
                            <w:right w:val="none" w:sz="0" w:space="0" w:color="auto"/>
                          </w:divBdr>
                        </w:div>
                      </w:divsChild>
                    </w:div>
                    <w:div w:id="1421372012">
                      <w:marLeft w:val="0"/>
                      <w:marRight w:val="0"/>
                      <w:marTop w:val="0"/>
                      <w:marBottom w:val="0"/>
                      <w:divBdr>
                        <w:top w:val="none" w:sz="0" w:space="0" w:color="auto"/>
                        <w:left w:val="none" w:sz="0" w:space="0" w:color="auto"/>
                        <w:bottom w:val="none" w:sz="0" w:space="0" w:color="auto"/>
                        <w:right w:val="none" w:sz="0" w:space="0" w:color="auto"/>
                      </w:divBdr>
                      <w:divsChild>
                        <w:div w:id="1381785729">
                          <w:marLeft w:val="0"/>
                          <w:marRight w:val="0"/>
                          <w:marTop w:val="0"/>
                          <w:marBottom w:val="0"/>
                          <w:divBdr>
                            <w:top w:val="none" w:sz="0" w:space="0" w:color="auto"/>
                            <w:left w:val="none" w:sz="0" w:space="0" w:color="auto"/>
                            <w:bottom w:val="none" w:sz="0" w:space="0" w:color="auto"/>
                            <w:right w:val="none" w:sz="0" w:space="0" w:color="auto"/>
                          </w:divBdr>
                        </w:div>
                      </w:divsChild>
                    </w:div>
                    <w:div w:id="374426172">
                      <w:marLeft w:val="0"/>
                      <w:marRight w:val="0"/>
                      <w:marTop w:val="0"/>
                      <w:marBottom w:val="0"/>
                      <w:divBdr>
                        <w:top w:val="none" w:sz="0" w:space="0" w:color="auto"/>
                        <w:left w:val="none" w:sz="0" w:space="0" w:color="auto"/>
                        <w:bottom w:val="none" w:sz="0" w:space="0" w:color="auto"/>
                        <w:right w:val="none" w:sz="0" w:space="0" w:color="auto"/>
                      </w:divBdr>
                      <w:divsChild>
                        <w:div w:id="1006900680">
                          <w:marLeft w:val="0"/>
                          <w:marRight w:val="0"/>
                          <w:marTop w:val="0"/>
                          <w:marBottom w:val="0"/>
                          <w:divBdr>
                            <w:top w:val="none" w:sz="0" w:space="0" w:color="auto"/>
                            <w:left w:val="none" w:sz="0" w:space="0" w:color="auto"/>
                            <w:bottom w:val="none" w:sz="0" w:space="0" w:color="auto"/>
                            <w:right w:val="none" w:sz="0" w:space="0" w:color="auto"/>
                          </w:divBdr>
                        </w:div>
                      </w:divsChild>
                    </w:div>
                    <w:div w:id="709299833">
                      <w:marLeft w:val="0"/>
                      <w:marRight w:val="0"/>
                      <w:marTop w:val="0"/>
                      <w:marBottom w:val="0"/>
                      <w:divBdr>
                        <w:top w:val="none" w:sz="0" w:space="0" w:color="auto"/>
                        <w:left w:val="none" w:sz="0" w:space="0" w:color="auto"/>
                        <w:bottom w:val="none" w:sz="0" w:space="0" w:color="auto"/>
                        <w:right w:val="none" w:sz="0" w:space="0" w:color="auto"/>
                      </w:divBdr>
                      <w:divsChild>
                        <w:div w:id="1339770012">
                          <w:marLeft w:val="0"/>
                          <w:marRight w:val="0"/>
                          <w:marTop w:val="0"/>
                          <w:marBottom w:val="0"/>
                          <w:divBdr>
                            <w:top w:val="none" w:sz="0" w:space="0" w:color="auto"/>
                            <w:left w:val="none" w:sz="0" w:space="0" w:color="auto"/>
                            <w:bottom w:val="none" w:sz="0" w:space="0" w:color="auto"/>
                            <w:right w:val="none" w:sz="0" w:space="0" w:color="auto"/>
                          </w:divBdr>
                        </w:div>
                      </w:divsChild>
                    </w:div>
                    <w:div w:id="780493701">
                      <w:marLeft w:val="0"/>
                      <w:marRight w:val="0"/>
                      <w:marTop w:val="0"/>
                      <w:marBottom w:val="0"/>
                      <w:divBdr>
                        <w:top w:val="none" w:sz="0" w:space="0" w:color="auto"/>
                        <w:left w:val="none" w:sz="0" w:space="0" w:color="auto"/>
                        <w:bottom w:val="none" w:sz="0" w:space="0" w:color="auto"/>
                        <w:right w:val="none" w:sz="0" w:space="0" w:color="auto"/>
                      </w:divBdr>
                      <w:divsChild>
                        <w:div w:id="906305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676018">
          <w:marLeft w:val="0"/>
          <w:marRight w:val="0"/>
          <w:marTop w:val="240"/>
          <w:marBottom w:val="240"/>
          <w:divBdr>
            <w:top w:val="none" w:sz="0" w:space="0" w:color="auto"/>
            <w:left w:val="none" w:sz="0" w:space="0" w:color="auto"/>
            <w:bottom w:val="none" w:sz="0" w:space="0" w:color="auto"/>
            <w:right w:val="none" w:sz="0" w:space="0" w:color="auto"/>
          </w:divBdr>
          <w:divsChild>
            <w:div w:id="2036496266">
              <w:marLeft w:val="0"/>
              <w:marRight w:val="0"/>
              <w:marTop w:val="0"/>
              <w:marBottom w:val="240"/>
              <w:divBdr>
                <w:top w:val="none" w:sz="0" w:space="0" w:color="auto"/>
                <w:left w:val="none" w:sz="0" w:space="0" w:color="auto"/>
                <w:bottom w:val="none" w:sz="0" w:space="0" w:color="auto"/>
                <w:right w:val="none" w:sz="0" w:space="0" w:color="auto"/>
              </w:divBdr>
              <w:divsChild>
                <w:div w:id="897713930">
                  <w:marLeft w:val="0"/>
                  <w:marRight w:val="0"/>
                  <w:marTop w:val="0"/>
                  <w:marBottom w:val="0"/>
                  <w:divBdr>
                    <w:top w:val="none" w:sz="0" w:space="0" w:color="auto"/>
                    <w:left w:val="none" w:sz="0" w:space="0" w:color="auto"/>
                    <w:bottom w:val="none" w:sz="0" w:space="0" w:color="auto"/>
                    <w:right w:val="none" w:sz="0" w:space="0" w:color="auto"/>
                  </w:divBdr>
                  <w:divsChild>
                    <w:div w:id="1877891296">
                      <w:marLeft w:val="0"/>
                      <w:marRight w:val="0"/>
                      <w:marTop w:val="0"/>
                      <w:marBottom w:val="0"/>
                      <w:divBdr>
                        <w:top w:val="none" w:sz="0" w:space="0" w:color="auto"/>
                        <w:left w:val="none" w:sz="0" w:space="0" w:color="auto"/>
                        <w:bottom w:val="none" w:sz="0" w:space="0" w:color="auto"/>
                        <w:right w:val="none" w:sz="0" w:space="0" w:color="auto"/>
                      </w:divBdr>
                      <w:divsChild>
                        <w:div w:id="21141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682553">
                  <w:marLeft w:val="0"/>
                  <w:marRight w:val="0"/>
                  <w:marTop w:val="120"/>
                  <w:marBottom w:val="0"/>
                  <w:divBdr>
                    <w:top w:val="none" w:sz="0" w:space="0" w:color="auto"/>
                    <w:left w:val="none" w:sz="0" w:space="0" w:color="auto"/>
                    <w:bottom w:val="none" w:sz="0" w:space="0" w:color="auto"/>
                    <w:right w:val="none" w:sz="0" w:space="0" w:color="auto"/>
                  </w:divBdr>
                  <w:divsChild>
                    <w:div w:id="419301834">
                      <w:marLeft w:val="0"/>
                      <w:marRight w:val="0"/>
                      <w:marTop w:val="0"/>
                      <w:marBottom w:val="0"/>
                      <w:divBdr>
                        <w:top w:val="none" w:sz="0" w:space="0" w:color="auto"/>
                        <w:left w:val="none" w:sz="0" w:space="0" w:color="auto"/>
                        <w:bottom w:val="none" w:sz="0" w:space="0" w:color="auto"/>
                        <w:right w:val="none" w:sz="0" w:space="0" w:color="auto"/>
                      </w:divBdr>
                      <w:divsChild>
                        <w:div w:id="409816747">
                          <w:marLeft w:val="0"/>
                          <w:marRight w:val="120"/>
                          <w:marTop w:val="0"/>
                          <w:marBottom w:val="0"/>
                          <w:divBdr>
                            <w:top w:val="none" w:sz="0" w:space="0" w:color="auto"/>
                            <w:left w:val="none" w:sz="0" w:space="0" w:color="auto"/>
                            <w:bottom w:val="none" w:sz="0" w:space="0" w:color="auto"/>
                            <w:right w:val="none" w:sz="0" w:space="0" w:color="auto"/>
                          </w:divBdr>
                          <w:divsChild>
                            <w:div w:id="2059236374">
                              <w:marLeft w:val="0"/>
                              <w:marRight w:val="0"/>
                              <w:marTop w:val="0"/>
                              <w:marBottom w:val="0"/>
                              <w:divBdr>
                                <w:top w:val="none" w:sz="0" w:space="0" w:color="auto"/>
                                <w:left w:val="none" w:sz="0" w:space="0" w:color="auto"/>
                                <w:bottom w:val="none" w:sz="0" w:space="0" w:color="auto"/>
                                <w:right w:val="none" w:sz="0" w:space="0" w:color="auto"/>
                              </w:divBdr>
                              <w:divsChild>
                                <w:div w:id="1993874764">
                                  <w:marLeft w:val="0"/>
                                  <w:marRight w:val="0"/>
                                  <w:marTop w:val="0"/>
                                  <w:marBottom w:val="0"/>
                                  <w:divBdr>
                                    <w:top w:val="none" w:sz="0" w:space="0" w:color="auto"/>
                                    <w:left w:val="none" w:sz="0" w:space="0" w:color="auto"/>
                                    <w:bottom w:val="none" w:sz="0" w:space="0" w:color="auto"/>
                                    <w:right w:val="none" w:sz="0" w:space="0" w:color="auto"/>
                                  </w:divBdr>
                                  <w:divsChild>
                                    <w:div w:id="10874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13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9357">
                  <w:marLeft w:val="0"/>
                  <w:marRight w:val="0"/>
                  <w:marTop w:val="120"/>
                  <w:marBottom w:val="0"/>
                  <w:divBdr>
                    <w:top w:val="none" w:sz="0" w:space="0" w:color="auto"/>
                    <w:left w:val="none" w:sz="0" w:space="0" w:color="auto"/>
                    <w:bottom w:val="none" w:sz="0" w:space="0" w:color="auto"/>
                    <w:right w:val="none" w:sz="0" w:space="0" w:color="auto"/>
                  </w:divBdr>
                  <w:divsChild>
                    <w:div w:id="1731033364">
                      <w:marLeft w:val="0"/>
                      <w:marRight w:val="0"/>
                      <w:marTop w:val="0"/>
                      <w:marBottom w:val="0"/>
                      <w:divBdr>
                        <w:top w:val="none" w:sz="0" w:space="0" w:color="auto"/>
                        <w:left w:val="none" w:sz="0" w:space="0" w:color="auto"/>
                        <w:bottom w:val="none" w:sz="0" w:space="0" w:color="auto"/>
                        <w:right w:val="none" w:sz="0" w:space="0" w:color="auto"/>
                      </w:divBdr>
                    </w:div>
                  </w:divsChild>
                </w:div>
                <w:div w:id="5353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199446">
          <w:marLeft w:val="0"/>
          <w:marRight w:val="0"/>
          <w:marTop w:val="240"/>
          <w:marBottom w:val="480"/>
          <w:divBdr>
            <w:top w:val="none" w:sz="0" w:space="0" w:color="auto"/>
            <w:left w:val="none" w:sz="0" w:space="0" w:color="auto"/>
            <w:bottom w:val="none" w:sz="0" w:space="0" w:color="auto"/>
            <w:right w:val="none" w:sz="0" w:space="0" w:color="auto"/>
          </w:divBdr>
          <w:divsChild>
            <w:div w:id="1097822655">
              <w:marLeft w:val="0"/>
              <w:marRight w:val="0"/>
              <w:marTop w:val="0"/>
              <w:marBottom w:val="0"/>
              <w:divBdr>
                <w:top w:val="none" w:sz="0" w:space="0" w:color="auto"/>
                <w:left w:val="none" w:sz="0" w:space="0" w:color="auto"/>
                <w:bottom w:val="none" w:sz="0" w:space="0" w:color="auto"/>
                <w:right w:val="none" w:sz="0" w:space="0" w:color="auto"/>
              </w:divBdr>
              <w:divsChild>
                <w:div w:id="502866398">
                  <w:marLeft w:val="0"/>
                  <w:marRight w:val="0"/>
                  <w:marTop w:val="0"/>
                  <w:marBottom w:val="240"/>
                  <w:divBdr>
                    <w:top w:val="none" w:sz="0" w:space="0" w:color="auto"/>
                    <w:left w:val="none" w:sz="0" w:space="0" w:color="auto"/>
                    <w:bottom w:val="none" w:sz="0" w:space="0" w:color="auto"/>
                    <w:right w:val="none" w:sz="0" w:space="0" w:color="auto"/>
                  </w:divBdr>
                </w:div>
                <w:div w:id="1025525079">
                  <w:marLeft w:val="0"/>
                  <w:marRight w:val="0"/>
                  <w:marTop w:val="0"/>
                  <w:marBottom w:val="0"/>
                  <w:divBdr>
                    <w:top w:val="none" w:sz="0" w:space="0" w:color="auto"/>
                    <w:left w:val="none" w:sz="0" w:space="0" w:color="auto"/>
                    <w:bottom w:val="none" w:sz="0" w:space="0" w:color="auto"/>
                    <w:right w:val="none" w:sz="0" w:space="0" w:color="auto"/>
                  </w:divBdr>
                  <w:divsChild>
                    <w:div w:id="82995269">
                      <w:marLeft w:val="0"/>
                      <w:marRight w:val="0"/>
                      <w:marTop w:val="0"/>
                      <w:marBottom w:val="0"/>
                      <w:divBdr>
                        <w:top w:val="none" w:sz="0" w:space="0" w:color="auto"/>
                        <w:left w:val="none" w:sz="0" w:space="0" w:color="auto"/>
                        <w:bottom w:val="none" w:sz="0" w:space="0" w:color="auto"/>
                        <w:right w:val="none" w:sz="0" w:space="0" w:color="auto"/>
                      </w:divBdr>
                      <w:divsChild>
                        <w:div w:id="1465805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4121601">
          <w:marLeft w:val="0"/>
          <w:marRight w:val="0"/>
          <w:marTop w:val="480"/>
          <w:marBottom w:val="480"/>
          <w:divBdr>
            <w:top w:val="none" w:sz="0" w:space="0" w:color="auto"/>
            <w:left w:val="none" w:sz="0" w:space="0" w:color="auto"/>
            <w:bottom w:val="none" w:sz="0" w:space="0" w:color="auto"/>
            <w:right w:val="none" w:sz="0" w:space="0" w:color="auto"/>
          </w:divBdr>
          <w:divsChild>
            <w:div w:id="719480504">
              <w:marLeft w:val="0"/>
              <w:marRight w:val="0"/>
              <w:marTop w:val="0"/>
              <w:marBottom w:val="0"/>
              <w:divBdr>
                <w:top w:val="none" w:sz="0" w:space="0" w:color="auto"/>
                <w:left w:val="none" w:sz="0" w:space="0" w:color="auto"/>
                <w:bottom w:val="none" w:sz="0" w:space="0" w:color="auto"/>
                <w:right w:val="none" w:sz="0" w:space="0" w:color="auto"/>
              </w:divBdr>
              <w:divsChild>
                <w:div w:id="1726023074">
                  <w:marLeft w:val="0"/>
                  <w:marRight w:val="480"/>
                  <w:marTop w:val="0"/>
                  <w:marBottom w:val="0"/>
                  <w:divBdr>
                    <w:top w:val="none" w:sz="0" w:space="0" w:color="auto"/>
                    <w:left w:val="none" w:sz="0" w:space="0" w:color="auto"/>
                    <w:bottom w:val="none" w:sz="0" w:space="0" w:color="auto"/>
                    <w:right w:val="none" w:sz="0" w:space="0" w:color="auto"/>
                  </w:divBdr>
                  <w:divsChild>
                    <w:div w:id="1127622751">
                      <w:marLeft w:val="0"/>
                      <w:marRight w:val="0"/>
                      <w:marTop w:val="0"/>
                      <w:marBottom w:val="0"/>
                      <w:divBdr>
                        <w:top w:val="none" w:sz="0" w:space="0" w:color="auto"/>
                        <w:left w:val="none" w:sz="0" w:space="0" w:color="auto"/>
                        <w:bottom w:val="none" w:sz="0" w:space="0" w:color="auto"/>
                        <w:right w:val="none" w:sz="0" w:space="0" w:color="auto"/>
                      </w:divBdr>
                      <w:divsChild>
                        <w:div w:id="214037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7917757">
          <w:marLeft w:val="0"/>
          <w:marRight w:val="0"/>
          <w:marTop w:val="480"/>
          <w:marBottom w:val="480"/>
          <w:divBdr>
            <w:top w:val="none" w:sz="0" w:space="0" w:color="auto"/>
            <w:left w:val="none" w:sz="0" w:space="0" w:color="auto"/>
            <w:bottom w:val="none" w:sz="0" w:space="0" w:color="auto"/>
            <w:right w:val="none" w:sz="0" w:space="0" w:color="auto"/>
          </w:divBdr>
          <w:divsChild>
            <w:div w:id="645167049">
              <w:marLeft w:val="0"/>
              <w:marRight w:val="0"/>
              <w:marTop w:val="0"/>
              <w:marBottom w:val="0"/>
              <w:divBdr>
                <w:top w:val="none" w:sz="0" w:space="0" w:color="auto"/>
                <w:left w:val="none" w:sz="0" w:space="0" w:color="auto"/>
                <w:bottom w:val="none" w:sz="0" w:space="0" w:color="auto"/>
                <w:right w:val="none" w:sz="0" w:space="0" w:color="auto"/>
              </w:divBdr>
              <w:divsChild>
                <w:div w:id="470052229">
                  <w:marLeft w:val="0"/>
                  <w:marRight w:val="0"/>
                  <w:marTop w:val="0"/>
                  <w:marBottom w:val="0"/>
                  <w:divBdr>
                    <w:top w:val="none" w:sz="0" w:space="0" w:color="auto"/>
                    <w:left w:val="none" w:sz="0" w:space="0" w:color="auto"/>
                    <w:bottom w:val="none" w:sz="0" w:space="0" w:color="auto"/>
                    <w:right w:val="none" w:sz="0" w:space="0" w:color="auto"/>
                  </w:divBdr>
                </w:div>
              </w:divsChild>
            </w:div>
            <w:div w:id="1734813070">
              <w:marLeft w:val="240"/>
              <w:marRight w:val="0"/>
              <w:marTop w:val="0"/>
              <w:marBottom w:val="0"/>
              <w:divBdr>
                <w:top w:val="none" w:sz="0" w:space="0" w:color="auto"/>
                <w:left w:val="none" w:sz="0" w:space="0" w:color="auto"/>
                <w:bottom w:val="none" w:sz="0" w:space="0" w:color="auto"/>
                <w:right w:val="none" w:sz="0" w:space="0" w:color="auto"/>
              </w:divBdr>
              <w:divsChild>
                <w:div w:id="924344834">
                  <w:marLeft w:val="0"/>
                  <w:marRight w:val="0"/>
                  <w:marTop w:val="0"/>
                  <w:marBottom w:val="120"/>
                  <w:divBdr>
                    <w:top w:val="none" w:sz="0" w:space="0" w:color="auto"/>
                    <w:left w:val="none" w:sz="0" w:space="0" w:color="auto"/>
                    <w:bottom w:val="none" w:sz="0" w:space="0" w:color="auto"/>
                    <w:right w:val="none" w:sz="0" w:space="0" w:color="auto"/>
                  </w:divBdr>
                  <w:divsChild>
                    <w:div w:id="196620783">
                      <w:marLeft w:val="0"/>
                      <w:marRight w:val="0"/>
                      <w:marTop w:val="0"/>
                      <w:marBottom w:val="0"/>
                      <w:divBdr>
                        <w:top w:val="none" w:sz="0" w:space="0" w:color="auto"/>
                        <w:left w:val="none" w:sz="0" w:space="0" w:color="auto"/>
                        <w:bottom w:val="none" w:sz="0" w:space="0" w:color="auto"/>
                        <w:right w:val="none" w:sz="0" w:space="0" w:color="auto"/>
                      </w:divBdr>
                    </w:div>
                    <w:div w:id="809328885">
                      <w:marLeft w:val="240"/>
                      <w:marRight w:val="0"/>
                      <w:marTop w:val="0"/>
                      <w:marBottom w:val="0"/>
                      <w:divBdr>
                        <w:top w:val="none" w:sz="0" w:space="0" w:color="auto"/>
                        <w:left w:val="none" w:sz="0" w:space="0" w:color="auto"/>
                        <w:bottom w:val="none" w:sz="0" w:space="0" w:color="auto"/>
                        <w:right w:val="none" w:sz="0" w:space="0" w:color="auto"/>
                      </w:divBdr>
                      <w:divsChild>
                        <w:div w:id="107704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201407">
                  <w:marLeft w:val="0"/>
                  <w:marRight w:val="0"/>
                  <w:marTop w:val="0"/>
                  <w:marBottom w:val="0"/>
                  <w:divBdr>
                    <w:top w:val="none" w:sz="0" w:space="0" w:color="auto"/>
                    <w:left w:val="none" w:sz="0" w:space="0" w:color="auto"/>
                    <w:bottom w:val="none" w:sz="0" w:space="0" w:color="auto"/>
                    <w:right w:val="none" w:sz="0" w:space="0" w:color="auto"/>
                  </w:divBdr>
                  <w:divsChild>
                    <w:div w:id="1900747566">
                      <w:marLeft w:val="0"/>
                      <w:marRight w:val="0"/>
                      <w:marTop w:val="0"/>
                      <w:marBottom w:val="0"/>
                      <w:divBdr>
                        <w:top w:val="none" w:sz="0" w:space="0" w:color="auto"/>
                        <w:left w:val="none" w:sz="0" w:space="0" w:color="auto"/>
                        <w:bottom w:val="none" w:sz="0" w:space="0" w:color="auto"/>
                        <w:right w:val="none" w:sz="0" w:space="0" w:color="auto"/>
                      </w:divBdr>
                      <w:divsChild>
                        <w:div w:id="2112042217">
                          <w:marLeft w:val="0"/>
                          <w:marRight w:val="0"/>
                          <w:marTop w:val="0"/>
                          <w:marBottom w:val="120"/>
                          <w:divBdr>
                            <w:top w:val="none" w:sz="0" w:space="0" w:color="auto"/>
                            <w:left w:val="none" w:sz="0" w:space="0" w:color="auto"/>
                            <w:bottom w:val="none" w:sz="0" w:space="0" w:color="auto"/>
                            <w:right w:val="none" w:sz="0" w:space="0" w:color="auto"/>
                          </w:divBdr>
                        </w:div>
                        <w:div w:id="296767226">
                          <w:marLeft w:val="0"/>
                          <w:marRight w:val="0"/>
                          <w:marTop w:val="0"/>
                          <w:marBottom w:val="0"/>
                          <w:divBdr>
                            <w:top w:val="none" w:sz="0" w:space="0" w:color="auto"/>
                            <w:left w:val="none" w:sz="0" w:space="0" w:color="auto"/>
                            <w:bottom w:val="none" w:sz="0" w:space="0" w:color="auto"/>
                            <w:right w:val="none" w:sz="0" w:space="0" w:color="auto"/>
                          </w:divBdr>
                          <w:divsChild>
                            <w:div w:id="1166823940">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906206">
          <w:marLeft w:val="0"/>
          <w:marRight w:val="0"/>
          <w:marTop w:val="480"/>
          <w:marBottom w:val="480"/>
          <w:divBdr>
            <w:top w:val="none" w:sz="0" w:space="0" w:color="auto"/>
            <w:left w:val="none" w:sz="0" w:space="0" w:color="auto"/>
            <w:bottom w:val="none" w:sz="0" w:space="0" w:color="auto"/>
            <w:right w:val="none" w:sz="0" w:space="0" w:color="auto"/>
          </w:divBdr>
          <w:divsChild>
            <w:div w:id="1972133776">
              <w:marLeft w:val="0"/>
              <w:marRight w:val="0"/>
              <w:marTop w:val="0"/>
              <w:marBottom w:val="0"/>
              <w:divBdr>
                <w:top w:val="none" w:sz="0" w:space="0" w:color="auto"/>
                <w:left w:val="none" w:sz="0" w:space="0" w:color="auto"/>
                <w:bottom w:val="none" w:sz="0" w:space="0" w:color="auto"/>
                <w:right w:val="none" w:sz="0" w:space="0" w:color="auto"/>
              </w:divBdr>
              <w:divsChild>
                <w:div w:id="1098403950">
                  <w:marLeft w:val="0"/>
                  <w:marRight w:val="0"/>
                  <w:marTop w:val="0"/>
                  <w:marBottom w:val="0"/>
                  <w:divBdr>
                    <w:top w:val="none" w:sz="0" w:space="0" w:color="auto"/>
                    <w:left w:val="none" w:sz="0" w:space="0" w:color="auto"/>
                    <w:bottom w:val="none" w:sz="0" w:space="0" w:color="auto"/>
                    <w:right w:val="none" w:sz="0" w:space="0" w:color="auto"/>
                  </w:divBdr>
                  <w:divsChild>
                    <w:div w:id="1273394786">
                      <w:marLeft w:val="0"/>
                      <w:marRight w:val="0"/>
                      <w:marTop w:val="0"/>
                      <w:marBottom w:val="0"/>
                      <w:divBdr>
                        <w:top w:val="none" w:sz="0" w:space="0" w:color="auto"/>
                        <w:left w:val="none" w:sz="0" w:space="0" w:color="auto"/>
                        <w:bottom w:val="none" w:sz="0" w:space="0" w:color="auto"/>
                        <w:right w:val="none" w:sz="0" w:space="0" w:color="auto"/>
                      </w:divBdr>
                      <w:divsChild>
                        <w:div w:id="905334851">
                          <w:marLeft w:val="0"/>
                          <w:marRight w:val="0"/>
                          <w:marTop w:val="0"/>
                          <w:marBottom w:val="0"/>
                          <w:divBdr>
                            <w:top w:val="none" w:sz="0" w:space="0" w:color="auto"/>
                            <w:left w:val="none" w:sz="0" w:space="0" w:color="auto"/>
                            <w:bottom w:val="none" w:sz="0" w:space="0" w:color="auto"/>
                            <w:right w:val="none" w:sz="0" w:space="0" w:color="auto"/>
                          </w:divBdr>
                          <w:divsChild>
                            <w:div w:id="1321033619">
                              <w:marLeft w:val="0"/>
                              <w:marRight w:val="0"/>
                              <w:marTop w:val="60"/>
                              <w:marBottom w:val="0"/>
                              <w:divBdr>
                                <w:top w:val="none" w:sz="0" w:space="0" w:color="auto"/>
                                <w:left w:val="none" w:sz="0" w:space="0" w:color="auto"/>
                                <w:bottom w:val="none" w:sz="0" w:space="0" w:color="auto"/>
                                <w:right w:val="none" w:sz="0" w:space="0" w:color="auto"/>
                              </w:divBdr>
                              <w:divsChild>
                                <w:div w:id="1508861997">
                                  <w:marLeft w:val="0"/>
                                  <w:marRight w:val="120"/>
                                  <w:marTop w:val="0"/>
                                  <w:marBottom w:val="0"/>
                                  <w:divBdr>
                                    <w:top w:val="none" w:sz="0" w:space="0" w:color="auto"/>
                                    <w:left w:val="none" w:sz="0" w:space="0" w:color="auto"/>
                                    <w:bottom w:val="none" w:sz="0" w:space="0" w:color="auto"/>
                                    <w:right w:val="none" w:sz="0" w:space="0" w:color="auto"/>
                                  </w:divBdr>
                                </w:div>
                                <w:div w:id="9362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561074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477110479">
                  <w:marLeft w:val="0"/>
                  <w:marRight w:val="0"/>
                  <w:marTop w:val="0"/>
                  <w:marBottom w:val="0"/>
                  <w:divBdr>
                    <w:top w:val="none" w:sz="0" w:space="0" w:color="auto"/>
                    <w:left w:val="none" w:sz="0" w:space="0" w:color="auto"/>
                    <w:bottom w:val="none" w:sz="0" w:space="0" w:color="auto"/>
                    <w:right w:val="none" w:sz="0" w:space="0" w:color="auto"/>
                  </w:divBdr>
                  <w:divsChild>
                    <w:div w:id="1005284901">
                      <w:marLeft w:val="0"/>
                      <w:marRight w:val="0"/>
                      <w:marTop w:val="0"/>
                      <w:marBottom w:val="0"/>
                      <w:divBdr>
                        <w:top w:val="none" w:sz="0" w:space="0" w:color="auto"/>
                        <w:left w:val="none" w:sz="0" w:space="0" w:color="auto"/>
                        <w:bottom w:val="none" w:sz="0" w:space="0" w:color="auto"/>
                        <w:right w:val="none" w:sz="0" w:space="0" w:color="auto"/>
                      </w:divBdr>
                      <w:divsChild>
                        <w:div w:id="1251769437">
                          <w:marLeft w:val="0"/>
                          <w:marRight w:val="0"/>
                          <w:marTop w:val="0"/>
                          <w:marBottom w:val="0"/>
                          <w:divBdr>
                            <w:top w:val="none" w:sz="0" w:space="0" w:color="auto"/>
                            <w:left w:val="none" w:sz="0" w:space="0" w:color="auto"/>
                            <w:bottom w:val="none" w:sz="0" w:space="0" w:color="auto"/>
                            <w:right w:val="none" w:sz="0" w:space="0" w:color="auto"/>
                          </w:divBdr>
                          <w:divsChild>
                            <w:div w:id="696348495">
                              <w:marLeft w:val="0"/>
                              <w:marRight w:val="0"/>
                              <w:marTop w:val="60"/>
                              <w:marBottom w:val="0"/>
                              <w:divBdr>
                                <w:top w:val="none" w:sz="0" w:space="0" w:color="auto"/>
                                <w:left w:val="none" w:sz="0" w:space="0" w:color="auto"/>
                                <w:bottom w:val="none" w:sz="0" w:space="0" w:color="auto"/>
                                <w:right w:val="none" w:sz="0" w:space="0" w:color="auto"/>
                              </w:divBdr>
                              <w:divsChild>
                                <w:div w:id="780101931">
                                  <w:marLeft w:val="0"/>
                                  <w:marRight w:val="120"/>
                                  <w:marTop w:val="0"/>
                                  <w:marBottom w:val="0"/>
                                  <w:divBdr>
                                    <w:top w:val="none" w:sz="0" w:space="0" w:color="auto"/>
                                    <w:left w:val="none" w:sz="0" w:space="0" w:color="auto"/>
                                    <w:bottom w:val="none" w:sz="0" w:space="0" w:color="auto"/>
                                    <w:right w:val="none" w:sz="0" w:space="0" w:color="auto"/>
                                  </w:divBdr>
                                </w:div>
                                <w:div w:id="11627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99095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11686014">
                  <w:marLeft w:val="0"/>
                  <w:marRight w:val="0"/>
                  <w:marTop w:val="0"/>
                  <w:marBottom w:val="0"/>
                  <w:divBdr>
                    <w:top w:val="none" w:sz="0" w:space="0" w:color="auto"/>
                    <w:left w:val="none" w:sz="0" w:space="0" w:color="auto"/>
                    <w:bottom w:val="none" w:sz="0" w:space="0" w:color="auto"/>
                    <w:right w:val="none" w:sz="0" w:space="0" w:color="auto"/>
                  </w:divBdr>
                  <w:divsChild>
                    <w:div w:id="1705249921">
                      <w:marLeft w:val="0"/>
                      <w:marRight w:val="0"/>
                      <w:marTop w:val="0"/>
                      <w:marBottom w:val="0"/>
                      <w:divBdr>
                        <w:top w:val="none" w:sz="0" w:space="0" w:color="auto"/>
                        <w:left w:val="none" w:sz="0" w:space="0" w:color="auto"/>
                        <w:bottom w:val="none" w:sz="0" w:space="0" w:color="auto"/>
                        <w:right w:val="none" w:sz="0" w:space="0" w:color="auto"/>
                      </w:divBdr>
                      <w:divsChild>
                        <w:div w:id="1487744629">
                          <w:marLeft w:val="0"/>
                          <w:marRight w:val="0"/>
                          <w:marTop w:val="0"/>
                          <w:marBottom w:val="0"/>
                          <w:divBdr>
                            <w:top w:val="none" w:sz="0" w:space="0" w:color="auto"/>
                            <w:left w:val="none" w:sz="0" w:space="0" w:color="auto"/>
                            <w:bottom w:val="none" w:sz="0" w:space="0" w:color="auto"/>
                            <w:right w:val="none" w:sz="0" w:space="0" w:color="auto"/>
                          </w:divBdr>
                          <w:divsChild>
                            <w:div w:id="1277563741">
                              <w:marLeft w:val="0"/>
                              <w:marRight w:val="0"/>
                              <w:marTop w:val="60"/>
                              <w:marBottom w:val="0"/>
                              <w:divBdr>
                                <w:top w:val="none" w:sz="0" w:space="0" w:color="auto"/>
                                <w:left w:val="none" w:sz="0" w:space="0" w:color="auto"/>
                                <w:bottom w:val="none" w:sz="0" w:space="0" w:color="auto"/>
                                <w:right w:val="none" w:sz="0" w:space="0" w:color="auto"/>
                              </w:divBdr>
                              <w:divsChild>
                                <w:div w:id="681394230">
                                  <w:marLeft w:val="0"/>
                                  <w:marRight w:val="120"/>
                                  <w:marTop w:val="0"/>
                                  <w:marBottom w:val="0"/>
                                  <w:divBdr>
                                    <w:top w:val="none" w:sz="0" w:space="0" w:color="auto"/>
                                    <w:left w:val="none" w:sz="0" w:space="0" w:color="auto"/>
                                    <w:bottom w:val="none" w:sz="0" w:space="0" w:color="auto"/>
                                    <w:right w:val="none" w:sz="0" w:space="0" w:color="auto"/>
                                  </w:divBdr>
                                </w:div>
                                <w:div w:id="175651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1776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775761">
          <w:marLeft w:val="0"/>
          <w:marRight w:val="0"/>
          <w:marTop w:val="480"/>
          <w:marBottom w:val="480"/>
          <w:divBdr>
            <w:top w:val="none" w:sz="0" w:space="0" w:color="auto"/>
            <w:left w:val="none" w:sz="0" w:space="0" w:color="auto"/>
            <w:bottom w:val="none" w:sz="0" w:space="0" w:color="auto"/>
            <w:right w:val="none" w:sz="0" w:space="0" w:color="auto"/>
          </w:divBdr>
          <w:divsChild>
            <w:div w:id="147404653">
              <w:marLeft w:val="0"/>
              <w:marRight w:val="0"/>
              <w:marTop w:val="0"/>
              <w:marBottom w:val="0"/>
              <w:divBdr>
                <w:top w:val="none" w:sz="0" w:space="0" w:color="auto"/>
                <w:left w:val="none" w:sz="0" w:space="0" w:color="auto"/>
                <w:bottom w:val="none" w:sz="0" w:space="0" w:color="auto"/>
                <w:right w:val="none" w:sz="0" w:space="0" w:color="auto"/>
              </w:divBdr>
              <w:divsChild>
                <w:div w:id="1483428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038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D5A55-6A1E-4861-96E3-1CB576837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1867</TotalTime>
  <Pages>7</Pages>
  <Words>745</Words>
  <Characters>4248</Characters>
  <Application>Microsoft Office Word</Application>
  <DocSecurity>0</DocSecurity>
  <Lines>35</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西村 翼</dc:creator>
  <cp:keywords/>
  <dc:description/>
  <cp:lastModifiedBy>西村 翼</cp:lastModifiedBy>
  <cp:revision>184</cp:revision>
  <dcterms:created xsi:type="dcterms:W3CDTF">2023-04-01T11:50:00Z</dcterms:created>
  <dcterms:modified xsi:type="dcterms:W3CDTF">2023-04-24T13:37:00Z</dcterms:modified>
</cp:coreProperties>
</file>