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04888" w14:textId="0F65546D" w:rsidR="00795011" w:rsidRPr="00F21951" w:rsidRDefault="00B13E29" w:rsidP="00A5389E">
      <w:pPr>
        <w:pStyle w:val="4"/>
        <w:rPr>
          <w:sz w:val="32"/>
          <w:szCs w:val="21"/>
        </w:rPr>
      </w:pPr>
      <w:r>
        <w:rPr>
          <w:rFonts w:hint="eastAsia"/>
          <w:sz w:val="32"/>
          <w:szCs w:val="21"/>
        </w:rPr>
        <w:t>ファイナンスの統計モデルと実証分析</w:t>
      </w:r>
    </w:p>
    <w:p w14:paraId="14593744" w14:textId="4CFF3F00" w:rsidR="00E1138D" w:rsidRDefault="00E1138D" w:rsidP="00E1138D">
      <w:pPr>
        <w:jc w:val="right"/>
      </w:pPr>
      <w:r>
        <w:t>2020年12月14日</w:t>
      </w:r>
    </w:p>
    <w:p w14:paraId="7720CDD8" w14:textId="4085D86C" w:rsidR="00F21951" w:rsidRDefault="00F21951" w:rsidP="00F21951"/>
    <w:p w14:paraId="69CC71F0" w14:textId="0916E2F2" w:rsidR="00F21951" w:rsidRDefault="00B13E29" w:rsidP="00F21951">
      <w:r>
        <w:rPr>
          <w:rFonts w:hint="eastAsia"/>
        </w:rPr>
        <w:t>【問3</w:t>
      </w:r>
      <w:r>
        <w:t>.2</w:t>
      </w:r>
      <w:r>
        <w:rPr>
          <w:rFonts w:hint="eastAsia"/>
        </w:rPr>
        <w:t>】</w:t>
      </w:r>
    </w:p>
    <w:p w14:paraId="4E0D221A" w14:textId="3049EE89" w:rsidR="00B13E29" w:rsidRDefault="00B13E29" w:rsidP="00F21951">
      <w:r>
        <w:rPr>
          <w:rFonts w:hint="eastAsia"/>
        </w:rPr>
        <w:t>ヘッジファンドの運用報酬は</w:t>
      </w:r>
      <w:r w:rsidR="00477554">
        <w:rPr>
          <w:rFonts w:hint="eastAsia"/>
        </w:rPr>
        <w:t>，固定報酬（例えば，預かり資産残高の1～</w:t>
      </w:r>
      <w:r w:rsidR="00477554">
        <w:t>3%</w:t>
      </w:r>
      <w:r w:rsidR="00477554">
        <w:rPr>
          <w:rFonts w:hint="eastAsia"/>
        </w:rPr>
        <w:t>）と成功報酬（例えば，運用収益の2</w:t>
      </w:r>
      <w:r w:rsidR="00477554">
        <w:t>0%</w:t>
      </w:r>
      <w:r w:rsidR="00477554">
        <w:rPr>
          <w:rFonts w:hint="eastAsia"/>
        </w:rPr>
        <w:t>）</w:t>
      </w:r>
      <w:r w:rsidR="00EF7EDE">
        <w:rPr>
          <w:rFonts w:hint="eastAsia"/>
        </w:rPr>
        <w:t>の組み合わせになっていることが多い．こうした報酬体系の場合，レバレッジを利用しながらディープ・</w:t>
      </w:r>
      <w:r w:rsidR="00F33A68">
        <w:rPr>
          <w:rFonts w:hint="eastAsia"/>
        </w:rPr>
        <w:t>アウト</w:t>
      </w:r>
      <w:r w:rsidR="002C1FB9">
        <w:rPr>
          <w:rFonts w:hint="eastAsia"/>
        </w:rPr>
        <w:t>・</w:t>
      </w:r>
      <w:r w:rsidR="00F33A68">
        <w:rPr>
          <w:rFonts w:hint="eastAsia"/>
        </w:rPr>
        <w:t>オブ</w:t>
      </w:r>
      <w:r w:rsidR="002C1FB9">
        <w:rPr>
          <w:rFonts w:hint="eastAsia"/>
        </w:rPr>
        <w:t>・</w:t>
      </w:r>
      <w:r w:rsidR="00F33A68">
        <w:rPr>
          <w:rFonts w:hint="eastAsia"/>
        </w:rPr>
        <w:t>ザ</w:t>
      </w:r>
      <w:r w:rsidR="002C1FB9">
        <w:rPr>
          <w:rFonts w:hint="eastAsia"/>
        </w:rPr>
        <w:t>・</w:t>
      </w:r>
      <w:r w:rsidR="00F33A68">
        <w:rPr>
          <w:rFonts w:hint="eastAsia"/>
        </w:rPr>
        <w:t>マネーのオプションを売る戦略（もしくはそれを複製するような戦略）をとるインセンティブ</w:t>
      </w:r>
      <w:r w:rsidR="00C74741">
        <w:rPr>
          <w:rFonts w:hint="eastAsia"/>
        </w:rPr>
        <w:t>が働く．その理由を考えよ．</w:t>
      </w:r>
    </w:p>
    <w:p w14:paraId="19FE6DB2" w14:textId="370CE852" w:rsidR="00C74741" w:rsidRDefault="00C74741" w:rsidP="00F21951"/>
    <w:p w14:paraId="0539694F" w14:textId="5A03B945" w:rsidR="00C74741" w:rsidRDefault="00C74741" w:rsidP="00F21951">
      <w:r>
        <w:rPr>
          <w:rFonts w:hint="eastAsia"/>
        </w:rPr>
        <w:t>≪</w:t>
      </w:r>
      <w:r w:rsidR="00C42569">
        <w:rPr>
          <w:rFonts w:hint="eastAsia"/>
        </w:rPr>
        <w:t>語句</w:t>
      </w:r>
      <w:r>
        <w:rPr>
          <w:rFonts w:hint="eastAsia"/>
        </w:rPr>
        <w:t>整理≫</w:t>
      </w:r>
    </w:p>
    <w:p w14:paraId="093BBEA0" w14:textId="3EE414FD" w:rsidR="00B429A7" w:rsidRDefault="008061A7" w:rsidP="00B12785">
      <w:pPr>
        <w:pStyle w:val="a7"/>
        <w:numPr>
          <w:ilvl w:val="0"/>
          <w:numId w:val="7"/>
        </w:numPr>
        <w:ind w:leftChars="0"/>
      </w:pPr>
      <w:r>
        <w:rPr>
          <w:rFonts w:hint="eastAsia"/>
        </w:rPr>
        <w:t>レバレッジ</w:t>
      </w:r>
    </w:p>
    <w:p w14:paraId="1089694C" w14:textId="0F96049D" w:rsidR="00C74741" w:rsidRDefault="000C6592" w:rsidP="00F21951">
      <w:r w:rsidRPr="000C6592">
        <w:rPr>
          <w:rFonts w:ascii="Arial" w:hAnsi="Arial" w:cs="Arial" w:hint="eastAsia"/>
          <w:color w:val="202124"/>
          <w:shd w:val="clear" w:color="auto" w:fill="FFFFFF"/>
        </w:rPr>
        <w:t>預け入れた証拠金を担保にして</w:t>
      </w:r>
      <w:r>
        <w:rPr>
          <w:rFonts w:ascii="Arial" w:hAnsi="Arial" w:cs="Arial" w:hint="eastAsia"/>
          <w:color w:val="202124"/>
          <w:shd w:val="clear" w:color="auto" w:fill="FFFFFF"/>
        </w:rPr>
        <w:t>，</w:t>
      </w:r>
      <w:r w:rsidRPr="000C6592">
        <w:rPr>
          <w:rFonts w:ascii="Arial" w:hAnsi="Arial" w:cs="Arial" w:hint="eastAsia"/>
          <w:color w:val="202124"/>
          <w:shd w:val="clear" w:color="auto" w:fill="FFFFFF"/>
        </w:rPr>
        <w:t>その何倍もの金額の取引ができる仕組みのことを</w:t>
      </w:r>
      <w:r>
        <w:rPr>
          <w:rFonts w:ascii="Arial" w:hAnsi="Arial" w:cs="Arial" w:hint="eastAsia"/>
          <w:color w:val="202124"/>
          <w:shd w:val="clear" w:color="auto" w:fill="FFFFFF"/>
        </w:rPr>
        <w:t>言う</w:t>
      </w:r>
      <w:r w:rsidR="00651E81">
        <w:rPr>
          <w:rFonts w:ascii="Arial" w:hAnsi="Arial" w:cs="Arial" w:hint="eastAsia"/>
          <w:color w:val="202124"/>
          <w:shd w:val="clear" w:color="auto" w:fill="FFFFFF"/>
        </w:rPr>
        <w:t>．</w:t>
      </w:r>
      <w:r w:rsidR="00651E81">
        <w:rPr>
          <w:rFonts w:ascii="Arial" w:hAnsi="Arial" w:cs="Arial"/>
          <w:color w:val="202124"/>
          <w:shd w:val="clear" w:color="auto" w:fill="FFFFFF"/>
        </w:rPr>
        <w:t>原義は「てこ（レバー</w:t>
      </w:r>
      <w:r w:rsidR="00651E81">
        <w:rPr>
          <w:rFonts w:ascii="Arial" w:hAnsi="Arial" w:cs="Arial" w:hint="eastAsia"/>
          <w:color w:val="202124"/>
          <w:shd w:val="clear" w:color="auto" w:fill="FFFFFF"/>
        </w:rPr>
        <w:t>，</w:t>
      </w:r>
      <w:r w:rsidR="00651E81">
        <w:rPr>
          <w:rFonts w:ascii="Arial" w:hAnsi="Arial" w:cs="Arial"/>
          <w:color w:val="202124"/>
          <w:shd w:val="clear" w:color="auto" w:fill="FFFFFF"/>
        </w:rPr>
        <w:t>lever</w:t>
      </w:r>
      <w:r w:rsidR="00651E81">
        <w:rPr>
          <w:rFonts w:ascii="Arial" w:hAnsi="Arial" w:cs="Arial"/>
          <w:color w:val="202124"/>
          <w:shd w:val="clear" w:color="auto" w:fill="FFFFFF"/>
        </w:rPr>
        <w:t>）の作用」</w:t>
      </w:r>
      <w:r w:rsidR="00651E81">
        <w:rPr>
          <w:rFonts w:ascii="Arial" w:hAnsi="Arial" w:cs="Arial" w:hint="eastAsia"/>
          <w:color w:val="202124"/>
          <w:shd w:val="clear" w:color="auto" w:fill="FFFFFF"/>
        </w:rPr>
        <w:t>．</w:t>
      </w:r>
    </w:p>
    <w:p w14:paraId="6BF818AC" w14:textId="7F08E2F8" w:rsidR="00C74741" w:rsidRDefault="00B429A7" w:rsidP="00B429A7">
      <w:r>
        <w:rPr>
          <w:rFonts w:hint="eastAsia"/>
        </w:rPr>
        <w:t>例えば，外貨預金で</w:t>
      </w:r>
      <w:r>
        <w:t>1万米ドルを購入しようとした場合は</w:t>
      </w:r>
      <w:r>
        <w:rPr>
          <w:rFonts w:hint="eastAsia"/>
        </w:rPr>
        <w:t>，</w:t>
      </w:r>
      <w:r>
        <w:t>100万円が必要となります。（1米ドル100円で計算）</w:t>
      </w:r>
      <w:r>
        <w:rPr>
          <w:rFonts w:hint="eastAsia"/>
        </w:rPr>
        <w:t>．しかし，</w:t>
      </w:r>
      <w:r>
        <w:t>FXではレバレッジという仕組みがあるため</w:t>
      </w:r>
      <w:r>
        <w:rPr>
          <w:rFonts w:hint="eastAsia"/>
        </w:rPr>
        <w:t>，</w:t>
      </w:r>
      <w:r>
        <w:t>「取引をするための証拠金」である最低4万円の証拠金を預け入れることで</w:t>
      </w:r>
      <w:r>
        <w:rPr>
          <w:rFonts w:hint="eastAsia"/>
        </w:rPr>
        <w:t>，</w:t>
      </w:r>
      <w:r>
        <w:t>同額の1万米ドルを買うことができる</w:t>
      </w:r>
      <w:r>
        <w:rPr>
          <w:rFonts w:hint="eastAsia"/>
        </w:rPr>
        <w:t>．</w:t>
      </w:r>
      <w:r>
        <w:t>（「レバレッジ25倍」の場合）</w:t>
      </w:r>
    </w:p>
    <w:p w14:paraId="33CD5CC0" w14:textId="697445C6" w:rsidR="00B429A7" w:rsidRDefault="00C42569" w:rsidP="009505EF">
      <w:pPr>
        <w:jc w:val="center"/>
      </w:pPr>
      <w:r>
        <w:rPr>
          <w:noProof/>
        </w:rPr>
        <w:drawing>
          <wp:inline distT="0" distB="0" distL="0" distR="0" wp14:anchorId="6664B82C" wp14:editId="50446E24">
            <wp:extent cx="6013450" cy="2202135"/>
            <wp:effectExtent l="0" t="0" r="6350" b="8255"/>
            <wp:docPr id="3" name="図 3" descr="例：1万米ドルを買う時に必要な最低資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例：1万米ドルを買う時に必要な最低資金"/>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031" cy="2203080"/>
                    </a:xfrm>
                    <a:prstGeom prst="rect">
                      <a:avLst/>
                    </a:prstGeom>
                    <a:noFill/>
                    <a:ln>
                      <a:noFill/>
                    </a:ln>
                  </pic:spPr>
                </pic:pic>
              </a:graphicData>
            </a:graphic>
          </wp:inline>
        </w:drawing>
      </w:r>
    </w:p>
    <w:p w14:paraId="59F382D6" w14:textId="05DE817F" w:rsidR="00B429A7" w:rsidRDefault="00B429A7" w:rsidP="00F21951"/>
    <w:p w14:paraId="441AAB6B" w14:textId="1E6AB881" w:rsidR="00CF2A22" w:rsidRDefault="0098698C" w:rsidP="00B12785">
      <w:pPr>
        <w:pStyle w:val="a7"/>
        <w:numPr>
          <w:ilvl w:val="0"/>
          <w:numId w:val="7"/>
        </w:numPr>
        <w:ind w:leftChars="0"/>
      </w:pPr>
      <w:r>
        <w:rPr>
          <w:rFonts w:hint="eastAsia"/>
        </w:rPr>
        <w:t>ディープ・アウト</w:t>
      </w:r>
      <w:r w:rsidR="005A59A0">
        <w:rPr>
          <w:rFonts w:hint="eastAsia"/>
        </w:rPr>
        <w:t>・</w:t>
      </w:r>
      <w:r>
        <w:rPr>
          <w:rFonts w:hint="eastAsia"/>
        </w:rPr>
        <w:t>オブ</w:t>
      </w:r>
      <w:r w:rsidR="005A59A0">
        <w:rPr>
          <w:rFonts w:hint="eastAsia"/>
        </w:rPr>
        <w:t>・</w:t>
      </w:r>
      <w:r>
        <w:rPr>
          <w:rFonts w:hint="eastAsia"/>
        </w:rPr>
        <w:t>ザ</w:t>
      </w:r>
      <w:r w:rsidR="005A59A0">
        <w:rPr>
          <w:rFonts w:hint="eastAsia"/>
        </w:rPr>
        <w:t>・</w:t>
      </w:r>
      <w:r>
        <w:rPr>
          <w:rFonts w:hint="eastAsia"/>
        </w:rPr>
        <w:t>マネー</w:t>
      </w:r>
    </w:p>
    <w:p w14:paraId="09C6BF36" w14:textId="7D10EDE3" w:rsidR="00B429A7" w:rsidRDefault="002E22E4" w:rsidP="00F21951">
      <w:r w:rsidRPr="002E22E4">
        <w:rPr>
          <w:rFonts w:hint="eastAsia"/>
        </w:rPr>
        <w:t>原資産価格からコール・オプションの権利行使価格を差し引いた額</w:t>
      </w:r>
      <w:r>
        <w:rPr>
          <w:rFonts w:hint="eastAsia"/>
        </w:rPr>
        <w:t>，</w:t>
      </w:r>
      <w:r w:rsidRPr="002E22E4">
        <w:rPr>
          <w:rFonts w:hint="eastAsia"/>
        </w:rPr>
        <w:t>またはプット・オプションの権利行使価格から原資産価格を差し引いた額がゼロより非常に大きいマイナスとなるオプションのこと</w:t>
      </w:r>
      <w:r>
        <w:rPr>
          <w:rFonts w:hint="eastAsia"/>
        </w:rPr>
        <w:t>．</w:t>
      </w:r>
      <w:r w:rsidRPr="002E22E4">
        <w:rPr>
          <w:rFonts w:hint="eastAsia"/>
        </w:rPr>
        <w:t>プレミアムは非常に安くなる</w:t>
      </w:r>
      <w:r>
        <w:rPr>
          <w:rFonts w:hint="eastAsia"/>
        </w:rPr>
        <w:t>．</w:t>
      </w:r>
    </w:p>
    <w:p w14:paraId="02132EBF" w14:textId="77777777" w:rsidR="005A59A0" w:rsidRDefault="005A59A0" w:rsidP="00F21951"/>
    <w:p w14:paraId="673EB8D8" w14:textId="2BD40CAA" w:rsidR="006E19E8" w:rsidRDefault="006E19E8" w:rsidP="00B12785">
      <w:pPr>
        <w:pStyle w:val="a7"/>
        <w:numPr>
          <w:ilvl w:val="0"/>
          <w:numId w:val="7"/>
        </w:numPr>
        <w:ind w:leftChars="0"/>
      </w:pPr>
      <w:r>
        <w:rPr>
          <w:rFonts w:hint="eastAsia"/>
        </w:rPr>
        <w:t>ディープ・イン</w:t>
      </w:r>
      <w:r w:rsidR="005A59A0">
        <w:rPr>
          <w:rFonts w:hint="eastAsia"/>
        </w:rPr>
        <w:t>・</w:t>
      </w:r>
      <w:r>
        <w:rPr>
          <w:rFonts w:hint="eastAsia"/>
        </w:rPr>
        <w:t>ザ</w:t>
      </w:r>
      <w:r w:rsidR="005A59A0">
        <w:rPr>
          <w:rFonts w:hint="eastAsia"/>
        </w:rPr>
        <w:t>・</w:t>
      </w:r>
      <w:r>
        <w:rPr>
          <w:rFonts w:hint="eastAsia"/>
        </w:rPr>
        <w:t>マネー</w:t>
      </w:r>
    </w:p>
    <w:p w14:paraId="57D26E06" w14:textId="0A6D8FAF" w:rsidR="006E19E8" w:rsidRDefault="005A59A0" w:rsidP="00F21951">
      <w:r w:rsidRPr="005A59A0">
        <w:rPr>
          <w:rFonts w:hint="eastAsia"/>
        </w:rPr>
        <w:t>原資産価格からコール・オプションの権利行使価格を差し引いた額</w:t>
      </w:r>
      <w:r>
        <w:rPr>
          <w:rFonts w:hint="eastAsia"/>
        </w:rPr>
        <w:t>，</w:t>
      </w:r>
      <w:r w:rsidRPr="005A59A0">
        <w:rPr>
          <w:rFonts w:hint="eastAsia"/>
        </w:rPr>
        <w:t>またはプット・オプションの権利行使価格から原資産価格を差し引いた額がゼロより非常に大きいプラスとなるオプションのこと</w:t>
      </w:r>
      <w:r>
        <w:rPr>
          <w:rFonts w:hint="eastAsia"/>
        </w:rPr>
        <w:t>．</w:t>
      </w:r>
      <w:r w:rsidRPr="005A59A0">
        <w:rPr>
          <w:rFonts w:hint="eastAsia"/>
        </w:rPr>
        <w:t>本質的価値が大きくなるため</w:t>
      </w:r>
      <w:r>
        <w:rPr>
          <w:rFonts w:hint="eastAsia"/>
        </w:rPr>
        <w:t>，</w:t>
      </w:r>
      <w:r w:rsidRPr="005A59A0">
        <w:rPr>
          <w:rFonts w:hint="eastAsia"/>
        </w:rPr>
        <w:t>プレミアムも高くなる</w:t>
      </w:r>
      <w:r>
        <w:rPr>
          <w:rFonts w:hint="eastAsia"/>
        </w:rPr>
        <w:t>．</w:t>
      </w:r>
    </w:p>
    <w:p w14:paraId="739AD00F" w14:textId="690E6997" w:rsidR="002E22E4" w:rsidRDefault="002E22E4" w:rsidP="00F21951"/>
    <w:p w14:paraId="68F5B5DF" w14:textId="17517F39" w:rsidR="00CA39B1" w:rsidRDefault="00CA39B1" w:rsidP="00CA39B1">
      <w:pPr>
        <w:jc w:val="center"/>
      </w:pPr>
      <w:r w:rsidRPr="00CA39B1">
        <w:rPr>
          <w:noProof/>
        </w:rPr>
        <w:drawing>
          <wp:inline distT="0" distB="0" distL="0" distR="0" wp14:anchorId="2C8A6CCC" wp14:editId="7F594E16">
            <wp:extent cx="5281930" cy="40202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8748" cy="4025439"/>
                    </a:xfrm>
                    <a:prstGeom prst="rect">
                      <a:avLst/>
                    </a:prstGeom>
                  </pic:spPr>
                </pic:pic>
              </a:graphicData>
            </a:graphic>
          </wp:inline>
        </w:drawing>
      </w:r>
    </w:p>
    <w:p w14:paraId="36CDC945" w14:textId="26E7BF67" w:rsidR="00CA39B1" w:rsidRDefault="00CA39B1" w:rsidP="00F21951"/>
    <w:p w14:paraId="23A697BB" w14:textId="649CE248" w:rsidR="00B36EE5" w:rsidRDefault="00B05DF0" w:rsidP="00B05DF0">
      <w:pPr>
        <w:jc w:val="center"/>
      </w:pPr>
      <w:r>
        <w:rPr>
          <w:noProof/>
        </w:rPr>
        <w:drawing>
          <wp:inline distT="0" distB="0" distL="0" distR="0" wp14:anchorId="13B90B25" wp14:editId="619BFABE">
            <wp:extent cx="4838700" cy="3546785"/>
            <wp:effectExtent l="0" t="0" r="0" b="0"/>
            <wp:docPr id="4" name="図 4" descr="図表１　プット・オプション（権利行使価格20,000円）の価格変化の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図表１　プット・オプション（権利行使価格20,000円）の価格変化のイメー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0563" cy="3570141"/>
                    </a:xfrm>
                    <a:prstGeom prst="rect">
                      <a:avLst/>
                    </a:prstGeom>
                    <a:noFill/>
                    <a:ln>
                      <a:noFill/>
                    </a:ln>
                  </pic:spPr>
                </pic:pic>
              </a:graphicData>
            </a:graphic>
          </wp:inline>
        </w:drawing>
      </w:r>
    </w:p>
    <w:p w14:paraId="28BF30A7" w14:textId="1D0FBF8E" w:rsidR="00B36EE5" w:rsidRDefault="00213DF9" w:rsidP="00213DF9">
      <w:pPr>
        <w:jc w:val="center"/>
      </w:pPr>
      <w:r>
        <w:rPr>
          <w:rFonts w:ascii="メイリオ" w:eastAsia="メイリオ" w:hAnsi="メイリオ" w:hint="eastAsia"/>
          <w:color w:val="333333"/>
          <w:sz w:val="18"/>
          <w:szCs w:val="18"/>
          <w:shd w:val="clear" w:color="auto" w:fill="FFFFFF"/>
        </w:rPr>
        <w:t>図表１　プット・オプション（権利行使価格20,000円）の価格変化のイメージ</w:t>
      </w:r>
    </w:p>
    <w:p w14:paraId="6ED5C7E4" w14:textId="1A6269AB" w:rsidR="00B05DF0" w:rsidRDefault="00B05DF0" w:rsidP="00F21951"/>
    <w:p w14:paraId="4C7C9811" w14:textId="00347345" w:rsidR="00B05DF0" w:rsidRDefault="00B05DF0" w:rsidP="00F21951"/>
    <w:p w14:paraId="7736D8E2" w14:textId="2AC3EF0E" w:rsidR="00213DF9" w:rsidRDefault="00213DF9" w:rsidP="00213DF9">
      <w:pPr>
        <w:jc w:val="center"/>
      </w:pPr>
      <w:r>
        <w:rPr>
          <w:noProof/>
        </w:rPr>
        <w:drawing>
          <wp:inline distT="0" distB="0" distL="0" distR="0" wp14:anchorId="7D113AE2" wp14:editId="2E98A514">
            <wp:extent cx="5357495" cy="3927064"/>
            <wp:effectExtent l="0" t="0" r="0" b="0"/>
            <wp:docPr id="5" name="図 5" descr="図表２　コール・オプション（権利行使価格20,000円）の価格変化の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図表２　コール・オプション（権利行使価格20,000円）の価格変化のイメー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5570" cy="3932983"/>
                    </a:xfrm>
                    <a:prstGeom prst="rect">
                      <a:avLst/>
                    </a:prstGeom>
                    <a:noFill/>
                    <a:ln>
                      <a:noFill/>
                    </a:ln>
                  </pic:spPr>
                </pic:pic>
              </a:graphicData>
            </a:graphic>
          </wp:inline>
        </w:drawing>
      </w:r>
    </w:p>
    <w:p w14:paraId="29CDA0D9" w14:textId="1707C2DD" w:rsidR="00213DF9" w:rsidRDefault="00570038" w:rsidP="00213DF9">
      <w:pPr>
        <w:jc w:val="center"/>
      </w:pPr>
      <w:r>
        <w:rPr>
          <w:rFonts w:ascii="メイリオ" w:eastAsia="メイリオ" w:hAnsi="メイリオ" w:hint="eastAsia"/>
          <w:color w:val="333333"/>
          <w:sz w:val="18"/>
          <w:szCs w:val="18"/>
          <w:shd w:val="clear" w:color="auto" w:fill="FFFFFF"/>
        </w:rPr>
        <w:t>図表２　コール・オプション（権利行使価格20,000円）の価格変化のイメージ</w:t>
      </w:r>
    </w:p>
    <w:p w14:paraId="367371D1" w14:textId="77777777" w:rsidR="00213DF9" w:rsidRDefault="00213DF9" w:rsidP="00F21951"/>
    <w:p w14:paraId="63E23FFB" w14:textId="50A07348" w:rsidR="00C74741" w:rsidRDefault="00C74741" w:rsidP="00F21951">
      <w:r>
        <w:rPr>
          <w:rFonts w:hint="eastAsia"/>
        </w:rPr>
        <w:t>≪解答≫</w:t>
      </w:r>
    </w:p>
    <w:p w14:paraId="21A9BDE5" w14:textId="12366C22" w:rsidR="0059147D" w:rsidRDefault="00B05886" w:rsidP="00F21951">
      <w:r>
        <w:rPr>
          <w:rFonts w:hint="eastAsia"/>
        </w:rPr>
        <w:t>ディープ・</w:t>
      </w:r>
      <w:r w:rsidR="002F624B">
        <w:rPr>
          <w:rFonts w:hint="eastAsia"/>
        </w:rPr>
        <w:t>アウト</w:t>
      </w:r>
      <w:r w:rsidR="00BE4D8A">
        <w:rPr>
          <w:rFonts w:hint="eastAsia"/>
        </w:rPr>
        <w:t>・オブ</w:t>
      </w:r>
      <w:r>
        <w:rPr>
          <w:rFonts w:hint="eastAsia"/>
        </w:rPr>
        <w:t>・ザ・マネーのオプションは</w:t>
      </w:r>
      <w:r w:rsidR="00800618">
        <w:rPr>
          <w:rFonts w:hint="eastAsia"/>
        </w:rPr>
        <w:t>デルタが小さいため，</w:t>
      </w:r>
      <w:r w:rsidR="001B4E2A">
        <w:rPr>
          <w:rFonts w:hint="eastAsia"/>
        </w:rPr>
        <w:t>価格変動リスクが小さくイン・ザ・マネーになる確率が低いので，</w:t>
      </w:r>
      <w:r w:rsidR="003C0565">
        <w:rPr>
          <w:rFonts w:hint="eastAsia"/>
        </w:rPr>
        <w:t>それを売り建てても損する可能性が低い．ただオプションの価格が安いため，</w:t>
      </w:r>
      <w:r w:rsidR="004D5518">
        <w:rPr>
          <w:rFonts w:hint="eastAsia"/>
        </w:rPr>
        <w:t>売り立てによる収益率を高めるためにはレバレッジを使う必要がある．</w:t>
      </w:r>
      <w:r w:rsidR="00DB49E3">
        <w:rPr>
          <w:rFonts w:hint="eastAsia"/>
        </w:rPr>
        <w:t>しかし，</w:t>
      </w:r>
      <w:r w:rsidR="00626608">
        <w:rPr>
          <w:rFonts w:hint="eastAsia"/>
        </w:rPr>
        <w:t>イン・ザ・マネーになると，オプションの非線形的な価格の動きからデルタ（接線の傾き）が</w:t>
      </w:r>
      <w:r w:rsidR="0059147D">
        <w:rPr>
          <w:rFonts w:hint="eastAsia"/>
        </w:rPr>
        <w:t>急増し損失が拡大するため，レバレッジを用いた</w:t>
      </w:r>
      <w:r w:rsidR="00ED67AB">
        <w:rPr>
          <w:rFonts w:hint="eastAsia"/>
        </w:rPr>
        <w:t>収益率拡大は致命的な損失を被る可能性がある（確率は低いが…）</w:t>
      </w:r>
      <w:r w:rsidR="00280504">
        <w:rPr>
          <w:rFonts w:hint="eastAsia"/>
        </w:rPr>
        <w:t>．</w:t>
      </w:r>
    </w:p>
    <w:p w14:paraId="3B7092D5" w14:textId="2700FE1B" w:rsidR="00ED67AB" w:rsidRDefault="00280504" w:rsidP="00F21951">
      <w:r>
        <w:rPr>
          <w:rFonts w:hint="eastAsia"/>
        </w:rPr>
        <w:t>ところが，ヘッジファンドは基本的に損失補填義務を負っていないので，もし巨大損失が生じて預かり資産が消失してもファンドを解散すれば良いだけである．</w:t>
      </w:r>
      <w:r w:rsidR="00D21273">
        <w:rPr>
          <w:rFonts w:hint="eastAsia"/>
        </w:rPr>
        <w:t>逆に，運が良ければ比較的長期にわたって，安定的に収益を上げることが出来るので，</w:t>
      </w:r>
      <w:r w:rsidR="00016640">
        <w:rPr>
          <w:rFonts w:hint="eastAsia"/>
        </w:rPr>
        <w:t>高い確率で成功報酬を得る機会を得ることになる．</w:t>
      </w:r>
      <w:r w:rsidR="005C56E1">
        <w:t xml:space="preserve"> </w:t>
      </w:r>
    </w:p>
    <w:p w14:paraId="539B502E" w14:textId="3A3FB5CD" w:rsidR="006B27DF" w:rsidRDefault="006B27DF">
      <w:pPr>
        <w:widowControl/>
        <w:jc w:val="left"/>
      </w:pPr>
      <w:r>
        <w:br w:type="page"/>
      </w:r>
    </w:p>
    <w:p w14:paraId="0C028C9E" w14:textId="40B10820" w:rsidR="001D2789" w:rsidRDefault="009E0BEF" w:rsidP="00F21951">
      <w:r>
        <w:rPr>
          <w:rFonts w:hint="eastAsia"/>
        </w:rPr>
        <w:lastRenderedPageBreak/>
        <w:t>≪章末問題≫</w:t>
      </w:r>
    </w:p>
    <w:p w14:paraId="1EA2A2B1" w14:textId="7CA7BF61" w:rsidR="009047D9" w:rsidRDefault="009E0BEF" w:rsidP="00F21951">
      <w:r>
        <w:rPr>
          <w:rFonts w:hint="eastAsia"/>
        </w:rPr>
        <w:t>【問題3</w:t>
      </w:r>
      <w:r>
        <w:t>.1</w:t>
      </w:r>
      <w:r>
        <w:rPr>
          <w:rFonts w:hint="eastAsia"/>
        </w:rPr>
        <w:t>】</w:t>
      </w:r>
    </w:p>
    <w:p w14:paraId="4A65E3AC" w14:textId="1C0A3BCA" w:rsidR="009E0BEF" w:rsidRDefault="00403C96" w:rsidP="00F21951">
      <w:r>
        <w:rPr>
          <w:rFonts w:hint="eastAsia"/>
        </w:rPr>
        <w:t>機関投資家</w:t>
      </w:r>
      <w:r w:rsidR="00E21FB0">
        <w:rPr>
          <w:rFonts w:hint="eastAsia"/>
        </w:rPr>
        <w:t>などが資産運用の現場で利用するマルチファクターモデルを開発する場合，単純なクロスセクション回帰モデルでは</w:t>
      </w:r>
      <w:r w:rsidR="0093081E">
        <w:rPr>
          <w:rFonts w:hint="eastAsia"/>
        </w:rPr>
        <w:t>安定した制度維持することは難しいため，通常は，予測しないリスクファクタ</w:t>
      </w:r>
      <w:r w:rsidR="00390FB3">
        <w:rPr>
          <w:rFonts w:hint="eastAsia"/>
        </w:rPr>
        <w:t>ー</w:t>
      </w:r>
      <w:r w:rsidR="00081283">
        <w:rPr>
          <w:rFonts w:hint="eastAsia"/>
        </w:rPr>
        <w:t>部分を控除し</w:t>
      </w:r>
      <w:r w:rsidR="008C1F35">
        <w:rPr>
          <w:rFonts w:hint="eastAsia"/>
        </w:rPr>
        <w:t>た結果得られる残</w:t>
      </w:r>
      <w:r w:rsidR="006B27DF">
        <w:rPr>
          <w:rFonts w:hint="eastAsia"/>
        </w:rPr>
        <w:t>差</w:t>
      </w:r>
      <w:r w:rsidR="008C1F35">
        <w:rPr>
          <w:rFonts w:hint="eastAsia"/>
        </w:rPr>
        <w:t>の部分について積極的予測を試みると</w:t>
      </w:r>
      <w:r w:rsidR="00892FF6">
        <w:rPr>
          <w:rFonts w:hint="eastAsia"/>
        </w:rPr>
        <w:t>いう整理が有効であると思われる．</w:t>
      </w:r>
      <w:r w:rsidR="00ED3244">
        <w:rPr>
          <w:rFonts w:hint="eastAsia"/>
        </w:rPr>
        <w:t>そこで，(</w:t>
      </w:r>
      <w:r w:rsidR="00ED3244">
        <w:t>3.2)</w:t>
      </w:r>
      <w:r w:rsidR="00ED3244">
        <w:rPr>
          <w:rFonts w:hint="eastAsia"/>
        </w:rPr>
        <w:t>式で示された時系列回帰モデルをリスクファクター</w:t>
      </w:r>
      <w:r w:rsidR="00C90562">
        <w:rPr>
          <w:rFonts w:hint="eastAsia"/>
        </w:rPr>
        <w:t>のモデル，(</w:t>
      </w:r>
      <w:r w:rsidR="00C90562">
        <w:t>3.3)</w:t>
      </w:r>
      <w:r w:rsidR="00C90562">
        <w:rPr>
          <w:rFonts w:hint="eastAsia"/>
        </w:rPr>
        <w:t>式で示されたクロスセクション回帰モデル</w:t>
      </w:r>
      <w:r w:rsidR="00487A06">
        <w:rPr>
          <w:rFonts w:hint="eastAsia"/>
        </w:rPr>
        <w:t>を残差部分のモデル</w:t>
      </w:r>
      <w:r w:rsidR="00E16A57">
        <w:rPr>
          <w:rFonts w:hint="eastAsia"/>
        </w:rPr>
        <w:t>と</w:t>
      </w:r>
      <w:r w:rsidR="00487A06">
        <w:rPr>
          <w:rFonts w:hint="eastAsia"/>
        </w:rPr>
        <w:t>理解して，この2つを</w:t>
      </w:r>
      <w:r w:rsidR="00885D00">
        <w:rPr>
          <w:rFonts w:hint="eastAsia"/>
        </w:rPr>
        <w:t>合成したマルチファクターモデルを示せ．</w:t>
      </w:r>
    </w:p>
    <w:p w14:paraId="1F753F6B" w14:textId="700EB453" w:rsidR="00885D00" w:rsidRDefault="00885D00" w:rsidP="00F21951"/>
    <w:tbl>
      <w:tblPr>
        <w:tblStyle w:val="ab"/>
        <w:tblW w:w="0" w:type="auto"/>
        <w:tblInd w:w="421" w:type="dxa"/>
        <w:tblLook w:val="04A0" w:firstRow="1" w:lastRow="0" w:firstColumn="1" w:lastColumn="0" w:noHBand="0" w:noVBand="1"/>
      </w:tblPr>
      <w:tblGrid>
        <w:gridCol w:w="7371"/>
        <w:gridCol w:w="1559"/>
      </w:tblGrid>
      <w:tr w:rsidR="00885D00" w14:paraId="11C355CD" w14:textId="77777777" w:rsidTr="00AF0427">
        <w:tc>
          <w:tcPr>
            <w:tcW w:w="7371" w:type="dxa"/>
          </w:tcPr>
          <w:p w14:paraId="0A0DBA41" w14:textId="516683F6" w:rsidR="00885D00" w:rsidRDefault="00063A34" w:rsidP="00F21951">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k,i</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(t)</m:t>
                </m:r>
              </m:oMath>
            </m:oMathPara>
          </w:p>
        </w:tc>
        <w:tc>
          <w:tcPr>
            <w:tcW w:w="1559" w:type="dxa"/>
            <w:vAlign w:val="center"/>
          </w:tcPr>
          <w:p w14:paraId="4BAEF394" w14:textId="7FFC82F1" w:rsidR="00885D00" w:rsidRDefault="00AF0427" w:rsidP="00AF0427">
            <w:pPr>
              <w:jc w:val="center"/>
            </w:pPr>
            <w:r>
              <w:rPr>
                <w:rFonts w:hint="eastAsia"/>
              </w:rPr>
              <w:t>(</w:t>
            </w:r>
            <w:r>
              <w:t>3.2)</w:t>
            </w:r>
          </w:p>
        </w:tc>
      </w:tr>
    </w:tbl>
    <w:p w14:paraId="7F28C6CA" w14:textId="77777777" w:rsidR="00885D00" w:rsidRDefault="00885D00" w:rsidP="00F21951"/>
    <w:tbl>
      <w:tblPr>
        <w:tblStyle w:val="ab"/>
        <w:tblW w:w="0" w:type="auto"/>
        <w:tblInd w:w="421" w:type="dxa"/>
        <w:tblLook w:val="04A0" w:firstRow="1" w:lastRow="0" w:firstColumn="1" w:lastColumn="0" w:noHBand="0" w:noVBand="1"/>
      </w:tblPr>
      <w:tblGrid>
        <w:gridCol w:w="7371"/>
        <w:gridCol w:w="1559"/>
      </w:tblGrid>
      <w:tr w:rsidR="00AF0427" w14:paraId="2393340D" w14:textId="77777777" w:rsidTr="00382DD2">
        <w:tc>
          <w:tcPr>
            <w:tcW w:w="7371" w:type="dxa"/>
          </w:tcPr>
          <w:p w14:paraId="5CBEE7D1" w14:textId="7828C177" w:rsidR="00AF0427" w:rsidRDefault="00063A34" w:rsidP="00382DD2">
            <m:oMathPara>
              <m:oMath>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e>
                </m:nary>
                <m:sSub>
                  <m:sSubPr>
                    <m:ctrlPr>
                      <w:rPr>
                        <w:rFonts w:ascii="Cambria Math" w:hAnsi="Cambria Math"/>
                        <w:i/>
                      </w:rPr>
                    </m:ctrlPr>
                  </m:sSubPr>
                  <m:e>
                    <m:r>
                      <w:rPr>
                        <w:rFonts w:ascii="Cambria Math" w:hAnsi="Cambria Math"/>
                      </w:rPr>
                      <m:t>B</m:t>
                    </m:r>
                  </m:e>
                  <m:sub>
                    <m:r>
                      <w:rPr>
                        <w:rFonts w:ascii="Cambria Math" w:hAnsi="Cambria Math"/>
                      </w:rPr>
                      <m:t>k,t-1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(i)</m:t>
                </m:r>
              </m:oMath>
            </m:oMathPara>
          </w:p>
        </w:tc>
        <w:tc>
          <w:tcPr>
            <w:tcW w:w="1559" w:type="dxa"/>
            <w:vAlign w:val="center"/>
          </w:tcPr>
          <w:p w14:paraId="22D013C5" w14:textId="4B9D8B23" w:rsidR="00AF0427" w:rsidRDefault="00AF0427" w:rsidP="00382DD2">
            <w:pPr>
              <w:jc w:val="center"/>
            </w:pPr>
            <w:r>
              <w:rPr>
                <w:rFonts w:hint="eastAsia"/>
              </w:rPr>
              <w:t>(</w:t>
            </w:r>
            <w:r>
              <w:t>3.</w:t>
            </w:r>
            <w:r w:rsidR="00250C71">
              <w:t>3</w:t>
            </w:r>
            <w:r>
              <w:t>)</w:t>
            </w:r>
          </w:p>
        </w:tc>
      </w:tr>
    </w:tbl>
    <w:p w14:paraId="2F4276AC" w14:textId="77777777" w:rsidR="00893F5C" w:rsidRDefault="00893F5C" w:rsidP="00F21951"/>
    <w:p w14:paraId="64E90AFD" w14:textId="0F8DCFDC" w:rsidR="00B13D61" w:rsidRDefault="00893F5C" w:rsidP="00F21951">
      <w:r>
        <w:rPr>
          <w:rFonts w:hint="eastAsia"/>
        </w:rPr>
        <w:t>≪解答≫</w:t>
      </w:r>
    </w:p>
    <w:p w14:paraId="4E6BD242" w14:textId="46567577" w:rsidR="00893F5C" w:rsidRDefault="007C4D9D" w:rsidP="00250C71">
      <w:pPr>
        <w:pStyle w:val="a7"/>
        <w:numPr>
          <w:ilvl w:val="0"/>
          <w:numId w:val="7"/>
        </w:numPr>
        <w:ind w:leftChars="0"/>
      </w:pPr>
      <w:r>
        <w:rPr>
          <w:rFonts w:hint="eastAsia"/>
        </w:rPr>
        <w:t>APTモデルやCAPMモデルは証券</w:t>
      </w:r>
      <m:oMath>
        <m:r>
          <w:rPr>
            <w:rFonts w:ascii="Cambria Math" w:hAnsi="Cambria Math" w:hint="eastAsia"/>
          </w:rPr>
          <m:t>i</m:t>
        </m:r>
      </m:oMath>
      <w:r>
        <w:rPr>
          <w:rFonts w:hint="eastAsia"/>
        </w:rPr>
        <w:t>をフィックスし，時系列に沿っ</w:t>
      </w:r>
      <w:r w:rsidR="00804D24">
        <w:rPr>
          <w:rFonts w:hint="eastAsia"/>
        </w:rPr>
        <w:t>た</w:t>
      </w:r>
      <w:r>
        <w:rPr>
          <w:rFonts w:hint="eastAsia"/>
        </w:rPr>
        <w:t>回帰</w:t>
      </w:r>
      <w:r w:rsidR="00804D24">
        <w:rPr>
          <w:rFonts w:hint="eastAsia"/>
        </w:rPr>
        <w:t>モデル</w:t>
      </w:r>
      <w:r>
        <w:rPr>
          <w:rFonts w:hint="eastAsia"/>
        </w:rPr>
        <w:t>．</w:t>
      </w:r>
    </w:p>
    <w:p w14:paraId="604DDF3D" w14:textId="17E02FE7" w:rsidR="004B098B" w:rsidRDefault="00CB57AE" w:rsidP="00250C71">
      <w:pPr>
        <w:pStyle w:val="a7"/>
        <w:numPr>
          <w:ilvl w:val="0"/>
          <w:numId w:val="7"/>
        </w:numPr>
        <w:ind w:leftChars="0"/>
      </w:pPr>
      <w:r>
        <w:rPr>
          <w:rFonts w:hint="eastAsia"/>
        </w:rPr>
        <w:t>クロスセクション回帰分析は，</w:t>
      </w:r>
      <w:r w:rsidR="00634124">
        <w:rPr>
          <w:rFonts w:hint="eastAsia"/>
        </w:rPr>
        <w:t>時間</w:t>
      </w:r>
      <m:oMath>
        <m:r>
          <w:rPr>
            <w:rFonts w:ascii="Cambria Math" w:hAnsi="Cambria Math"/>
          </w:rPr>
          <m:t>t</m:t>
        </m:r>
      </m:oMath>
      <w:r w:rsidR="00634124">
        <w:rPr>
          <w:rFonts w:hint="eastAsia"/>
        </w:rPr>
        <w:t>をフィックスして，現時点で観測されているファクターを説明変数</w:t>
      </w:r>
      <w:r w:rsidR="00804D24">
        <w:rPr>
          <w:rFonts w:hint="eastAsia"/>
        </w:rPr>
        <w:t>として将来の収益率を説明しようとする回帰モデル．</w:t>
      </w:r>
    </w:p>
    <w:p w14:paraId="0E9A75C8" w14:textId="39C009F2" w:rsidR="00804D24" w:rsidRDefault="00804D24" w:rsidP="00804D24"/>
    <w:p w14:paraId="174A4ADB" w14:textId="37C2741E" w:rsidR="00804D24" w:rsidRDefault="00BC787A" w:rsidP="00BC787A">
      <w:r>
        <w:rPr>
          <w:rFonts w:hint="eastAsia"/>
        </w:rPr>
        <w:t>（</w:t>
      </w:r>
      <w:r>
        <w:t>3.2）式は</w:t>
      </w:r>
      <w:r w:rsidR="00D629AD">
        <w:rPr>
          <w:rFonts w:hint="eastAsia"/>
        </w:rPr>
        <w:t>，</w:t>
      </w:r>
      <m:oMath>
        <m:r>
          <w:rPr>
            <w:rFonts w:ascii="Cambria Math" w:hAnsi="Cambria Math"/>
          </w:rPr>
          <m:t xml:space="preserve">i </m:t>
        </m:r>
      </m:oMath>
      <w:r>
        <w:t>を固定した場合の回帰モデルであったが，推定のための</w:t>
      </w:r>
      <w:r>
        <w:rPr>
          <w:rFonts w:hint="eastAsia"/>
        </w:rPr>
        <w:t>データ期間を</w:t>
      </w:r>
      <m:oMath>
        <m:r>
          <w:rPr>
            <w:rFonts w:ascii="Cambria Math" w:hAnsi="Cambria Math" w:hint="eastAsia"/>
          </w:rPr>
          <m:t>τ</m:t>
        </m:r>
        <m:r>
          <w:rPr>
            <w:rFonts w:ascii="Cambria Math" w:hAnsi="Cambria Math"/>
          </w:rPr>
          <m:t xml:space="preserve"> ∈ [t - n + 1, t] </m:t>
        </m:r>
      </m:oMath>
      <w:r>
        <w:t>として，</w:t>
      </w:r>
    </w:p>
    <w:p w14:paraId="2C930402" w14:textId="606FDA86" w:rsidR="00BC787A" w:rsidRPr="004F5975" w:rsidRDefault="00063A34" w:rsidP="00BC787A">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k,i</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hint="eastAsia"/>
            </w:rPr>
            <m:t xml:space="preserve">，　</m:t>
          </m:r>
          <m:r>
            <w:rPr>
              <w:rFonts w:ascii="Cambria Math" w:hAnsi="Cambria Math"/>
            </w:rPr>
            <m:t>τ∈[t-n+1,t]</m:t>
          </m:r>
        </m:oMath>
      </m:oMathPara>
    </w:p>
    <w:p w14:paraId="3E1F3AAB" w14:textId="4F1A92DA" w:rsidR="004F5975" w:rsidRDefault="004F5975" w:rsidP="00BC787A"/>
    <w:p w14:paraId="4980A224" w14:textId="31E4D6CE" w:rsidR="004F5975" w:rsidRDefault="004F5975" w:rsidP="004F5975">
      <w:r>
        <w:rPr>
          <w:rFonts w:hint="eastAsia"/>
        </w:rPr>
        <w:t>とすれば，</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k,i</m:t>
            </m:r>
          </m:sub>
        </m:sSub>
      </m:oMath>
      <w:r>
        <w:t>はt における</w:t>
      </w:r>
      <m:oMath>
        <m:r>
          <w:rPr>
            <w:rFonts w:ascii="Cambria Math" w:hAnsi="Cambria Math"/>
          </w:rPr>
          <m:t xml:space="preserve">n </m:t>
        </m:r>
      </m:oMath>
      <w:r>
        <w:t>期間の過去データから推定される係数と解釈でき</w:t>
      </w:r>
      <w:r>
        <w:rPr>
          <w:rFonts w:hint="eastAsia"/>
        </w:rPr>
        <w:t>る．すなわち，</w:t>
      </w:r>
      <m:oMath>
        <m:r>
          <w:rPr>
            <w:rFonts w:ascii="Cambria Math" w:hAnsi="Cambria Math"/>
          </w:rPr>
          <m:t>n</m:t>
        </m:r>
      </m:oMath>
      <w:r>
        <w:t>個の過去データが利用できる任意の</w:t>
      </w:r>
      <m:oMath>
        <m:r>
          <w:rPr>
            <w:rFonts w:ascii="Cambria Math" w:hAnsi="Cambria Math"/>
          </w:rPr>
          <m:t>t</m:t>
        </m:r>
      </m:oMath>
      <w:r>
        <w:t>おいて推定可能な係数</w:t>
      </w:r>
      <w:r>
        <w:rPr>
          <w:rFonts w:hint="eastAsia"/>
        </w:rPr>
        <w:t>であることから，改めてこの回帰係数を</w:t>
      </w:r>
      <m:oMath>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k,i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k,t</m:t>
            </m:r>
          </m:sub>
        </m:sSub>
        <m:r>
          <w:rPr>
            <w:rFonts w:ascii="Cambria Math" w:hAnsi="Cambria Math"/>
          </w:rPr>
          <m:t>(i)</m:t>
        </m:r>
      </m:oMath>
      <w:r>
        <w:t>とする．この</w:t>
      </w:r>
      <m:oMath>
        <m:sSub>
          <m:sSubPr>
            <m:ctrlPr>
              <w:rPr>
                <w:rFonts w:ascii="Cambria Math" w:hAnsi="Cambria Math"/>
                <w:i/>
              </w:rPr>
            </m:ctrlPr>
          </m:sSubPr>
          <m:e>
            <m:r>
              <w:rPr>
                <w:rFonts w:ascii="Cambria Math" w:hAnsi="Cambria Math"/>
              </w:rPr>
              <m:t>β</m:t>
            </m:r>
          </m:e>
          <m:sub>
            <m:r>
              <w:rPr>
                <w:rFonts w:ascii="Cambria Math" w:hAnsi="Cambria Math"/>
              </w:rPr>
              <m:t>k,t</m:t>
            </m:r>
          </m:sub>
        </m:sSub>
        <m:r>
          <w:rPr>
            <w:rFonts w:ascii="Cambria Math" w:hAnsi="Cambria Math"/>
          </w:rPr>
          <m:t>(i)</m:t>
        </m:r>
      </m:oMath>
      <w:r>
        <w:rPr>
          <w:rFonts w:hint="eastAsia"/>
        </w:rPr>
        <w:t>は，具体的には</w:t>
      </w:r>
      <w:r>
        <w:t>CAPM のベータ値などであり，必ずしも一定ではないが，推</w:t>
      </w:r>
      <w:r>
        <w:rPr>
          <w:rFonts w:hint="eastAsia"/>
        </w:rPr>
        <w:t>定する</w:t>
      </w:r>
      <w:r>
        <w:t>t ごとに大きく変化するものではない．そこで</w:t>
      </w:r>
      <m:oMath>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k,t</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k,t-1</m:t>
            </m:r>
          </m:sub>
        </m:sSub>
        <m:r>
          <w:rPr>
            <w:rFonts w:ascii="Cambria Math" w:hAnsi="Cambria Math"/>
          </w:rPr>
          <m:t>(i)</m:t>
        </m:r>
      </m:oMath>
      <w:r>
        <w:t xml:space="preserve"> を仮</w:t>
      </w:r>
      <w:r>
        <w:rPr>
          <w:rFonts w:hint="eastAsia"/>
        </w:rPr>
        <w:t>定して，（</w:t>
      </w:r>
      <w:r>
        <w:t>3.2）式に代入すると，</w:t>
      </w:r>
    </w:p>
    <w:p w14:paraId="1D226276" w14:textId="1A0588AA" w:rsidR="00A619C1" w:rsidRDefault="00A619C1" w:rsidP="004F5975"/>
    <w:p w14:paraId="61589FF2" w14:textId="57AC7437" w:rsidR="0054423C" w:rsidRDefault="0054423C" w:rsidP="004F5975">
      <m:oMathPara>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β</m:t>
                  </m:r>
                </m:e>
                <m:sub>
                  <m:r>
                    <w:rPr>
                      <w:rFonts w:ascii="Cambria Math" w:hAnsi="Cambria Math"/>
                    </w:rPr>
                    <m:t>k,t-1</m:t>
                  </m:r>
                </m:sub>
              </m:sSub>
            </m:e>
          </m:nary>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+ϵ</m:t>
          </m:r>
          <m:d>
            <m:dPr>
              <m:ctrlPr>
                <w:rPr>
                  <w:rFonts w:ascii="Cambria Math" w:hAnsi="Cambria Math"/>
                  <w:i/>
                </w:rPr>
              </m:ctrlPr>
            </m:dPr>
            <m:e>
              <m:r>
                <w:rPr>
                  <w:rFonts w:ascii="Cambria Math" w:hAnsi="Cambria Math"/>
                </w:rPr>
                <m:t>i,t</m:t>
              </m:r>
            </m:e>
          </m:d>
        </m:oMath>
      </m:oMathPara>
    </w:p>
    <w:p w14:paraId="47A82B59" w14:textId="77777777" w:rsidR="0054423C" w:rsidRDefault="0054423C" w:rsidP="004F5975"/>
    <w:p w14:paraId="59C8F977" w14:textId="314DBDCB" w:rsidR="00A619C1" w:rsidRDefault="00A619C1" w:rsidP="00A619C1">
      <w:r>
        <w:rPr>
          <w:rFonts w:hint="eastAsia"/>
        </w:rPr>
        <w:t>とできるが，これをクロスセクション回帰モデルとみなすと，推定すべきは</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(t)</m:t>
        </m:r>
      </m:oMath>
      <w:r>
        <w:rPr>
          <w:rFonts w:hint="eastAsia"/>
        </w:rPr>
        <w:t>であることがわかる．以上から（</w:t>
      </w:r>
      <w:r>
        <w:t>3.3）式は，</w:t>
      </w:r>
    </w:p>
    <w:p w14:paraId="73C0F3E9" w14:textId="24D5C8B3" w:rsidR="009443D2" w:rsidRPr="009443D2" w:rsidRDefault="00063A34" w:rsidP="009443D2">
      <w:pPr>
        <w:rPr>
          <w:i/>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i</m:t>
              </m:r>
            </m:e>
          </m:d>
          <m:r>
            <m:rPr>
              <m:aln/>
            </m:rP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k,t-1</m:t>
                  </m:r>
                </m:sub>
              </m:sSub>
            </m:e>
          </m:nary>
          <m:d>
            <m:dPr>
              <m:ctrlPr>
                <w:rPr>
                  <w:rFonts w:ascii="Cambria Math" w:hAnsi="Cambria Math"/>
                  <w:i/>
                </w:rPr>
              </m:ctrlPr>
            </m:dPr>
            <m:e>
              <m:r>
                <w:rPr>
                  <w:rFonts w:ascii="Cambria Math" w:hAnsi="Cambria Math"/>
                </w:rPr>
                <m:t>i</m:t>
              </m:r>
            </m:e>
          </m:d>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d>
            <m:dPr>
              <m:ctrlPr>
                <w:rPr>
                  <w:rFonts w:ascii="Cambria Math" w:hAnsi="Cambria Math"/>
                  <w:i/>
                </w:rPr>
              </m:ctrlPr>
            </m:dPr>
            <m:e>
              <m:r>
                <w:rPr>
                  <w:rFonts w:ascii="Cambria Math" w:hAnsi="Cambria Math"/>
                </w:rPr>
                <m:t>t</m:t>
              </m:r>
            </m:e>
          </m:d>
          <m:r>
            <w:rPr>
              <w:rFonts w:ascii="Cambria Math" w:hAnsi="Cambria Math"/>
            </w:rPr>
            <m:t>+ϵ</m:t>
          </m:r>
          <m:d>
            <m:dPr>
              <m:ctrlPr>
                <w:rPr>
                  <w:rFonts w:ascii="Cambria Math" w:hAnsi="Cambria Math"/>
                  <w:i/>
                </w:rPr>
              </m:ctrlPr>
            </m:dPr>
            <m:e>
              <m:r>
                <w:rPr>
                  <w:rFonts w:ascii="Cambria Math" w:hAnsi="Cambria Math"/>
                </w:rPr>
                <m:t>i,t</m:t>
              </m:r>
            </m:e>
          </m:d>
          <m:r>
            <m:rPr>
              <m:sty m:val="p"/>
            </m:rPr>
            <w:rPr>
              <w:rFonts w:ascii="Cambria Math" w:hAnsi="Cambria Math"/>
            </w:rPr>
            <w:br/>
          </m:r>
        </m:oMath>
        <m:oMath>
          <m:r>
            <m:rPr>
              <m:aln/>
            </m:rP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sSub>
                <m:sSubPr>
                  <m:ctrlPr>
                    <w:rPr>
                      <w:rFonts w:ascii="Cambria Math" w:hAnsi="Cambria Math"/>
                      <w:i/>
                    </w:rPr>
                  </m:ctrlPr>
                </m:sSubPr>
                <m:e>
                  <m:r>
                    <w:rPr>
                      <w:rFonts w:ascii="Cambria Math" w:hAnsi="Cambria Math"/>
                    </w:rPr>
                    <m:t>β</m:t>
                  </m:r>
                </m:e>
                <m:sub>
                  <m:r>
                    <w:rPr>
                      <w:rFonts w:ascii="Cambria Math" w:hAnsi="Cambria Math"/>
                    </w:rPr>
                    <m:t>k,t-1</m:t>
                  </m:r>
                </m:sub>
              </m:sSub>
              <m:d>
                <m:dPr>
                  <m:ctrlPr>
                    <w:rPr>
                      <w:rFonts w:ascii="Cambria Math" w:hAnsi="Cambria Math"/>
                      <w:i/>
                    </w:rPr>
                  </m:ctrlPr>
                </m:dPr>
                <m:e>
                  <m:r>
                    <w:rPr>
                      <w:rFonts w:ascii="Cambria Math" w:hAnsi="Cambria Math"/>
                    </w:rPr>
                    <m:t>i</m:t>
                  </m:r>
                </m:e>
              </m:d>
            </m:e>
          </m:nary>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m</m:t>
                  </m:r>
                </m:sub>
              </m:sSub>
            </m:e>
          </m:nary>
          <m:sSub>
            <m:sSubPr>
              <m:ctrlPr>
                <w:rPr>
                  <w:rFonts w:ascii="Cambria Math" w:hAnsi="Cambria Math"/>
                  <w:i/>
                </w:rPr>
              </m:ctrlPr>
            </m:sSubPr>
            <m:e>
              <m:r>
                <w:rPr>
                  <w:rFonts w:ascii="Cambria Math" w:hAnsi="Cambria Math"/>
                </w:rPr>
                <m:t>B</m:t>
              </m:r>
            </m:e>
            <m:sub>
              <m:r>
                <w:rPr>
                  <w:rFonts w:ascii="Cambria Math" w:hAnsi="Cambria Math"/>
                </w:rPr>
                <m:t>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(i)</m:t>
          </m:r>
        </m:oMath>
      </m:oMathPara>
    </w:p>
    <w:p w14:paraId="434C9CC0" w14:textId="3454D2BB" w:rsidR="009443D2" w:rsidRDefault="009443D2" w:rsidP="009443D2">
      <w:pPr>
        <w:tabs>
          <w:tab w:val="left" w:pos="1702"/>
        </w:tabs>
      </w:pPr>
    </w:p>
    <w:p w14:paraId="6007AB65" w14:textId="7AC693EF" w:rsidR="00591420" w:rsidRDefault="00591420" w:rsidP="00591420">
      <w:pPr>
        <w:tabs>
          <w:tab w:val="left" w:pos="1702"/>
        </w:tabs>
      </w:pPr>
      <w:r>
        <w:rPr>
          <w:rFonts w:hint="eastAsia"/>
        </w:rPr>
        <w:t>とできる．ここで</w:t>
      </w:r>
      <m:oMath>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k,t-1</m:t>
            </m:r>
          </m:sub>
        </m:sSub>
        <m:r>
          <w:rPr>
            <w:rFonts w:ascii="Cambria Math" w:hAnsi="Cambria Math"/>
          </w:rPr>
          <m:t>(i)</m:t>
        </m:r>
      </m:oMath>
      <w:r>
        <w:t xml:space="preserve"> はAPT モデルのリスクファクターの感応度に対応</w:t>
      </w:r>
      <w:r>
        <w:rPr>
          <w:rFonts w:hint="eastAsia"/>
        </w:rPr>
        <w:t>するもので，たとえば，</w:t>
      </w:r>
      <w:proofErr w:type="spellStart"/>
      <w:r>
        <w:t>Fama</w:t>
      </w:r>
      <w:proofErr w:type="spellEnd"/>
      <w:r>
        <w:t>–French モデルのMKT，HML，SMB ファク</w:t>
      </w:r>
      <w:r>
        <w:rPr>
          <w:rFonts w:hint="eastAsia"/>
        </w:rPr>
        <w:t>ターに対する回帰係数として推定された値で，この回帰の結果として決まる</w:t>
      </w:r>
      <m:oMath>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oMath>
      <w:r>
        <w:rPr>
          <w:rFonts w:hint="eastAsia"/>
        </w:rPr>
        <w:t>は</w:t>
      </w:r>
      <m:oMath>
        <m:r>
          <w:rPr>
            <w:rFonts w:ascii="Cambria Math" w:hAnsi="Cambria Math"/>
          </w:rPr>
          <m:t>t</m:t>
        </m:r>
      </m:oMath>
      <w:r>
        <w:t>におけるインプライド・ファクターリターンである．一方，</w:t>
      </w:r>
      <m:oMath>
        <m:sSub>
          <m:sSubPr>
            <m:ctrlPr>
              <w:rPr>
                <w:rFonts w:ascii="Cambria Math" w:hAnsi="Cambria Math"/>
                <w:i/>
              </w:rPr>
            </m:ctrlPr>
          </m:sSubPr>
          <m:e>
            <m:r>
              <w:rPr>
                <w:rFonts w:ascii="Cambria Math" w:hAnsi="Cambria Math"/>
              </w:rPr>
              <m:t>B</m:t>
            </m:r>
          </m:e>
          <m:sub>
            <m:r>
              <w:rPr>
                <w:rFonts w:ascii="Cambria Math" w:hAnsi="Cambria Math"/>
              </w:rPr>
              <m:t>k,t-1</m:t>
            </m:r>
          </m:sub>
        </m:sSub>
        <m:r>
          <w:rPr>
            <w:rFonts w:ascii="Cambria Math" w:hAnsi="Cambria Math"/>
          </w:rPr>
          <m:t>(i)</m:t>
        </m:r>
      </m:oMath>
      <w:r>
        <w:t>は通</w:t>
      </w:r>
      <w:r>
        <w:rPr>
          <w:rFonts w:hint="eastAsia"/>
        </w:rPr>
        <w:t>常のクロスセクション回帰モデルに用いられる</w:t>
      </w:r>
      <m:oMath>
        <m:r>
          <w:rPr>
            <w:rFonts w:ascii="Cambria Math" w:hAnsi="Cambria Math"/>
          </w:rPr>
          <m:t>t - 1</m:t>
        </m:r>
      </m:oMath>
      <w:r>
        <w:t xml:space="preserve"> 時点で観測可能な銘柄属</w:t>
      </w:r>
      <w:r>
        <w:rPr>
          <w:rFonts w:hint="eastAsia"/>
        </w:rPr>
        <w:t>性データである．このようにして求めたモデルを予測に利用する場合には，リスクファクター部分はベンチマークリスクに対応するとみなして，残差部分，すなわち次式の右辺を予測値とするのである．</w:t>
      </w:r>
    </w:p>
    <w:p w14:paraId="21246C4A" w14:textId="77777777" w:rsidR="008A1FB3" w:rsidRDefault="008A1FB3" w:rsidP="00591420">
      <w:pPr>
        <w:tabs>
          <w:tab w:val="left" w:pos="1702"/>
        </w:tabs>
      </w:pPr>
    </w:p>
    <w:p w14:paraId="3703F9FB" w14:textId="2F66B2EA" w:rsidR="008A1FB3" w:rsidRPr="002559C0" w:rsidRDefault="00063A34" w:rsidP="002559C0">
      <w:pPr>
        <w:rPr>
          <w:i/>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β</m:t>
                  </m:r>
                </m:e>
                <m:sub>
                  <m:r>
                    <w:rPr>
                      <w:rFonts w:ascii="Cambria Math" w:hAnsi="Cambria Math"/>
                    </w:rPr>
                    <m:t>k,t-1</m:t>
                  </m:r>
                </m:sub>
              </m:sSub>
            </m:e>
          </m:nary>
          <m:d>
            <m:dPr>
              <m:ctrlPr>
                <w:rPr>
                  <w:rFonts w:ascii="Cambria Math" w:hAnsi="Cambria Math"/>
                  <w:i/>
                </w:rPr>
              </m:ctrlPr>
            </m:dPr>
            <m:e>
              <m:r>
                <w:rPr>
                  <w:rFonts w:ascii="Cambria Math" w:hAnsi="Cambria Math"/>
                </w:rPr>
                <m:t>i</m:t>
              </m:r>
            </m:e>
          </m:d>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m</m:t>
                  </m:r>
                </m:sub>
              </m:sSub>
            </m:e>
          </m:nary>
          <m:sSub>
            <m:sSubPr>
              <m:ctrlPr>
                <w:rPr>
                  <w:rFonts w:ascii="Cambria Math" w:hAnsi="Cambria Math"/>
                  <w:i/>
                </w:rPr>
              </m:ctrlPr>
            </m:sSubPr>
            <m:e>
              <m:r>
                <w:rPr>
                  <w:rFonts w:ascii="Cambria Math" w:hAnsi="Cambria Math"/>
                </w:rPr>
                <m:t>B</m:t>
              </m:r>
            </m:e>
            <m:sub>
              <m:r>
                <w:rPr>
                  <w:rFonts w:ascii="Cambria Math" w:hAnsi="Cambria Math"/>
                </w:rPr>
                <m:t>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(i)</m:t>
          </m:r>
        </m:oMath>
      </m:oMathPara>
    </w:p>
    <w:p w14:paraId="352520C8" w14:textId="2C86C9D1" w:rsidR="00E17D53" w:rsidRDefault="00591420" w:rsidP="00591420">
      <w:pPr>
        <w:tabs>
          <w:tab w:val="left" w:pos="1702"/>
        </w:tabs>
      </w:pPr>
      <w:r>
        <w:rPr>
          <w:rFonts w:hint="eastAsia"/>
        </w:rPr>
        <w:t>なお，以上の操作が可能であるためには，当初の（</w:t>
      </w:r>
      <w:r>
        <w:t>3.2）式における誤差を横断</w:t>
      </w:r>
      <w:r>
        <w:rPr>
          <w:rFonts w:hint="eastAsia"/>
        </w:rPr>
        <w:t>的な広がりも含めて示した</w:t>
      </w:r>
      <m:oMath>
        <m:r>
          <w:rPr>
            <w:rFonts w:ascii="Cambria Math" w:hAnsi="Cambria Math"/>
          </w:rPr>
          <m:t>ϵ(i, t)</m:t>
        </m:r>
      </m:oMath>
      <w:r>
        <w:t xml:space="preserve"> の説明変数である</w:t>
      </w:r>
      <m:oMath>
        <m:sSub>
          <m:sSubPr>
            <m:ctrlPr>
              <w:rPr>
                <w:rFonts w:ascii="Cambria Math" w:hAnsi="Cambria Math"/>
                <w:i/>
              </w:rPr>
            </m:ctrlPr>
          </m:sSubPr>
          <m:e>
            <m:r>
              <w:rPr>
                <w:rFonts w:ascii="Cambria Math" w:hAnsi="Cambria Math"/>
              </w:rPr>
              <m:t>B</m:t>
            </m:r>
          </m:e>
          <m:sub>
            <m:r>
              <w:rPr>
                <w:rFonts w:ascii="Cambria Math" w:hAnsi="Cambria Math"/>
              </w:rPr>
              <m:t>m,t</m:t>
            </m:r>
          </m:sub>
        </m:sSub>
        <m:r>
          <w:rPr>
            <w:rFonts w:ascii="Cambria Math" w:hAnsi="Cambria Math"/>
          </w:rPr>
          <m:t xml:space="preserve">(i) </m:t>
        </m:r>
      </m:oMath>
      <w:r>
        <w:t>と，</w:t>
      </w:r>
      <m:oMath>
        <m:sSub>
          <m:sSubPr>
            <m:ctrlPr>
              <w:rPr>
                <w:rFonts w:ascii="Cambria Math" w:hAnsi="Cambria Math"/>
                <w:i/>
              </w:rPr>
            </m:ctrlPr>
          </m:sSubPr>
          <m:e>
            <m:r>
              <w:rPr>
                <w:rFonts w:ascii="Cambria Math" w:hAnsi="Cambria Math"/>
              </w:rPr>
              <m:t>β</m:t>
            </m:r>
          </m:e>
          <m:sub>
            <m:r>
              <w:rPr>
                <w:rFonts w:ascii="Cambria Math" w:hAnsi="Cambria Math"/>
              </w:rPr>
              <m:t>k,t</m:t>
            </m:r>
          </m:sub>
        </m:sSub>
        <m:r>
          <w:rPr>
            <w:rFonts w:ascii="Cambria Math" w:hAnsi="Cambria Math"/>
          </w:rPr>
          <m:t>(i)</m:t>
        </m:r>
      </m:oMath>
      <w:r>
        <w:t xml:space="preserve"> が無相</w:t>
      </w:r>
      <w:r>
        <w:rPr>
          <w:rFonts w:hint="eastAsia"/>
        </w:rPr>
        <w:t>関であることが要求される．もし両者に相関があればパネルデータ回帰の方法などにより，すべてのパラメータを同時推定する必要があるだろう．</w:t>
      </w:r>
    </w:p>
    <w:p w14:paraId="5791E474" w14:textId="67CF3803" w:rsidR="00E17D53" w:rsidRDefault="00E17D53" w:rsidP="009443D2">
      <w:pPr>
        <w:tabs>
          <w:tab w:val="left" w:pos="1702"/>
        </w:tabs>
      </w:pPr>
    </w:p>
    <w:p w14:paraId="13A4C334" w14:textId="32E15BE3" w:rsidR="00677AB3" w:rsidRDefault="00677AB3" w:rsidP="009443D2">
      <w:pPr>
        <w:tabs>
          <w:tab w:val="left" w:pos="1702"/>
        </w:tabs>
      </w:pPr>
    </w:p>
    <w:p w14:paraId="0A8EDD93" w14:textId="5010093B" w:rsidR="00677AB3" w:rsidRDefault="00677AB3" w:rsidP="009443D2">
      <w:pPr>
        <w:tabs>
          <w:tab w:val="left" w:pos="1702"/>
        </w:tabs>
      </w:pPr>
      <w:r>
        <w:rPr>
          <w:rFonts w:hint="eastAsia"/>
        </w:rPr>
        <w:t>【問題3</w:t>
      </w:r>
      <w:r>
        <w:t>.2</w:t>
      </w:r>
      <w:r>
        <w:rPr>
          <w:rFonts w:hint="eastAsia"/>
        </w:rPr>
        <w:t>】</w:t>
      </w:r>
    </w:p>
    <w:p w14:paraId="123EEEC8" w14:textId="4B7E2A91" w:rsidR="00677AB3" w:rsidRDefault="00F91B7A" w:rsidP="009443D2">
      <w:pPr>
        <w:tabs>
          <w:tab w:val="left" w:pos="1702"/>
        </w:tabs>
      </w:pPr>
      <w:r>
        <w:rPr>
          <w:rFonts w:hint="eastAsia"/>
        </w:rPr>
        <w:t>上の</w:t>
      </w:r>
      <w:r w:rsidR="00757EF4">
        <w:rPr>
          <w:rFonts w:hint="eastAsia"/>
        </w:rPr>
        <w:t>問題で得られる結果を参考にし，</w:t>
      </w:r>
      <w:proofErr w:type="spellStart"/>
      <w:r w:rsidR="00757EF4">
        <w:rPr>
          <w:rFonts w:hint="eastAsia"/>
        </w:rPr>
        <w:t>Fama</w:t>
      </w:r>
      <w:proofErr w:type="spellEnd"/>
      <w:r w:rsidR="00757EF4">
        <w:rPr>
          <w:rFonts w:hint="eastAsia"/>
        </w:rPr>
        <w:t xml:space="preserve"> and French（1</w:t>
      </w:r>
      <w:r w:rsidR="00757EF4">
        <w:t>992</w:t>
      </w:r>
      <w:r w:rsidR="00757EF4">
        <w:rPr>
          <w:rFonts w:hint="eastAsia"/>
        </w:rPr>
        <w:t>）</w:t>
      </w:r>
      <w:r w:rsidR="00FC348D">
        <w:rPr>
          <w:rFonts w:hint="eastAsia"/>
        </w:rPr>
        <w:t>のクロスセクション回帰モデル：</w:t>
      </w:r>
    </w:p>
    <w:p w14:paraId="4233D325" w14:textId="2D495067" w:rsidR="00FC348D" w:rsidRDefault="00063A34" w:rsidP="009443D2">
      <w:pPr>
        <w:tabs>
          <w:tab w:val="left" w:pos="1702"/>
        </w:tabs>
      </w:pPr>
      <m:oMathPara>
        <m:oMath>
          <m:sSub>
            <m:sSubPr>
              <m:ctrlPr>
                <w:rPr>
                  <w:rFonts w:ascii="Cambria Math" w:hAnsi="Cambria Math"/>
                  <w:i/>
                </w:rPr>
              </m:ctrlPr>
            </m:sSubPr>
            <m:e>
              <m:r>
                <w:rPr>
                  <w:rFonts w:ascii="Cambria Math" w:hAnsi="Cambria Math"/>
                </w:rPr>
                <m:t>R</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w:softHyphen/>
          </m:r>
          <m:r>
            <w:rPr>
              <w:rFonts w:ascii="Cambria Math" w:hAnsi="Cambria Math"/>
            </w:rPr>
            <m:t>α+</m:t>
          </m:r>
          <m:sSup>
            <m:sSupPr>
              <m:ctrlPr>
                <w:rPr>
                  <w:rFonts w:ascii="Cambria Math" w:hAnsi="Cambria Math"/>
                  <w:i/>
                </w:rPr>
              </m:ctrlPr>
            </m:sSupPr>
            <m:e>
              <m:r>
                <w:rPr>
                  <w:rFonts w:ascii="Cambria Math" w:hAnsi="Cambria Math"/>
                </w:rPr>
                <m:t>β</m:t>
              </m:r>
            </m:e>
            <m:sup>
              <m:r>
                <w:rPr>
                  <w:rFonts w:ascii="Cambria Math" w:hAnsi="Cambria Math"/>
                </w:rPr>
                <m:t>BETA</m:t>
              </m:r>
            </m:sup>
          </m:sSup>
          <m:r>
            <w:rPr>
              <w:rFonts w:ascii="Cambria Math" w:hAnsi="Cambria Math"/>
            </w:rPr>
            <m:t>BET</m:t>
          </m:r>
          <m:sSub>
            <m:sSubPr>
              <m:ctrlPr>
                <w:rPr>
                  <w:rFonts w:ascii="Cambria Math" w:hAnsi="Cambria Math"/>
                  <w:i/>
                </w:rPr>
              </m:ctrlPr>
            </m:sSubPr>
            <m:e>
              <m:r>
                <w:rPr>
                  <w:rFonts w:ascii="Cambria Math" w:hAnsi="Cambria Math"/>
                </w:rPr>
                <m:t>A</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MKV</m:t>
              </m:r>
            </m:sup>
          </m:sSup>
          <m:r>
            <w:rPr>
              <w:rFonts w:ascii="Cambria Math" w:hAnsi="Cambria Math"/>
            </w:rPr>
            <m:t>MK</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BPR</m:t>
              </m:r>
            </m:sup>
          </m:sSup>
          <m:r>
            <w:rPr>
              <w:rFonts w:ascii="Cambria Math" w:hAnsi="Cambria Math"/>
            </w:rPr>
            <m:t>BP</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(i)</m:t>
          </m:r>
        </m:oMath>
      </m:oMathPara>
    </w:p>
    <w:p w14:paraId="2DCE3AC5" w14:textId="6409DEA4" w:rsidR="00677AB3" w:rsidRDefault="005C108A" w:rsidP="009443D2">
      <w:pPr>
        <w:tabs>
          <w:tab w:val="left" w:pos="1702"/>
        </w:tabs>
      </w:pPr>
      <w:r>
        <w:rPr>
          <w:rFonts w:hint="eastAsia"/>
        </w:rPr>
        <w:t>の意味を再考すると，</w:t>
      </w:r>
      <w:r w:rsidR="00D81D32">
        <w:rPr>
          <w:rFonts w:hint="eastAsia"/>
        </w:rPr>
        <w:t>これはCAPMモデルの残差に関する回帰モデルとみなすことが出来る</w:t>
      </w:r>
      <w:r w:rsidR="00BA482B">
        <w:rPr>
          <w:rFonts w:hint="eastAsia"/>
        </w:rPr>
        <w:t>ことを確認せよ．（ただし，</w:t>
      </w:r>
      <m:oMath>
        <m:r>
          <w:rPr>
            <w:rFonts w:ascii="Cambria Math" w:hAnsi="Cambria Math"/>
          </w:rPr>
          <m:t>BETA</m:t>
        </m:r>
        <m:r>
          <w:rPr>
            <w:rFonts w:ascii="Cambria Math" w:hAnsi="Cambria Math" w:hint="eastAsia"/>
          </w:rPr>
          <m:t>，</m:t>
        </m:r>
        <m:r>
          <w:rPr>
            <w:rFonts w:ascii="Cambria Math" w:hAnsi="Cambria Math"/>
          </w:rPr>
          <m:t>MKV</m:t>
        </m:r>
        <m:r>
          <w:rPr>
            <w:rFonts w:ascii="Cambria Math" w:hAnsi="Cambria Math" w:hint="eastAsia"/>
          </w:rPr>
          <m:t>，</m:t>
        </m:r>
        <m:r>
          <w:rPr>
            <w:rFonts w:ascii="Cambria Math" w:hAnsi="Cambria Math"/>
          </w:rPr>
          <m:t>BPR</m:t>
        </m:r>
      </m:oMath>
      <w:r w:rsidR="00BA482B">
        <w:rPr>
          <w:rFonts w:hint="eastAsia"/>
        </w:rPr>
        <w:t>は互いに無相関</w:t>
      </w:r>
      <w:r w:rsidR="005D0AEF">
        <w:rPr>
          <w:rFonts w:hint="eastAsia"/>
        </w:rPr>
        <w:t>であるとする．</w:t>
      </w:r>
      <w:r w:rsidR="00BA482B">
        <w:rPr>
          <w:rFonts w:hint="eastAsia"/>
        </w:rPr>
        <w:t>）</w:t>
      </w:r>
    </w:p>
    <w:p w14:paraId="69AF2938" w14:textId="586DDD65" w:rsidR="005D0AEF" w:rsidRDefault="005D0AEF" w:rsidP="009443D2">
      <w:pPr>
        <w:tabs>
          <w:tab w:val="left" w:pos="1702"/>
        </w:tabs>
      </w:pPr>
      <w:r>
        <w:rPr>
          <w:rFonts w:hint="eastAsia"/>
        </w:rPr>
        <w:t>≪解答≫</w:t>
      </w:r>
    </w:p>
    <w:p w14:paraId="7F802911" w14:textId="1FBEF84A" w:rsidR="005D0AEF" w:rsidRDefault="005456DC" w:rsidP="005456DC">
      <w:pPr>
        <w:tabs>
          <w:tab w:val="left" w:pos="1702"/>
        </w:tabs>
      </w:pPr>
      <w:r>
        <w:rPr>
          <w:rFonts w:hint="eastAsia"/>
        </w:rPr>
        <w:t>簡単のため無リスク資産収益率を</w:t>
      </w:r>
      <w:r>
        <w:t>0 として考える．与えられたクロ</w:t>
      </w:r>
      <w:r>
        <w:rPr>
          <w:rFonts w:hint="eastAsia"/>
        </w:rPr>
        <w:t>スセクション回帰モデルの中で，回帰分析の結果得られる</w:t>
      </w:r>
      <m:oMath>
        <m:sSup>
          <m:sSupPr>
            <m:ctrlPr>
              <w:rPr>
                <w:rFonts w:ascii="Cambria Math" w:hAnsi="Cambria Math"/>
                <w:i/>
              </w:rPr>
            </m:ctrlPr>
          </m:sSupPr>
          <m:e>
            <m:r>
              <w:rPr>
                <w:rFonts w:ascii="Cambria Math" w:hAnsi="Cambria Math" w:hint="eastAsia"/>
              </w:rPr>
              <m:t>β</m:t>
            </m:r>
            <m:ctrlPr>
              <w:rPr>
                <w:rFonts w:ascii="Cambria Math" w:hAnsi="Cambria Math" w:hint="eastAsia"/>
                <w:i/>
              </w:rPr>
            </m:ctrlPr>
          </m:e>
          <m:sup>
            <m:r>
              <w:rPr>
                <w:rFonts w:ascii="Cambria Math" w:hAnsi="Cambria Math"/>
              </w:rPr>
              <m:t>BETA</m:t>
            </m:r>
          </m:sup>
        </m:sSup>
      </m:oMath>
      <w:r>
        <w:t xml:space="preserve"> は市場ポー</w:t>
      </w:r>
      <w:r>
        <w:rPr>
          <w:rFonts w:hint="eastAsia"/>
        </w:rPr>
        <w:t>トフォリオの（インプライド）リターン</w:t>
      </w:r>
      <w:r w:rsidR="001F2F94">
        <w:rPr>
          <w:rStyle w:val="af"/>
        </w:rPr>
        <w:footnoteReference w:id="1"/>
      </w:r>
      <w:r>
        <w:rPr>
          <w:rFonts w:hint="eastAsia"/>
        </w:rPr>
        <w:t>となるので，これを</w:t>
      </w:r>
      <m:oMath>
        <m:r>
          <w:rPr>
            <w:rFonts w:ascii="Cambria Math" w:hAnsi="Cambria Math"/>
          </w:rPr>
          <m:t>MK</m:t>
        </m:r>
        <m:sSub>
          <m:sSubPr>
            <m:ctrlPr>
              <w:rPr>
                <w:rFonts w:ascii="Cambria Math" w:hAnsi="Cambria Math"/>
                <w:i/>
              </w:rPr>
            </m:ctrlPr>
          </m:sSubPr>
          <m:e>
            <m:r>
              <w:rPr>
                <w:rFonts w:ascii="Cambria Math" w:hAnsi="Cambria Math"/>
              </w:rPr>
              <m:t>T</m:t>
            </m:r>
          </m:e>
          <m:sub>
            <m:r>
              <w:rPr>
                <w:rFonts w:ascii="Cambria Math" w:hAnsi="Cambria Math"/>
              </w:rPr>
              <m:t>t+1</m:t>
            </m:r>
          </m:sub>
        </m:sSub>
      </m:oMath>
      <w:r>
        <w:t xml:space="preserve"> と書くと，</w:t>
      </w:r>
    </w:p>
    <w:p w14:paraId="24EFF9D4" w14:textId="44A6AE75" w:rsidR="00AF1EEC" w:rsidRDefault="00063A34" w:rsidP="00AF1EEC">
      <w:pPr>
        <w:tabs>
          <w:tab w:val="left" w:pos="1702"/>
        </w:tabs>
      </w:pPr>
      <m:oMathPara>
        <m:oMath>
          <m:sSub>
            <m:sSubPr>
              <m:ctrlPr>
                <w:rPr>
                  <w:rFonts w:ascii="Cambria Math" w:hAnsi="Cambria Math"/>
                  <w:i/>
                </w:rPr>
              </m:ctrlPr>
            </m:sSubPr>
            <m:e>
              <m:r>
                <w:rPr>
                  <w:rFonts w:ascii="Cambria Math" w:hAnsi="Cambria Math"/>
                </w:rPr>
                <m:t>R</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w:softHyphen/>
          </m:r>
          <m:r>
            <w:rPr>
              <w:rFonts w:ascii="Cambria Math" w:hAnsi="Cambria Math"/>
            </w:rPr>
            <m:t>α+BET</m:t>
          </m:r>
          <m:sSub>
            <m:sSubPr>
              <m:ctrlPr>
                <w:rPr>
                  <w:rFonts w:ascii="Cambria Math" w:hAnsi="Cambria Math"/>
                  <w:i/>
                </w:rPr>
              </m:ctrlPr>
            </m:sSubPr>
            <m:e>
              <m:r>
                <w:rPr>
                  <w:rFonts w:ascii="Cambria Math" w:hAnsi="Cambria Math"/>
                </w:rPr>
                <m:t>A</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MK</m:t>
          </m:r>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MKV</m:t>
              </m:r>
            </m:sup>
          </m:sSup>
          <m:r>
            <w:rPr>
              <w:rFonts w:ascii="Cambria Math" w:hAnsi="Cambria Math"/>
            </w:rPr>
            <m:t>MK</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BPR</m:t>
              </m:r>
            </m:sup>
          </m:sSup>
          <m:r>
            <w:rPr>
              <w:rFonts w:ascii="Cambria Math" w:hAnsi="Cambria Math"/>
            </w:rPr>
            <m:t>BP</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(i)</m:t>
          </m:r>
        </m:oMath>
      </m:oMathPara>
    </w:p>
    <w:p w14:paraId="1DB50286" w14:textId="2151D8C3" w:rsidR="00AF1EEC" w:rsidRDefault="00D15D5D" w:rsidP="005456DC">
      <w:pPr>
        <w:tabs>
          <w:tab w:val="left" w:pos="1702"/>
        </w:tabs>
      </w:pPr>
      <w:r>
        <w:rPr>
          <w:rFonts w:hint="eastAsia"/>
        </w:rPr>
        <w:t>であり，これを移項すると，</w:t>
      </w:r>
    </w:p>
    <w:p w14:paraId="6ADDB5F0" w14:textId="2912DDB6" w:rsidR="00D15D5D" w:rsidRDefault="00063A34" w:rsidP="00D15D5D">
      <w:pPr>
        <w:tabs>
          <w:tab w:val="left" w:pos="1702"/>
        </w:tabs>
      </w:pPr>
      <m:oMathPara>
        <m:oMath>
          <m:sSub>
            <m:sSubPr>
              <m:ctrlPr>
                <w:rPr>
                  <w:rFonts w:ascii="Cambria Math" w:hAnsi="Cambria Math"/>
                  <w:i/>
                </w:rPr>
              </m:ctrlPr>
            </m:sSubPr>
            <m:e>
              <m:r>
                <w:rPr>
                  <w:rFonts w:ascii="Cambria Math" w:hAnsi="Cambria Math"/>
                </w:rPr>
                <m:t>R</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-BET</m:t>
          </m:r>
          <m:sSub>
            <m:sSubPr>
              <m:ctrlPr>
                <w:rPr>
                  <w:rFonts w:ascii="Cambria Math" w:hAnsi="Cambria Math"/>
                  <w:i/>
                </w:rPr>
              </m:ctrlPr>
            </m:sSubPr>
            <m:e>
              <m:r>
                <w:rPr>
                  <w:rFonts w:ascii="Cambria Math" w:hAnsi="Cambria Math"/>
                </w:rPr>
                <m:t>A</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MK</m:t>
          </m:r>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m:t>
          </m:r>
          <m:r>
            <m:rPr>
              <m:sty m:val="p"/>
            </m:rPr>
            <w:rPr>
              <w:rFonts w:ascii="Cambria Math" w:hAnsi="Cambria Math"/>
            </w:rPr>
            <w:softHyphen/>
          </m:r>
          <m:r>
            <w:rPr>
              <w:rFonts w:ascii="Cambria Math" w:hAnsi="Cambria Math"/>
            </w:rPr>
            <m:t>α+</m:t>
          </m:r>
          <m:sSup>
            <m:sSupPr>
              <m:ctrlPr>
                <w:rPr>
                  <w:rFonts w:ascii="Cambria Math" w:hAnsi="Cambria Math"/>
                  <w:i/>
                </w:rPr>
              </m:ctrlPr>
            </m:sSupPr>
            <m:e>
              <m:r>
                <w:rPr>
                  <w:rFonts w:ascii="Cambria Math" w:hAnsi="Cambria Math"/>
                </w:rPr>
                <m:t>β</m:t>
              </m:r>
            </m:e>
            <m:sup>
              <m:r>
                <w:rPr>
                  <w:rFonts w:ascii="Cambria Math" w:hAnsi="Cambria Math"/>
                </w:rPr>
                <m:t>MKV</m:t>
              </m:r>
            </m:sup>
          </m:sSup>
          <m:r>
            <w:rPr>
              <w:rFonts w:ascii="Cambria Math" w:hAnsi="Cambria Math"/>
            </w:rPr>
            <m:t>MK</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BPR</m:t>
              </m:r>
            </m:sup>
          </m:sSup>
          <m:r>
            <w:rPr>
              <w:rFonts w:ascii="Cambria Math" w:hAnsi="Cambria Math"/>
            </w:rPr>
            <m:t>BP</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(i)</m:t>
          </m:r>
        </m:oMath>
      </m:oMathPara>
    </w:p>
    <w:p w14:paraId="44C3633D" w14:textId="733FA151" w:rsidR="00E34D8E" w:rsidRDefault="00E34D8E" w:rsidP="005456DC">
      <w:pPr>
        <w:tabs>
          <w:tab w:val="left" w:pos="1702"/>
        </w:tabs>
      </w:pPr>
      <w:r>
        <w:rPr>
          <w:rFonts w:hint="eastAsia"/>
        </w:rPr>
        <w:t>となる．左辺は明らかにCAPMモデルの残差を意味するので，これは残差を</w:t>
      </w:r>
      <w:r w:rsidRPr="00E34D8E">
        <w:rPr>
          <w:rFonts w:hint="eastAsia"/>
          <w:i/>
          <w:iCs/>
        </w:rPr>
        <w:t>MKV</w:t>
      </w:r>
      <w:r>
        <w:rPr>
          <w:rFonts w:hint="eastAsia"/>
        </w:rPr>
        <w:t>と</w:t>
      </w:r>
      <w:r>
        <w:rPr>
          <w:rFonts w:hint="eastAsia"/>
          <w:i/>
          <w:iCs/>
        </w:rPr>
        <w:t>BPR</w:t>
      </w:r>
      <w:r>
        <w:rPr>
          <w:rFonts w:hint="eastAsia"/>
        </w:rPr>
        <w:t>で予測しようとしているモデルである．と考えられる．</w:t>
      </w:r>
    </w:p>
    <w:p w14:paraId="6B1C9370" w14:textId="425128FF" w:rsidR="00E34D8E" w:rsidRDefault="00E34D8E" w:rsidP="005456DC">
      <w:pPr>
        <w:tabs>
          <w:tab w:val="left" w:pos="1702"/>
        </w:tabs>
      </w:pPr>
    </w:p>
    <w:p w14:paraId="3E9E9B79" w14:textId="38A15D5F" w:rsidR="00E34D8E" w:rsidRDefault="00E34D8E" w:rsidP="005456DC">
      <w:pPr>
        <w:tabs>
          <w:tab w:val="left" w:pos="1702"/>
        </w:tabs>
      </w:pPr>
    </w:p>
    <w:p w14:paraId="2187EAD1" w14:textId="77777777" w:rsidR="00AF3422" w:rsidRDefault="00AF3422" w:rsidP="005456DC">
      <w:pPr>
        <w:tabs>
          <w:tab w:val="left" w:pos="1702"/>
        </w:tabs>
      </w:pPr>
    </w:p>
    <w:p w14:paraId="76F2E249" w14:textId="2E863A85" w:rsidR="00E34D8E" w:rsidRDefault="00E34D8E" w:rsidP="005456DC">
      <w:pPr>
        <w:tabs>
          <w:tab w:val="left" w:pos="1702"/>
        </w:tabs>
      </w:pPr>
      <w:r>
        <w:rPr>
          <w:rFonts w:hint="eastAsia"/>
        </w:rPr>
        <w:lastRenderedPageBreak/>
        <w:t>【問題3</w:t>
      </w:r>
      <w:r>
        <w:t>.</w:t>
      </w:r>
      <w:r>
        <w:rPr>
          <w:rFonts w:hint="eastAsia"/>
        </w:rPr>
        <w:t>3】</w:t>
      </w:r>
    </w:p>
    <w:p w14:paraId="2DB22CB8" w14:textId="3DA789AD" w:rsidR="00E34D8E" w:rsidRDefault="0095066C" w:rsidP="005456DC">
      <w:pPr>
        <w:tabs>
          <w:tab w:val="left" w:pos="1702"/>
        </w:tabs>
      </w:pPr>
      <w:r>
        <w:rPr>
          <w:rFonts w:hint="eastAsia"/>
        </w:rPr>
        <w:t>上の問題における議論を参考に，債券に関する問題を考える．</w:t>
      </w:r>
      <w:r w:rsidR="00CD2C8B">
        <w:rPr>
          <w:rFonts w:hint="eastAsia"/>
        </w:rPr>
        <w:t>たとえば，個別債券のリターンを説明するクロスセクション回帰モデルを作成する場合，</w:t>
      </w:r>
      <w:r w:rsidR="00F75DB6">
        <w:rPr>
          <w:rFonts w:hint="eastAsia"/>
        </w:rPr>
        <w:t>金利期間構造の平行移動による効果はリスクファクター要因</w:t>
      </w:r>
      <w:r w:rsidR="00097A41">
        <w:rPr>
          <w:rFonts w:hint="eastAsia"/>
        </w:rPr>
        <w:t>として予測の対象にせず，その他の要因を個別債券の属性データで説明することを目指すとき，リスクファクターの影響を吸収するためにはどのようなファクターをクロスセクション回帰</w:t>
      </w:r>
      <w:r w:rsidR="00713023">
        <w:rPr>
          <w:rFonts w:hint="eastAsia"/>
        </w:rPr>
        <w:t>（残差部分の分析）</w:t>
      </w:r>
      <w:r w:rsidR="00097A41">
        <w:rPr>
          <w:rFonts w:hint="eastAsia"/>
        </w:rPr>
        <w:t>に採用すればよいか．</w:t>
      </w:r>
    </w:p>
    <w:p w14:paraId="64C8991A" w14:textId="7EA658A0" w:rsidR="00097A41" w:rsidRDefault="00097A41" w:rsidP="005456DC">
      <w:pPr>
        <w:tabs>
          <w:tab w:val="left" w:pos="1702"/>
        </w:tabs>
      </w:pPr>
    </w:p>
    <w:p w14:paraId="4EA2FEB1" w14:textId="744F570E" w:rsidR="00097A41" w:rsidRDefault="00097A41" w:rsidP="005456DC">
      <w:pPr>
        <w:tabs>
          <w:tab w:val="left" w:pos="1702"/>
        </w:tabs>
      </w:pPr>
      <w:r>
        <w:rPr>
          <w:rFonts w:hint="eastAsia"/>
        </w:rPr>
        <w:t>≪解答≫</w:t>
      </w:r>
    </w:p>
    <w:p w14:paraId="37981ABF" w14:textId="7D01B7AD" w:rsidR="00E34D8E" w:rsidRDefault="00C46D19" w:rsidP="00C46D19">
      <w:pPr>
        <w:pStyle w:val="a7"/>
        <w:numPr>
          <w:ilvl w:val="0"/>
          <w:numId w:val="8"/>
        </w:numPr>
        <w:tabs>
          <w:tab w:val="left" w:pos="1702"/>
        </w:tabs>
        <w:ind w:leftChars="0"/>
      </w:pPr>
      <w:r>
        <w:rPr>
          <w:rFonts w:hint="eastAsia"/>
        </w:rPr>
        <w:t>金利の</w:t>
      </w:r>
      <w:r w:rsidR="002D7F6C">
        <w:rPr>
          <w:rFonts w:hint="eastAsia"/>
        </w:rPr>
        <w:t>パラレルシフトによる影響を説明できるようなファクターを考える必要がある．</w:t>
      </w:r>
    </w:p>
    <w:p w14:paraId="7C85648E" w14:textId="64332B37" w:rsidR="00097A41" w:rsidRDefault="001433F0" w:rsidP="001433F0">
      <w:pPr>
        <w:pStyle w:val="a7"/>
        <w:numPr>
          <w:ilvl w:val="0"/>
          <w:numId w:val="8"/>
        </w:numPr>
        <w:tabs>
          <w:tab w:val="left" w:pos="1702"/>
        </w:tabs>
        <w:ind w:leftChars="0"/>
      </w:pPr>
      <w:r>
        <w:rPr>
          <w:rFonts w:hint="eastAsia"/>
        </w:rPr>
        <w:t>債権の金利感応度としてよく用いられるのは，『デュレーション』と『コンベクシティ』．</w:t>
      </w:r>
    </w:p>
    <w:p w14:paraId="665421C0" w14:textId="5F597A3A" w:rsidR="00097A41" w:rsidRDefault="00097A41" w:rsidP="005456DC">
      <w:pPr>
        <w:tabs>
          <w:tab w:val="left" w:pos="1702"/>
        </w:tabs>
      </w:pPr>
    </w:p>
    <w:p w14:paraId="06B2EEBF" w14:textId="1B0C3218" w:rsidR="00713023" w:rsidRDefault="006F713C" w:rsidP="005456DC">
      <w:pPr>
        <w:tabs>
          <w:tab w:val="left" w:pos="1702"/>
        </w:tabs>
      </w:pPr>
      <w:r>
        <w:rPr>
          <w:rFonts w:hint="eastAsia"/>
        </w:rPr>
        <w:t>クロスセクション回帰におけるファクターにおいて，デュレーションやコンベクシティなどの金利の感応度</w:t>
      </w:r>
      <w:r w:rsidR="008C6F11">
        <w:rPr>
          <w:rFonts w:hint="eastAsia"/>
        </w:rPr>
        <w:t>を表すファクター採用すればよい．</w:t>
      </w:r>
    </w:p>
    <w:p w14:paraId="325D3A60" w14:textId="3D9545A6" w:rsidR="001618C4" w:rsidRDefault="001618C4" w:rsidP="005456DC">
      <w:pPr>
        <w:tabs>
          <w:tab w:val="left" w:pos="1702"/>
        </w:tabs>
      </w:pPr>
    </w:p>
    <w:p w14:paraId="229DC3CE" w14:textId="59082F6E" w:rsidR="001618C4" w:rsidRDefault="001618C4" w:rsidP="005456DC">
      <w:pPr>
        <w:tabs>
          <w:tab w:val="left" w:pos="1702"/>
        </w:tabs>
      </w:pPr>
      <w:r>
        <w:rPr>
          <w:rFonts w:hint="eastAsia"/>
        </w:rPr>
        <w:t>【問題3.6】</w:t>
      </w:r>
    </w:p>
    <w:p w14:paraId="2A107803" w14:textId="70C818E9" w:rsidR="001618C4" w:rsidRDefault="00E2261F" w:rsidP="005456DC">
      <w:pPr>
        <w:tabs>
          <w:tab w:val="left" w:pos="1702"/>
        </w:tabs>
      </w:pPr>
      <w:r>
        <w:rPr>
          <w:rFonts w:hint="eastAsia"/>
        </w:rPr>
        <w:t>実際のアクティブ運用では，投資対象資産の流動性</w:t>
      </w:r>
      <w:r w:rsidR="000006BB">
        <w:rPr>
          <w:rStyle w:val="af"/>
        </w:rPr>
        <w:footnoteReference w:id="2"/>
      </w:r>
      <w:r>
        <w:rPr>
          <w:rFonts w:hint="eastAsia"/>
        </w:rPr>
        <w:t>はパフォーマンスに重大な影響を</w:t>
      </w:r>
      <w:r w:rsidR="00921AFF">
        <w:rPr>
          <w:rFonts w:hint="eastAsia"/>
        </w:rPr>
        <w:t>及ぼす．より現実的なバックテストを行うためには，どのような</w:t>
      </w:r>
      <w:r w:rsidR="00DA43E6">
        <w:rPr>
          <w:rFonts w:hint="eastAsia"/>
        </w:rPr>
        <w:t>工夫をすべきか考えよ．</w:t>
      </w:r>
    </w:p>
    <w:p w14:paraId="5C0C4242" w14:textId="5D56B498" w:rsidR="00DA43E6" w:rsidRDefault="00DA43E6" w:rsidP="005456DC">
      <w:pPr>
        <w:tabs>
          <w:tab w:val="left" w:pos="1702"/>
        </w:tabs>
      </w:pPr>
    </w:p>
    <w:p w14:paraId="625B0428" w14:textId="6FEC012F" w:rsidR="00DA43E6" w:rsidRDefault="00DA43E6" w:rsidP="005456DC">
      <w:pPr>
        <w:tabs>
          <w:tab w:val="left" w:pos="1702"/>
        </w:tabs>
      </w:pPr>
      <w:r>
        <w:rPr>
          <w:rFonts w:hint="eastAsia"/>
        </w:rPr>
        <w:t>≪解答≫</w:t>
      </w:r>
    </w:p>
    <w:p w14:paraId="4BF6486E" w14:textId="7FA4349B" w:rsidR="00DA43E6" w:rsidRPr="00E34D8E" w:rsidRDefault="00260A99" w:rsidP="005456DC">
      <w:pPr>
        <w:tabs>
          <w:tab w:val="left" w:pos="1702"/>
        </w:tabs>
        <w:rPr>
          <w:rFonts w:hint="eastAsia"/>
        </w:rPr>
      </w:pPr>
      <w:r>
        <w:rPr>
          <w:rFonts w:hint="eastAsia"/>
        </w:rPr>
        <w:t>投資対象</w:t>
      </w:r>
      <w:r w:rsidR="00323EEE">
        <w:rPr>
          <w:rFonts w:hint="eastAsia"/>
        </w:rPr>
        <w:t>銘柄</w:t>
      </w:r>
      <w:r w:rsidR="00816153">
        <w:rPr>
          <w:rFonts w:hint="eastAsia"/>
        </w:rPr>
        <w:t>の流動性に沿って，</w:t>
      </w:r>
      <w:r w:rsidR="000214FB">
        <w:rPr>
          <w:rFonts w:hint="eastAsia"/>
        </w:rPr>
        <w:t>バックテストにおける</w:t>
      </w:r>
      <w:r w:rsidR="00473527">
        <w:rPr>
          <w:rFonts w:hint="eastAsia"/>
        </w:rPr>
        <w:t>対象銘柄を決めればよい．</w:t>
      </w:r>
    </w:p>
    <w:sectPr w:rsidR="00DA43E6" w:rsidRPr="00E34D8E" w:rsidSect="004253B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6B020" w14:textId="77777777" w:rsidR="00063A34" w:rsidRDefault="00063A34" w:rsidP="001F2F94">
      <w:r>
        <w:separator/>
      </w:r>
    </w:p>
  </w:endnote>
  <w:endnote w:type="continuationSeparator" w:id="0">
    <w:p w14:paraId="0DD35A62" w14:textId="77777777" w:rsidR="00063A34" w:rsidRDefault="00063A34" w:rsidP="001F2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E0A32" w14:textId="77777777" w:rsidR="00063A34" w:rsidRDefault="00063A34" w:rsidP="001F2F94">
      <w:r>
        <w:separator/>
      </w:r>
    </w:p>
  </w:footnote>
  <w:footnote w:type="continuationSeparator" w:id="0">
    <w:p w14:paraId="714BC09C" w14:textId="77777777" w:rsidR="00063A34" w:rsidRDefault="00063A34" w:rsidP="001F2F94">
      <w:r>
        <w:continuationSeparator/>
      </w:r>
    </w:p>
  </w:footnote>
  <w:footnote w:id="1">
    <w:p w14:paraId="7C47F11E" w14:textId="65C4D363" w:rsidR="001F2F94" w:rsidRPr="001F2F94" w:rsidRDefault="001F2F94">
      <w:pPr>
        <w:pStyle w:val="ad"/>
        <w:rPr>
          <w:sz w:val="18"/>
          <w:szCs w:val="18"/>
        </w:rPr>
      </w:pPr>
      <w:r>
        <w:rPr>
          <w:rStyle w:val="af"/>
        </w:rPr>
        <w:footnoteRef/>
      </w:r>
      <w:r>
        <w:t xml:space="preserve"> </w:t>
      </w:r>
      <w:r w:rsidRPr="001F2F94">
        <w:rPr>
          <w:rFonts w:hint="eastAsia"/>
        </w:rPr>
        <w:t>直接リターンの構成要素を積み上げて算出するのではなく</w:t>
      </w:r>
      <w:r w:rsidR="00CA01DA">
        <w:rPr>
          <w:rFonts w:hint="eastAsia"/>
        </w:rPr>
        <w:t>，</w:t>
      </w:r>
      <w:r w:rsidRPr="001F2F94">
        <w:rPr>
          <w:rFonts w:hint="eastAsia"/>
        </w:rPr>
        <w:t>他の要素から逆算して算出された期待リターン</w:t>
      </w:r>
      <w:r w:rsidR="00CA01DA">
        <w:rPr>
          <w:rFonts w:hint="eastAsia"/>
        </w:rPr>
        <w:t>のこと．</w:t>
      </w:r>
    </w:p>
  </w:footnote>
  <w:footnote w:id="2">
    <w:p w14:paraId="4770A22C" w14:textId="10389906" w:rsidR="000006BB" w:rsidRDefault="000006BB" w:rsidP="000006BB">
      <w:pPr>
        <w:pStyle w:val="ad"/>
        <w:rPr>
          <w:rFonts w:hint="eastAsia"/>
        </w:rPr>
      </w:pPr>
      <w:r>
        <w:rPr>
          <w:rStyle w:val="af"/>
        </w:rPr>
        <w:footnoteRef/>
      </w:r>
      <w:r>
        <w:t xml:space="preserve"> </w:t>
      </w:r>
      <w:r w:rsidRPr="000006BB">
        <w:rPr>
          <w:rFonts w:hint="eastAsia"/>
          <w:sz w:val="18"/>
          <w:szCs w:val="18"/>
        </w:rPr>
        <w:t>流動性リスクとは</w:t>
      </w:r>
      <w:r>
        <w:rPr>
          <w:rFonts w:hint="eastAsia"/>
          <w:sz w:val="18"/>
          <w:szCs w:val="18"/>
        </w:rPr>
        <w:t>，</w:t>
      </w:r>
      <w:r w:rsidRPr="000006BB">
        <w:rPr>
          <w:rFonts w:hint="eastAsia"/>
          <w:sz w:val="18"/>
          <w:szCs w:val="18"/>
        </w:rPr>
        <w:t>運用と調達の期間のミスマッチや予期せぬ資金の流出などにより</w:t>
      </w:r>
      <w:r>
        <w:rPr>
          <w:rFonts w:hint="eastAsia"/>
          <w:sz w:val="18"/>
          <w:szCs w:val="18"/>
        </w:rPr>
        <w:t>，</w:t>
      </w:r>
      <w:r w:rsidRPr="000006BB">
        <w:rPr>
          <w:rFonts w:hint="eastAsia"/>
          <w:sz w:val="18"/>
          <w:szCs w:val="18"/>
        </w:rPr>
        <w:t>必要な資金確保が困難になる</w:t>
      </w:r>
      <w:r>
        <w:rPr>
          <w:rFonts w:hint="eastAsia"/>
          <w:sz w:val="18"/>
          <w:szCs w:val="18"/>
        </w:rPr>
        <w:t>，</w:t>
      </w:r>
      <w:r w:rsidRPr="000006BB">
        <w:rPr>
          <w:rFonts w:hint="eastAsia"/>
          <w:sz w:val="18"/>
          <w:szCs w:val="18"/>
        </w:rPr>
        <w:t>または通常よりも著しく高い金利での資金調達を余儀なくされることにより損失を被るリスクおよび</w:t>
      </w:r>
      <w:r w:rsidRPr="000006BB">
        <w:rPr>
          <w:sz w:val="18"/>
          <w:szCs w:val="18"/>
        </w:rPr>
        <w:t>市場の混乱等により市場において取引ができ</w:t>
      </w:r>
      <w:r w:rsidRPr="000006BB">
        <w:rPr>
          <w:rFonts w:hint="eastAsia"/>
          <w:sz w:val="18"/>
          <w:szCs w:val="18"/>
        </w:rPr>
        <w:t>なかったり</w:t>
      </w:r>
      <w:r>
        <w:rPr>
          <w:rFonts w:hint="eastAsia"/>
          <w:sz w:val="18"/>
          <w:szCs w:val="18"/>
        </w:rPr>
        <w:t>、</w:t>
      </w:r>
      <w:r w:rsidRPr="000006BB">
        <w:rPr>
          <w:rFonts w:hint="eastAsia"/>
          <w:sz w:val="18"/>
          <w:szCs w:val="18"/>
        </w:rPr>
        <w:t>通常よりも著しく不利な価格での取引を余儀なくされることにより損失を被るリスクをいう</w:t>
      </w:r>
      <w:r>
        <w:rPr>
          <w:rFonts w:hint="eastAsia"/>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2" w15:restartNumberingAfterBreak="0">
    <w:nsid w:val="18260C8F"/>
    <w:multiLevelType w:val="hybridMultilevel"/>
    <w:tmpl w:val="8490EE5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C32AB8"/>
    <w:multiLevelType w:val="multilevel"/>
    <w:tmpl w:val="82C4FF70"/>
    <w:numStyleLink w:val="a0"/>
  </w:abstractNum>
  <w:abstractNum w:abstractNumId="4" w15:restartNumberingAfterBreak="0">
    <w:nsid w:val="18E2522A"/>
    <w:multiLevelType w:val="multilevel"/>
    <w:tmpl w:val="D85E49A8"/>
    <w:numStyleLink w:val="a"/>
  </w:abstractNum>
  <w:abstractNum w:abstractNumId="5"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53163E0A"/>
    <w:multiLevelType w:val="hybridMultilevel"/>
    <w:tmpl w:val="0A0EFB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1"/>
  </w:num>
  <w:num w:numId="3">
    <w:abstractNumId w:val="0"/>
  </w:num>
  <w:num w:numId="4">
    <w:abstractNumId w:val="7"/>
  </w:num>
  <w:num w:numId="5">
    <w:abstractNumId w:val="3"/>
  </w:num>
  <w:num w:numId="6">
    <w:abstractNumId w:val="4"/>
  </w:num>
  <w:num w:numId="7">
    <w:abstractNumId w:val="6"/>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6BB"/>
    <w:rsid w:val="00004D92"/>
    <w:rsid w:val="00016640"/>
    <w:rsid w:val="000214FB"/>
    <w:rsid w:val="00027397"/>
    <w:rsid w:val="00052966"/>
    <w:rsid w:val="00063A34"/>
    <w:rsid w:val="00070DEC"/>
    <w:rsid w:val="00081283"/>
    <w:rsid w:val="000868E9"/>
    <w:rsid w:val="00097A41"/>
    <w:rsid w:val="000A5EF3"/>
    <w:rsid w:val="000C0FD8"/>
    <w:rsid w:val="000C6592"/>
    <w:rsid w:val="000E0C7D"/>
    <w:rsid w:val="000E775C"/>
    <w:rsid w:val="000F55EC"/>
    <w:rsid w:val="00135ADB"/>
    <w:rsid w:val="001433F0"/>
    <w:rsid w:val="001618C4"/>
    <w:rsid w:val="0016426E"/>
    <w:rsid w:val="00174B5E"/>
    <w:rsid w:val="00177316"/>
    <w:rsid w:val="001A06B5"/>
    <w:rsid w:val="001B4E2A"/>
    <w:rsid w:val="001C6409"/>
    <w:rsid w:val="001D2789"/>
    <w:rsid w:val="001E4D6F"/>
    <w:rsid w:val="001F2F94"/>
    <w:rsid w:val="00202248"/>
    <w:rsid w:val="00213DF9"/>
    <w:rsid w:val="00224F78"/>
    <w:rsid w:val="00250C71"/>
    <w:rsid w:val="002559C0"/>
    <w:rsid w:val="00260A99"/>
    <w:rsid w:val="00280504"/>
    <w:rsid w:val="00296A64"/>
    <w:rsid w:val="002C1FB9"/>
    <w:rsid w:val="002D7F6C"/>
    <w:rsid w:val="002E22E4"/>
    <w:rsid w:val="002E55FE"/>
    <w:rsid w:val="002F624B"/>
    <w:rsid w:val="002F6D8C"/>
    <w:rsid w:val="00323EEE"/>
    <w:rsid w:val="00345368"/>
    <w:rsid w:val="00350DC9"/>
    <w:rsid w:val="00390FB3"/>
    <w:rsid w:val="003A2FAC"/>
    <w:rsid w:val="003A369D"/>
    <w:rsid w:val="003C0565"/>
    <w:rsid w:val="003D0009"/>
    <w:rsid w:val="00403C96"/>
    <w:rsid w:val="00424294"/>
    <w:rsid w:val="004253BC"/>
    <w:rsid w:val="00473527"/>
    <w:rsid w:val="00474041"/>
    <w:rsid w:val="00477554"/>
    <w:rsid w:val="0048323B"/>
    <w:rsid w:val="00487A06"/>
    <w:rsid w:val="004B098B"/>
    <w:rsid w:val="004C00F5"/>
    <w:rsid w:val="004D5518"/>
    <w:rsid w:val="004F5975"/>
    <w:rsid w:val="0054423C"/>
    <w:rsid w:val="005456DC"/>
    <w:rsid w:val="00570038"/>
    <w:rsid w:val="00591420"/>
    <w:rsid w:val="0059147D"/>
    <w:rsid w:val="005A2867"/>
    <w:rsid w:val="005A59A0"/>
    <w:rsid w:val="005B1AE2"/>
    <w:rsid w:val="005B66CB"/>
    <w:rsid w:val="005C108A"/>
    <w:rsid w:val="005C56E1"/>
    <w:rsid w:val="005D0969"/>
    <w:rsid w:val="005D0AEF"/>
    <w:rsid w:val="005F7FF5"/>
    <w:rsid w:val="00626608"/>
    <w:rsid w:val="00626B5F"/>
    <w:rsid w:val="00634124"/>
    <w:rsid w:val="00635D8C"/>
    <w:rsid w:val="00651E81"/>
    <w:rsid w:val="00677AB3"/>
    <w:rsid w:val="00677F2E"/>
    <w:rsid w:val="006A06A0"/>
    <w:rsid w:val="006A180F"/>
    <w:rsid w:val="006B27DF"/>
    <w:rsid w:val="006B7B75"/>
    <w:rsid w:val="006D4140"/>
    <w:rsid w:val="006E19E8"/>
    <w:rsid w:val="006F713C"/>
    <w:rsid w:val="006F75DA"/>
    <w:rsid w:val="00713023"/>
    <w:rsid w:val="007155BE"/>
    <w:rsid w:val="00734FCE"/>
    <w:rsid w:val="00757224"/>
    <w:rsid w:val="00757579"/>
    <w:rsid w:val="00757EF4"/>
    <w:rsid w:val="0076715F"/>
    <w:rsid w:val="00770BEB"/>
    <w:rsid w:val="00795011"/>
    <w:rsid w:val="007C4D9D"/>
    <w:rsid w:val="007F71A4"/>
    <w:rsid w:val="007F74D2"/>
    <w:rsid w:val="00800618"/>
    <w:rsid w:val="00804D24"/>
    <w:rsid w:val="008061A7"/>
    <w:rsid w:val="0081321E"/>
    <w:rsid w:val="00816153"/>
    <w:rsid w:val="008162CD"/>
    <w:rsid w:val="00862B48"/>
    <w:rsid w:val="00867DE5"/>
    <w:rsid w:val="00885D00"/>
    <w:rsid w:val="0088792A"/>
    <w:rsid w:val="00892FF6"/>
    <w:rsid w:val="00893F5C"/>
    <w:rsid w:val="008A1FB3"/>
    <w:rsid w:val="008A2FB3"/>
    <w:rsid w:val="008C1F35"/>
    <w:rsid w:val="008C6F11"/>
    <w:rsid w:val="009047D9"/>
    <w:rsid w:val="00921AFF"/>
    <w:rsid w:val="0093081E"/>
    <w:rsid w:val="00935CD6"/>
    <w:rsid w:val="00941A0A"/>
    <w:rsid w:val="009443D2"/>
    <w:rsid w:val="009505EF"/>
    <w:rsid w:val="0095066C"/>
    <w:rsid w:val="00953BA5"/>
    <w:rsid w:val="0098698C"/>
    <w:rsid w:val="009938D6"/>
    <w:rsid w:val="009B19F9"/>
    <w:rsid w:val="009C20B3"/>
    <w:rsid w:val="009D29E9"/>
    <w:rsid w:val="009E0BEF"/>
    <w:rsid w:val="009F1369"/>
    <w:rsid w:val="00A2225B"/>
    <w:rsid w:val="00A26B86"/>
    <w:rsid w:val="00A276B7"/>
    <w:rsid w:val="00A5389E"/>
    <w:rsid w:val="00A619C1"/>
    <w:rsid w:val="00A77D52"/>
    <w:rsid w:val="00A83AFA"/>
    <w:rsid w:val="00AB02D6"/>
    <w:rsid w:val="00AC1979"/>
    <w:rsid w:val="00AD63D1"/>
    <w:rsid w:val="00AF0427"/>
    <w:rsid w:val="00AF1EEC"/>
    <w:rsid w:val="00AF3422"/>
    <w:rsid w:val="00B05886"/>
    <w:rsid w:val="00B05DF0"/>
    <w:rsid w:val="00B12785"/>
    <w:rsid w:val="00B13D61"/>
    <w:rsid w:val="00B13E29"/>
    <w:rsid w:val="00B36EE5"/>
    <w:rsid w:val="00B429A7"/>
    <w:rsid w:val="00B63FB3"/>
    <w:rsid w:val="00B858C3"/>
    <w:rsid w:val="00BA482B"/>
    <w:rsid w:val="00BC57A8"/>
    <w:rsid w:val="00BC787A"/>
    <w:rsid w:val="00BE4D8A"/>
    <w:rsid w:val="00BE7F69"/>
    <w:rsid w:val="00C14EBD"/>
    <w:rsid w:val="00C42569"/>
    <w:rsid w:val="00C46D19"/>
    <w:rsid w:val="00C61E70"/>
    <w:rsid w:val="00C74741"/>
    <w:rsid w:val="00C90562"/>
    <w:rsid w:val="00CA01DA"/>
    <w:rsid w:val="00CA39B1"/>
    <w:rsid w:val="00CA53D0"/>
    <w:rsid w:val="00CB12C5"/>
    <w:rsid w:val="00CB57AE"/>
    <w:rsid w:val="00CD2C8B"/>
    <w:rsid w:val="00CF2A22"/>
    <w:rsid w:val="00CF4F5E"/>
    <w:rsid w:val="00D15D5D"/>
    <w:rsid w:val="00D21273"/>
    <w:rsid w:val="00D274D8"/>
    <w:rsid w:val="00D36649"/>
    <w:rsid w:val="00D44656"/>
    <w:rsid w:val="00D629AD"/>
    <w:rsid w:val="00D72507"/>
    <w:rsid w:val="00D77F9D"/>
    <w:rsid w:val="00D81D32"/>
    <w:rsid w:val="00D827D9"/>
    <w:rsid w:val="00D951FC"/>
    <w:rsid w:val="00DA43E6"/>
    <w:rsid w:val="00DA5C88"/>
    <w:rsid w:val="00DB49E3"/>
    <w:rsid w:val="00DF593B"/>
    <w:rsid w:val="00E00D29"/>
    <w:rsid w:val="00E1138D"/>
    <w:rsid w:val="00E16A57"/>
    <w:rsid w:val="00E17D53"/>
    <w:rsid w:val="00E21FB0"/>
    <w:rsid w:val="00E2261F"/>
    <w:rsid w:val="00E306B1"/>
    <w:rsid w:val="00E326A4"/>
    <w:rsid w:val="00E34D8E"/>
    <w:rsid w:val="00E75C42"/>
    <w:rsid w:val="00E85582"/>
    <w:rsid w:val="00EB29E6"/>
    <w:rsid w:val="00EB5DDF"/>
    <w:rsid w:val="00EC36EF"/>
    <w:rsid w:val="00EC6E84"/>
    <w:rsid w:val="00ED3244"/>
    <w:rsid w:val="00ED67AB"/>
    <w:rsid w:val="00EE2B14"/>
    <w:rsid w:val="00EF7EDE"/>
    <w:rsid w:val="00F16AF8"/>
    <w:rsid w:val="00F21951"/>
    <w:rsid w:val="00F22E0B"/>
    <w:rsid w:val="00F33A68"/>
    <w:rsid w:val="00F343ED"/>
    <w:rsid w:val="00F47013"/>
    <w:rsid w:val="00F75DB6"/>
    <w:rsid w:val="00F8103E"/>
    <w:rsid w:val="00F91B7A"/>
    <w:rsid w:val="00FA7D36"/>
    <w:rsid w:val="00FB3972"/>
    <w:rsid w:val="00FC348D"/>
    <w:rsid w:val="00FE5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15D5D"/>
    <w:pPr>
      <w:widowControl w:val="0"/>
      <w:jc w:val="both"/>
    </w:pPr>
  </w:style>
  <w:style w:type="paragraph" w:styleId="1">
    <w:name w:val="heading 1"/>
    <w:basedOn w:val="a1"/>
    <w:next w:val="a1"/>
    <w:link w:val="11"/>
    <w:autoRedefine/>
    <w:uiPriority w:val="9"/>
    <w:qFormat/>
    <w:rsid w:val="006A180F"/>
    <w:pPr>
      <w:keepNext/>
      <w:numPr>
        <w:numId w:val="6"/>
      </w:numPr>
      <w:outlineLvl w:val="0"/>
    </w:pPr>
    <w:rPr>
      <w:rFonts w:ascii="Times New Roman" w:eastAsia="ＭＳ 明朝" w:hAnsi="Times New Roman" w:cstheme="majorBidi"/>
      <w:b/>
      <w:sz w:val="32"/>
      <w:szCs w:val="24"/>
    </w:rPr>
  </w:style>
  <w:style w:type="paragraph" w:styleId="2">
    <w:name w:val="heading 2"/>
    <w:basedOn w:val="a1"/>
    <w:next w:val="a1"/>
    <w:link w:val="21"/>
    <w:uiPriority w:val="9"/>
    <w:unhideWhenUsed/>
    <w:qFormat/>
    <w:rsid w:val="009C20B3"/>
    <w:pPr>
      <w:keepNext/>
      <w:numPr>
        <w:ilvl w:val="1"/>
        <w:numId w:val="6"/>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6"/>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numPr>
        <w:numId w:val="5"/>
      </w:numPr>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rPr>
  </w:style>
  <w:style w:type="character" w:customStyle="1" w:styleId="21">
    <w:name w:val="見出し 2 (文字)"/>
    <w:basedOn w:val="a2"/>
    <w:link w:val="2"/>
    <w:uiPriority w:val="9"/>
    <w:rsid w:val="009C20B3"/>
    <w:rPr>
      <w:rFonts w:asciiTheme="majorHAnsi" w:eastAsia="ＭＳ 明朝" w:hAnsiTheme="majorHAnsi" w:cstheme="majorBidi"/>
      <w:b/>
      <w:sz w:val="28"/>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6A180F"/>
    <w:rPr>
      <w:rFonts w:ascii="Times New Roman" w:eastAsia="ＭＳ 明朝" w:hAnsi="Times New Roman" w:cstheme="majorBidi"/>
      <w:b/>
      <w:sz w:val="32"/>
      <w:szCs w:val="24"/>
    </w:rPr>
  </w:style>
  <w:style w:type="paragraph" w:styleId="a7">
    <w:name w:val="List Paragraph"/>
    <w:basedOn w:val="a1"/>
    <w:uiPriority w:val="34"/>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footnote text"/>
    <w:basedOn w:val="a1"/>
    <w:link w:val="ae"/>
    <w:uiPriority w:val="99"/>
    <w:semiHidden/>
    <w:unhideWhenUsed/>
    <w:rsid w:val="001F2F94"/>
    <w:pPr>
      <w:snapToGrid w:val="0"/>
      <w:jc w:val="left"/>
    </w:pPr>
  </w:style>
  <w:style w:type="character" w:customStyle="1" w:styleId="ae">
    <w:name w:val="脚注文字列 (文字)"/>
    <w:basedOn w:val="a2"/>
    <w:link w:val="ad"/>
    <w:uiPriority w:val="99"/>
    <w:semiHidden/>
    <w:rsid w:val="001F2F94"/>
  </w:style>
  <w:style w:type="character" w:styleId="af">
    <w:name w:val="footnote reference"/>
    <w:basedOn w:val="a2"/>
    <w:uiPriority w:val="99"/>
    <w:semiHidden/>
    <w:unhideWhenUsed/>
    <w:rsid w:val="001F2F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88D3E-E671-4103-8892-AF252EE30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6</Pages>
  <Words>612</Words>
  <Characters>3495</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143</cp:revision>
  <dcterms:created xsi:type="dcterms:W3CDTF">2020-12-14T15:01:00Z</dcterms:created>
  <dcterms:modified xsi:type="dcterms:W3CDTF">2020-12-22T08:43:00Z</dcterms:modified>
</cp:coreProperties>
</file>