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C83D2" w14:textId="55CDEC84" w:rsidR="00140757" w:rsidRPr="00373E1D" w:rsidRDefault="00373E1D" w:rsidP="00373E1D">
      <w:pPr>
        <w:pStyle w:val="a3"/>
        <w:rPr>
          <w:rFonts w:asciiTheme="minorHAnsi" w:eastAsiaTheme="minorHAnsi" w:hAnsiTheme="minorHAnsi"/>
          <w:b/>
          <w:bCs/>
        </w:rPr>
      </w:pPr>
      <w:r w:rsidRPr="00373E1D">
        <w:rPr>
          <w:rFonts w:asciiTheme="minorHAnsi" w:eastAsiaTheme="minorHAnsi" w:hAnsiTheme="minorHAnsi" w:hint="eastAsia"/>
          <w:b/>
          <w:bCs/>
        </w:rPr>
        <w:t>ファイナンス統計の統計モデルと実証分析</w:t>
      </w:r>
    </w:p>
    <w:p w14:paraId="57F75B52" w14:textId="47772AB0" w:rsidR="00373E1D" w:rsidRDefault="00373E1D" w:rsidP="00373E1D"/>
    <w:p w14:paraId="41AD69DE" w14:textId="7897F15E" w:rsidR="00373E1D" w:rsidRPr="00570922" w:rsidRDefault="00373E1D" w:rsidP="00373E1D">
      <w:pPr>
        <w:pStyle w:val="a5"/>
        <w:numPr>
          <w:ilvl w:val="0"/>
          <w:numId w:val="1"/>
        </w:numPr>
        <w:ind w:leftChars="0"/>
        <w:rPr>
          <w:sz w:val="22"/>
        </w:rPr>
      </w:pPr>
      <w:r w:rsidRPr="00570922">
        <w:rPr>
          <w:rFonts w:hint="eastAsia"/>
          <w:sz w:val="22"/>
        </w:rPr>
        <w:t>パフォーマンス分析への応用</w:t>
      </w:r>
    </w:p>
    <w:p w14:paraId="78139449" w14:textId="0448D044" w:rsidR="00373E1D" w:rsidRDefault="00373E1D" w:rsidP="00193B32">
      <w:r>
        <w:rPr>
          <w:rFonts w:hint="eastAsia"/>
        </w:rPr>
        <w:t>パフォーマンス分析で考慮する要素…『リスクとリターン』</w:t>
      </w:r>
    </w:p>
    <w:p w14:paraId="2FFC9C7B" w14:textId="719E5CB6" w:rsidR="00570922" w:rsidRPr="00570922" w:rsidRDefault="00373E1D" w:rsidP="00193B32">
      <w:r>
        <w:rPr>
          <w:rFonts w:hint="eastAsia"/>
        </w:rPr>
        <w:t>⇒</w:t>
      </w:r>
      <w:r w:rsidR="00570922">
        <w:rPr>
          <w:rFonts w:hint="eastAsia"/>
        </w:rPr>
        <w:t>リターン</w:t>
      </w:r>
      <w:r>
        <w:rPr>
          <w:rFonts w:hint="eastAsia"/>
        </w:rPr>
        <w:t>のみならず</w:t>
      </w:r>
      <w:r w:rsidR="00570922" w:rsidRPr="00AA3B57">
        <w:rPr>
          <w:rFonts w:hint="eastAsia"/>
          <w:b/>
          <w:bCs/>
          <w:color w:val="FF0000"/>
        </w:rPr>
        <w:t>リスク</w:t>
      </w:r>
      <w:r w:rsidR="00570922">
        <w:rPr>
          <w:rFonts w:hint="eastAsia"/>
        </w:rPr>
        <w:t>も計測し，リスク調節後のリタ</w:t>
      </w:r>
      <w:r w:rsidR="00714C21">
        <w:rPr>
          <w:rFonts w:hint="eastAsia"/>
        </w:rPr>
        <w:t>ー</w:t>
      </w:r>
      <w:r w:rsidR="00570922">
        <w:rPr>
          <w:rFonts w:hint="eastAsia"/>
        </w:rPr>
        <w:t>ン指標として計測する．</w:t>
      </w:r>
    </w:p>
    <w:p w14:paraId="27EA8A4C" w14:textId="3D243C88" w:rsidR="00570922" w:rsidRDefault="00570922" w:rsidP="00570922">
      <w:pPr>
        <w:rPr>
          <w:b/>
          <w:bCs/>
          <w:sz w:val="22"/>
          <w:u w:val="single"/>
        </w:rPr>
      </w:pPr>
      <w:r>
        <w:rPr>
          <w:rFonts w:hint="eastAsia"/>
          <w:b/>
          <w:bCs/>
          <w:sz w:val="22"/>
          <w:u w:val="single"/>
        </w:rPr>
        <w:t>リスク調節後のパフォーマンス尺度の代表例</w:t>
      </w:r>
    </w:p>
    <w:tbl>
      <w:tblPr>
        <w:tblStyle w:val="a6"/>
        <w:tblW w:w="977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547"/>
        <w:gridCol w:w="5812"/>
        <w:gridCol w:w="1417"/>
      </w:tblGrid>
      <w:tr w:rsidR="00AA3B57" w14:paraId="1A4703ED" w14:textId="218EF3D6" w:rsidTr="00127BA8">
        <w:tc>
          <w:tcPr>
            <w:tcW w:w="2547" w:type="dxa"/>
            <w:vAlign w:val="center"/>
          </w:tcPr>
          <w:p w14:paraId="679DFD9C" w14:textId="2C922FC7" w:rsidR="00AA3B57" w:rsidRDefault="00AA3B57" w:rsidP="00886257">
            <w:pPr>
              <w:pStyle w:val="a5"/>
              <w:numPr>
                <w:ilvl w:val="0"/>
                <w:numId w:val="2"/>
              </w:numPr>
              <w:ind w:leftChars="0"/>
            </w:pPr>
            <w:r>
              <w:rPr>
                <w:rFonts w:hint="eastAsia"/>
              </w:rPr>
              <w:t>Shape尺度</w:t>
            </w:r>
          </w:p>
        </w:tc>
        <w:tc>
          <w:tcPr>
            <w:tcW w:w="5812" w:type="dxa"/>
          </w:tcPr>
          <w:p w14:paraId="3317272F" w14:textId="2162EAC9" w:rsidR="00AA3B57" w:rsidRPr="00164EA0" w:rsidRDefault="00A0709F" w:rsidP="00570922">
            <m:oMathPara>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m:oMathPara>
          </w:p>
        </w:tc>
        <w:tc>
          <w:tcPr>
            <w:tcW w:w="1417" w:type="dxa"/>
            <w:vAlign w:val="center"/>
          </w:tcPr>
          <w:p w14:paraId="042D198F" w14:textId="749A694B" w:rsidR="00AA3B57" w:rsidRDefault="00582D49" w:rsidP="00582D49">
            <w:pPr>
              <w:jc w:val="center"/>
              <w:rPr>
                <w:rFonts w:ascii="游明朝" w:eastAsia="游明朝" w:hAnsi="游明朝" w:cs="Times New Roman"/>
              </w:rPr>
            </w:pPr>
            <w:r>
              <w:rPr>
                <w:rFonts w:ascii="游明朝" w:eastAsia="游明朝" w:hAnsi="游明朝" w:cs="Times New Roman" w:hint="eastAsia"/>
              </w:rPr>
              <w:t>(</w:t>
            </w:r>
            <w:r>
              <w:rPr>
                <w:rFonts w:ascii="游明朝" w:eastAsia="游明朝" w:hAnsi="游明朝" w:cs="Times New Roman"/>
              </w:rPr>
              <w:t>2.7)</w:t>
            </w:r>
          </w:p>
        </w:tc>
      </w:tr>
      <w:tr w:rsidR="00AA3B57" w14:paraId="642B3ABA" w14:textId="513A3AFF" w:rsidTr="00127BA8">
        <w:tc>
          <w:tcPr>
            <w:tcW w:w="2547" w:type="dxa"/>
            <w:vAlign w:val="center"/>
          </w:tcPr>
          <w:p w14:paraId="316E6A5F" w14:textId="5E00FAD2" w:rsidR="00AA3B57" w:rsidRDefault="002F4C3F" w:rsidP="00886257">
            <w:pPr>
              <w:pStyle w:val="a5"/>
              <w:numPr>
                <w:ilvl w:val="0"/>
                <w:numId w:val="2"/>
              </w:numPr>
              <w:ind w:leftChars="0"/>
            </w:pPr>
            <w:r>
              <w:rPr>
                <w:rFonts w:hint="eastAsia"/>
              </w:rPr>
              <w:t>T</w:t>
            </w:r>
            <w:r>
              <w:t>reynor</w:t>
            </w:r>
            <w:r>
              <w:rPr>
                <w:rFonts w:hint="eastAsia"/>
              </w:rPr>
              <w:t>尺度</w:t>
            </w:r>
          </w:p>
        </w:tc>
        <w:tc>
          <w:tcPr>
            <w:tcW w:w="5812" w:type="dxa"/>
          </w:tcPr>
          <w:p w14:paraId="73F39F17" w14:textId="2374F3E0" w:rsidR="002F4C3F" w:rsidRPr="002F4C3F" w:rsidRDefault="00A0709F" w:rsidP="00570922">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m:oMathPara>
          </w:p>
        </w:tc>
        <w:tc>
          <w:tcPr>
            <w:tcW w:w="1417" w:type="dxa"/>
            <w:vAlign w:val="center"/>
          </w:tcPr>
          <w:p w14:paraId="41F61D61" w14:textId="6F9A6DA3" w:rsidR="00AA3B57" w:rsidRDefault="00582D49" w:rsidP="00582D49">
            <w:pPr>
              <w:jc w:val="center"/>
            </w:pPr>
            <w:r>
              <w:rPr>
                <w:rFonts w:hint="eastAsia"/>
              </w:rPr>
              <w:t>(</w:t>
            </w:r>
            <w:r>
              <w:t>2.8)</w:t>
            </w:r>
          </w:p>
        </w:tc>
      </w:tr>
      <w:tr w:rsidR="006A01C0" w14:paraId="494B9D62" w14:textId="19D1FCCA" w:rsidTr="00127BA8">
        <w:tc>
          <w:tcPr>
            <w:tcW w:w="2547" w:type="dxa"/>
            <w:vAlign w:val="center"/>
          </w:tcPr>
          <w:p w14:paraId="6978D7B2" w14:textId="5D24A591" w:rsidR="006A01C0" w:rsidRDefault="006A01C0" w:rsidP="00886257">
            <w:pPr>
              <w:pStyle w:val="a5"/>
              <w:numPr>
                <w:ilvl w:val="0"/>
                <w:numId w:val="2"/>
              </w:numPr>
              <w:ind w:leftChars="0"/>
            </w:pPr>
            <w:r>
              <w:rPr>
                <w:rFonts w:hint="eastAsia"/>
              </w:rPr>
              <w:t>J</w:t>
            </w:r>
            <w:r>
              <w:t>ensen</w:t>
            </w:r>
            <w:r>
              <w:rPr>
                <w:rFonts w:hint="eastAsia"/>
              </w:rPr>
              <w:t>尺度</w:t>
            </w:r>
          </w:p>
        </w:tc>
        <w:tc>
          <w:tcPr>
            <w:tcW w:w="5812" w:type="dxa"/>
          </w:tcPr>
          <w:p w14:paraId="5BF7B79B" w14:textId="1249E10A" w:rsidR="00DD3875" w:rsidRPr="00DD3875" w:rsidRDefault="00A0709F" w:rsidP="00570922">
            <m:oMathPara>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tc>
        <w:tc>
          <w:tcPr>
            <w:tcW w:w="1417" w:type="dxa"/>
            <w:vAlign w:val="center"/>
          </w:tcPr>
          <w:p w14:paraId="27DB9019" w14:textId="6135573E" w:rsidR="006A01C0" w:rsidRDefault="00582D49" w:rsidP="00582D49">
            <w:pPr>
              <w:jc w:val="center"/>
            </w:pPr>
            <w:r>
              <w:rPr>
                <w:rFonts w:hint="eastAsia"/>
              </w:rPr>
              <w:t>(</w:t>
            </w:r>
            <w:r>
              <w:t>2.9)</w:t>
            </w:r>
          </w:p>
        </w:tc>
      </w:tr>
      <w:tr w:rsidR="00582D49" w14:paraId="5E828882" w14:textId="77777777" w:rsidTr="00127BA8">
        <w:tc>
          <w:tcPr>
            <w:tcW w:w="2547" w:type="dxa"/>
            <w:vAlign w:val="center"/>
          </w:tcPr>
          <w:p w14:paraId="7EE7DE59" w14:textId="77777777" w:rsidR="00582D49" w:rsidRDefault="00A0709F" w:rsidP="00886257">
            <w:pPr>
              <w:pStyle w:val="a5"/>
              <w:numPr>
                <w:ilvl w:val="0"/>
                <w:numId w:val="2"/>
              </w:numPr>
              <w:ind w:leftChars="0"/>
            </w:pP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582D49">
              <w:rPr>
                <w:rFonts w:hint="eastAsia"/>
              </w:rPr>
              <w:t>尺度</w:t>
            </w:r>
          </w:p>
        </w:tc>
        <w:tc>
          <w:tcPr>
            <w:tcW w:w="5812" w:type="dxa"/>
          </w:tcPr>
          <w:p w14:paraId="204A035B" w14:textId="77777777" w:rsidR="00582D49" w:rsidRPr="00153E01" w:rsidRDefault="00A0709F" w:rsidP="00F61DEC">
            <w:pPr>
              <w:rPr>
                <w:i/>
              </w:rPr>
            </w:pPr>
            <m:oMathPara>
              <m:oMath>
                <m:sSub>
                  <m:sSubPr>
                    <m:ctrlPr>
                      <w:rPr>
                        <w:rFonts w:ascii="Cambria Math" w:hAnsi="Cambria Math"/>
                        <w:i/>
                      </w:rPr>
                    </m:ctrlPr>
                  </m:sSubPr>
                  <m:e>
                    <m:r>
                      <w:rPr>
                        <w:rFonts w:ascii="Cambria Math" w:hAnsi="Cambria Math"/>
                      </w:rPr>
                      <m:t>M</m:t>
                    </m:r>
                  </m:e>
                  <m:sub>
                    <m:sSup>
                      <m:sSupPr>
                        <m:ctrlPr>
                          <w:rPr>
                            <w:rFonts w:ascii="Cambria Math" w:hAnsi="Cambria Math"/>
                            <w:i/>
                          </w:rPr>
                        </m:ctrlPr>
                      </m:sSupPr>
                      <m:e>
                        <m:r>
                          <w:rPr>
                            <w:rFonts w:ascii="Cambria Math" w:hAnsi="Cambria Math"/>
                          </w:rPr>
                          <m:t>M</m:t>
                        </m:r>
                      </m:e>
                      <m:sup>
                        <m:r>
                          <w:rPr>
                            <w:rFonts w:ascii="Cambria Math" w:hAnsi="Cambria Math"/>
                          </w:rPr>
                          <m:t>2</m:t>
                        </m:r>
                      </m:sup>
                    </m:sSup>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m:t>
                    </m:r>
                  </m:sub>
                </m:sSub>
              </m:oMath>
            </m:oMathPara>
          </w:p>
          <w:p w14:paraId="526F79D2" w14:textId="77777777" w:rsidR="00582D49" w:rsidRPr="00153E01" w:rsidRDefault="00A0709F" w:rsidP="00F61DEC">
            <w:pPr>
              <w:rPr>
                <w:iCs/>
              </w:rPr>
            </w:pPr>
            <m:oMathPara>
              <m:oMath>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m:oMathPara>
          </w:p>
        </w:tc>
        <w:tc>
          <w:tcPr>
            <w:tcW w:w="1417" w:type="dxa"/>
            <w:vAlign w:val="center"/>
          </w:tcPr>
          <w:p w14:paraId="19A15D3C" w14:textId="003DEAF1" w:rsidR="00582D49" w:rsidRDefault="00582D49" w:rsidP="00582D49">
            <w:pPr>
              <w:jc w:val="center"/>
              <w:rPr>
                <w:rFonts w:ascii="游明朝" w:eastAsia="游明朝" w:hAnsi="游明朝" w:cs="Times New Roman"/>
              </w:rPr>
            </w:pPr>
            <w:r>
              <w:rPr>
                <w:rFonts w:ascii="游明朝" w:eastAsia="游明朝" w:hAnsi="游明朝" w:cs="Times New Roman" w:hint="eastAsia"/>
              </w:rPr>
              <w:t>(</w:t>
            </w:r>
            <w:r>
              <w:rPr>
                <w:rFonts w:ascii="游明朝" w:eastAsia="游明朝" w:hAnsi="游明朝" w:cs="Times New Roman"/>
              </w:rPr>
              <w:t>2.10)</w:t>
            </w:r>
          </w:p>
        </w:tc>
      </w:tr>
      <w:tr w:rsidR="00582D49" w14:paraId="0B822A56" w14:textId="77777777" w:rsidTr="00127BA8">
        <w:tc>
          <w:tcPr>
            <w:tcW w:w="2547" w:type="dxa"/>
            <w:vAlign w:val="center"/>
          </w:tcPr>
          <w:p w14:paraId="74705F07" w14:textId="4FD088CD" w:rsidR="00582D49" w:rsidRDefault="00582D49" w:rsidP="00886257">
            <w:pPr>
              <w:pStyle w:val="a5"/>
              <w:numPr>
                <w:ilvl w:val="0"/>
                <w:numId w:val="2"/>
              </w:numPr>
              <w:ind w:leftChars="0"/>
            </w:pPr>
            <w:r>
              <w:rPr>
                <w:rFonts w:hint="eastAsia"/>
              </w:rPr>
              <w:t>Treynor-Black尺度</w:t>
            </w:r>
          </w:p>
        </w:tc>
        <w:tc>
          <w:tcPr>
            <w:tcW w:w="5812" w:type="dxa"/>
          </w:tcPr>
          <w:p w14:paraId="46DF95ED" w14:textId="5BBA80A1" w:rsidR="00582D49" w:rsidRPr="00582D49" w:rsidRDefault="00A0709F" w:rsidP="00F61DEC">
            <w:pPr>
              <w:rPr>
                <w:iCs/>
              </w:rPr>
            </w:pPr>
            <m:oMathPara>
              <m:oMath>
                <m:sSub>
                  <m:sSubPr>
                    <m:ctrlPr>
                      <w:rPr>
                        <w:rFonts w:ascii="Cambria Math" w:hAnsi="Cambria Math"/>
                        <w:i/>
                      </w:rPr>
                    </m:ctrlPr>
                  </m:sSubPr>
                  <m:e>
                    <m:r>
                      <w:rPr>
                        <w:rFonts w:ascii="Cambria Math" w:hAnsi="Cambria Math"/>
                      </w:rPr>
                      <m:t>M</m:t>
                    </m:r>
                  </m:e>
                  <m:sub>
                    <m:r>
                      <w:rPr>
                        <w:rFonts w:ascii="Cambria Math" w:hAnsi="Cambria Math" w:hint="eastAsia"/>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ϵ</m:t>
                        </m:r>
                      </m:sub>
                    </m:sSub>
                  </m:den>
                </m:f>
              </m:oMath>
            </m:oMathPara>
          </w:p>
        </w:tc>
        <w:tc>
          <w:tcPr>
            <w:tcW w:w="1417" w:type="dxa"/>
            <w:vAlign w:val="center"/>
          </w:tcPr>
          <w:p w14:paraId="0A878190" w14:textId="31C52E9F" w:rsidR="00582D49" w:rsidRDefault="00582D49" w:rsidP="00582D49">
            <w:pPr>
              <w:jc w:val="center"/>
              <w:rPr>
                <w:rFonts w:ascii="游明朝" w:eastAsia="游明朝" w:hAnsi="游明朝" w:cs="Times New Roman"/>
              </w:rPr>
            </w:pPr>
            <w:r>
              <w:rPr>
                <w:rFonts w:ascii="游明朝" w:eastAsia="游明朝" w:hAnsi="游明朝" w:cs="Times New Roman" w:hint="eastAsia"/>
              </w:rPr>
              <w:t>(</w:t>
            </w:r>
            <w:r>
              <w:rPr>
                <w:rFonts w:ascii="游明朝" w:eastAsia="游明朝" w:hAnsi="游明朝" w:cs="Times New Roman"/>
              </w:rPr>
              <w:t>2.11)</w:t>
            </w:r>
          </w:p>
        </w:tc>
      </w:tr>
      <w:tr w:rsidR="009D74FE" w14:paraId="256F8838" w14:textId="77777777" w:rsidTr="00127BA8">
        <w:trPr>
          <w:trHeight w:val="1100"/>
        </w:trPr>
        <w:tc>
          <w:tcPr>
            <w:tcW w:w="2547" w:type="dxa"/>
            <w:vAlign w:val="center"/>
          </w:tcPr>
          <w:p w14:paraId="1316CBB4" w14:textId="0BF07D38" w:rsidR="009D74FE" w:rsidRDefault="009D74FE" w:rsidP="00886257">
            <w:pPr>
              <w:pStyle w:val="a5"/>
              <w:numPr>
                <w:ilvl w:val="0"/>
                <w:numId w:val="2"/>
              </w:numPr>
              <w:ind w:leftChars="0"/>
            </w:pPr>
            <w:r>
              <w:rPr>
                <w:rFonts w:hint="eastAsia"/>
              </w:rPr>
              <w:t>インフォメーション</w:t>
            </w:r>
            <w:r w:rsidR="00886257">
              <w:rPr>
                <w:rFonts w:hint="eastAsia"/>
              </w:rPr>
              <w:t>レシオ</w:t>
            </w:r>
            <w:r w:rsidR="00012FF3">
              <w:rPr>
                <w:rStyle w:val="aa"/>
              </w:rPr>
              <w:footnoteReference w:id="1"/>
            </w:r>
          </w:p>
        </w:tc>
        <w:tc>
          <w:tcPr>
            <w:tcW w:w="5812" w:type="dxa"/>
          </w:tcPr>
          <w:p w14:paraId="4685FC25" w14:textId="77777777" w:rsidR="009D74FE" w:rsidRPr="000C41D1" w:rsidRDefault="000F5DE6" w:rsidP="00F61DEC">
            <m:oMathPara>
              <m:oMath>
                <m:r>
                  <w:rPr>
                    <w:rFonts w:ascii="Cambria Math" w:hAnsi="Cambria Math"/>
                  </w:rPr>
                  <m:t>IR=</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m:t>
                        </m:r>
                      </m:sub>
                    </m:sSub>
                  </m:num>
                  <m:den>
                    <m:sSub>
                      <m:sSubPr>
                        <m:ctrlPr>
                          <w:rPr>
                            <w:rFonts w:ascii="Cambria Math" w:hAnsi="Cambria Math"/>
                            <w:i/>
                          </w:rPr>
                        </m:ctrlPr>
                      </m:sSubPr>
                      <m:e>
                        <m:r>
                          <w:rPr>
                            <w:rFonts w:ascii="Cambria Math" w:hAnsi="Cambria Math"/>
                          </w:rPr>
                          <m:t>σ</m:t>
                        </m:r>
                      </m:e>
                      <m:sub>
                        <m:r>
                          <w:rPr>
                            <w:rFonts w:ascii="Cambria Math" w:hAnsi="Cambria Math"/>
                          </w:rPr>
                          <m:t>TR</m:t>
                        </m:r>
                      </m:sub>
                    </m:sSub>
                  </m:den>
                </m:f>
              </m:oMath>
            </m:oMathPara>
          </w:p>
          <w:p w14:paraId="6C9176CE" w14:textId="36B0A5FB" w:rsidR="00AD4D9C" w:rsidRPr="00AD4D9C" w:rsidRDefault="00A0709F" w:rsidP="00F61DEC">
            <w:pPr>
              <w:rPr>
                <w:iCs/>
              </w:rPr>
            </w:pPr>
            <m:oMathPara>
              <m:oMath>
                <m:sSub>
                  <m:sSubPr>
                    <m:ctrlPr>
                      <w:rPr>
                        <w:rFonts w:ascii="Cambria Math" w:hAnsi="Cambria Math"/>
                        <w:i/>
                        <w:iCs/>
                      </w:rPr>
                    </m:ctrlPr>
                  </m:sSubPr>
                  <m:e>
                    <m:r>
                      <w:rPr>
                        <w:rFonts w:ascii="Cambria Math" w:hAnsi="Cambria Math"/>
                      </w:rPr>
                      <m:t>σ</m:t>
                    </m:r>
                  </m:e>
                  <m:sub>
                    <m:r>
                      <w:rPr>
                        <w:rFonts w:ascii="Cambria Math" w:hAnsi="Cambria Math"/>
                      </w:rPr>
                      <m:t>TR</m:t>
                    </m:r>
                  </m:sub>
                </m:sSub>
                <m:r>
                  <w:rPr>
                    <w:rFonts w:ascii="Cambria Math" w:hAnsi="Cambria Math"/>
                  </w:rPr>
                  <m:t>=</m:t>
                </m:r>
                <m:rad>
                  <m:radPr>
                    <m:degHide m:val="1"/>
                    <m:ctrlPr>
                      <w:rPr>
                        <w:rFonts w:ascii="Cambria Math" w:hAnsi="Cambria Math"/>
                        <w:i/>
                        <w:iCs/>
                      </w:rPr>
                    </m:ctrlPr>
                  </m:radPr>
                  <m:deg/>
                  <m:e>
                    <m:r>
                      <w:rPr>
                        <w:rFonts w:ascii="Cambria Math" w:hAnsi="Cambria Math"/>
                      </w:rPr>
                      <m:t>V</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M</m:t>
                            </m:r>
                          </m:sub>
                        </m:sSub>
                      </m:e>
                    </m:d>
                  </m:e>
                </m:rad>
              </m:oMath>
            </m:oMathPara>
          </w:p>
        </w:tc>
        <w:tc>
          <w:tcPr>
            <w:tcW w:w="1417" w:type="dxa"/>
            <w:vAlign w:val="center"/>
          </w:tcPr>
          <w:p w14:paraId="2387A271" w14:textId="503FE5A4" w:rsidR="009D74FE" w:rsidRDefault="009D74FE" w:rsidP="005805A0">
            <w:pPr>
              <w:jc w:val="center"/>
              <w:rPr>
                <w:rFonts w:ascii="游明朝" w:eastAsia="游明朝" w:hAnsi="游明朝" w:cs="Times New Roman"/>
              </w:rPr>
            </w:pPr>
          </w:p>
        </w:tc>
      </w:tr>
    </w:tbl>
    <w:p w14:paraId="3879AEBE" w14:textId="37339EBF" w:rsidR="00570922" w:rsidRPr="00570922" w:rsidRDefault="00570922" w:rsidP="00570922"/>
    <w:tbl>
      <w:tblPr>
        <w:tblStyle w:val="a6"/>
        <w:tblW w:w="0" w:type="auto"/>
        <w:tblInd w:w="704" w:type="dxa"/>
        <w:tblLook w:val="04A0" w:firstRow="1" w:lastRow="0" w:firstColumn="1" w:lastColumn="0" w:noHBand="0" w:noVBand="1"/>
      </w:tblPr>
      <w:tblGrid>
        <w:gridCol w:w="1134"/>
        <w:gridCol w:w="284"/>
        <w:gridCol w:w="5953"/>
      </w:tblGrid>
      <w:tr w:rsidR="00DD3875" w14:paraId="27BA5C7E" w14:textId="77777777" w:rsidTr="00DA4129">
        <w:tc>
          <w:tcPr>
            <w:tcW w:w="1134" w:type="dxa"/>
          </w:tcPr>
          <w:p w14:paraId="34E32510" w14:textId="7F01E05B" w:rsidR="00DD3875" w:rsidRDefault="00A0709F" w:rsidP="00DD38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oMath>
            </m:oMathPara>
          </w:p>
        </w:tc>
        <w:tc>
          <w:tcPr>
            <w:tcW w:w="284" w:type="dxa"/>
            <w:vAlign w:val="center"/>
          </w:tcPr>
          <w:p w14:paraId="0911A4AB" w14:textId="5C084476" w:rsidR="00DD3875" w:rsidRPr="00164EA0" w:rsidRDefault="00DD3875" w:rsidP="00DD3875">
            <w:pPr>
              <w:jc w:val="center"/>
            </w:pPr>
            <w:r>
              <w:rPr>
                <w:rFonts w:hint="eastAsia"/>
              </w:rPr>
              <w:t>:</w:t>
            </w:r>
          </w:p>
        </w:tc>
        <w:tc>
          <w:tcPr>
            <w:tcW w:w="5953" w:type="dxa"/>
          </w:tcPr>
          <w:p w14:paraId="04E6DD09" w14:textId="2BA1A279" w:rsidR="00DA4129" w:rsidRDefault="00DA4129" w:rsidP="00F61DEC">
            <w:pPr>
              <w:rPr>
                <w:rFonts w:ascii="游明朝" w:eastAsia="游明朝" w:hAnsi="游明朝" w:cs="Times New Roman"/>
              </w:rPr>
            </w:pPr>
            <w:r>
              <w:rPr>
                <w:rFonts w:ascii="游明朝" w:eastAsia="游明朝" w:hAnsi="游明朝" w:cs="Times New Roman" w:hint="eastAsia"/>
              </w:rPr>
              <w:t>パフォーマンス計測期間におけるポートフォリオの平均値</w:t>
            </w:r>
          </w:p>
        </w:tc>
      </w:tr>
      <w:tr w:rsidR="00DD3875" w14:paraId="5BDFDFD7" w14:textId="77777777" w:rsidTr="00DA4129">
        <w:tc>
          <w:tcPr>
            <w:tcW w:w="1134" w:type="dxa"/>
          </w:tcPr>
          <w:p w14:paraId="337B066C" w14:textId="67E49914" w:rsidR="00DD3875" w:rsidRDefault="00A0709F" w:rsidP="00DD3875">
            <m:oMathPara>
              <m:oMath>
                <m:sSub>
                  <m:sSubPr>
                    <m:ctrlPr>
                      <w:rPr>
                        <w:rFonts w:ascii="Cambria Math" w:hAnsi="Cambria Math"/>
                        <w:i/>
                      </w:rPr>
                    </m:ctrlPr>
                  </m:sSubPr>
                  <m:e>
                    <m:r>
                      <w:rPr>
                        <w:rFonts w:ascii="Cambria Math" w:hAnsi="Cambria Math"/>
                      </w:rPr>
                      <m:t>σ</m:t>
                    </m:r>
                  </m:e>
                  <m:sub>
                    <m:r>
                      <w:rPr>
                        <w:rFonts w:ascii="Cambria Math" w:hAnsi="Cambria Math"/>
                      </w:rPr>
                      <m:t>P</m:t>
                    </m:r>
                  </m:sub>
                </m:sSub>
              </m:oMath>
            </m:oMathPara>
          </w:p>
        </w:tc>
        <w:tc>
          <w:tcPr>
            <w:tcW w:w="284" w:type="dxa"/>
            <w:vAlign w:val="center"/>
          </w:tcPr>
          <w:p w14:paraId="11B21D00" w14:textId="44373F07" w:rsidR="00DD3875" w:rsidRPr="002F4C3F" w:rsidRDefault="00DD3875" w:rsidP="00DD3875">
            <w:pPr>
              <w:jc w:val="center"/>
            </w:pPr>
            <w:r>
              <w:rPr>
                <w:rFonts w:hint="eastAsia"/>
              </w:rPr>
              <w:t>:</w:t>
            </w:r>
          </w:p>
        </w:tc>
        <w:tc>
          <w:tcPr>
            <w:tcW w:w="5953" w:type="dxa"/>
          </w:tcPr>
          <w:p w14:paraId="790F5294" w14:textId="53361D41" w:rsidR="00DA4129" w:rsidRDefault="00DA4129" w:rsidP="00F61DEC">
            <w:r>
              <w:rPr>
                <w:rFonts w:hint="eastAsia"/>
              </w:rPr>
              <w:t>標準偏差</w:t>
            </w:r>
          </w:p>
        </w:tc>
      </w:tr>
      <w:tr w:rsidR="00DD3875" w14:paraId="26EFF3A1" w14:textId="77777777" w:rsidTr="00DA4129">
        <w:tc>
          <w:tcPr>
            <w:tcW w:w="1134" w:type="dxa"/>
          </w:tcPr>
          <w:p w14:paraId="369B207C" w14:textId="2D2709E0" w:rsidR="00DD3875" w:rsidRPr="00DA4129" w:rsidRDefault="00A0709F" w:rsidP="00DD3875">
            <w:pPr>
              <w:rPr>
                <w:i/>
              </w:rPr>
            </w:pPr>
            <m:oMathPara>
              <m:oMath>
                <m:sSub>
                  <m:sSubPr>
                    <m:ctrlPr>
                      <w:rPr>
                        <w:rFonts w:ascii="Cambria Math" w:hAnsi="Cambria Math"/>
                        <w:i/>
                      </w:rPr>
                    </m:ctrlPr>
                  </m:sSubPr>
                  <m:e>
                    <m:r>
                      <w:rPr>
                        <w:rFonts w:ascii="Cambria Math" w:hAnsi="Cambria Math"/>
                      </w:rPr>
                      <m:t>β</m:t>
                    </m:r>
                  </m:e>
                  <m:sub>
                    <m:r>
                      <w:rPr>
                        <w:rFonts w:ascii="Cambria Math" w:hAnsi="Cambria Math"/>
                      </w:rPr>
                      <m:t>P</m:t>
                    </m:r>
                  </m:sub>
                </m:sSub>
              </m:oMath>
            </m:oMathPara>
          </w:p>
        </w:tc>
        <w:tc>
          <w:tcPr>
            <w:tcW w:w="284" w:type="dxa"/>
            <w:vAlign w:val="center"/>
          </w:tcPr>
          <w:p w14:paraId="783A05AB" w14:textId="1679D96B" w:rsidR="00DD3875" w:rsidRPr="00DD3875" w:rsidRDefault="00DD3875" w:rsidP="00DD3875">
            <w:pPr>
              <w:jc w:val="center"/>
            </w:pPr>
            <w:r>
              <w:rPr>
                <w:rFonts w:hint="eastAsia"/>
              </w:rPr>
              <w:t>:</w:t>
            </w:r>
          </w:p>
        </w:tc>
        <w:tc>
          <w:tcPr>
            <w:tcW w:w="5953" w:type="dxa"/>
          </w:tcPr>
          <w:p w14:paraId="64F85C0B" w14:textId="5A472E38" w:rsidR="00DD3875" w:rsidRDefault="00DA4129" w:rsidP="00F61DEC">
            <w:r>
              <w:rPr>
                <w:rFonts w:hint="eastAsia"/>
              </w:rPr>
              <w:t>C</w:t>
            </w:r>
            <w:r>
              <w:t>APM</w:t>
            </w:r>
            <w:r>
              <w:rPr>
                <w:rFonts w:hint="eastAsia"/>
              </w:rPr>
              <w:t>の</w:t>
            </w:r>
            <m:oMath>
              <m:r>
                <w:rPr>
                  <w:rFonts w:ascii="Cambria Math" w:hAnsi="Cambria Math"/>
                </w:rPr>
                <m:t>β</m:t>
              </m:r>
            </m:oMath>
            <w:r>
              <w:rPr>
                <w:rFonts w:hint="eastAsia"/>
              </w:rPr>
              <w:t>値</w:t>
            </w:r>
          </w:p>
        </w:tc>
      </w:tr>
      <w:tr w:rsidR="00DD3875" w14:paraId="1A2D300B" w14:textId="77777777" w:rsidTr="00DA4129">
        <w:tc>
          <w:tcPr>
            <w:tcW w:w="1134" w:type="dxa"/>
          </w:tcPr>
          <w:p w14:paraId="603FC388" w14:textId="799BF161" w:rsidR="00DD3875" w:rsidRDefault="00A0709F" w:rsidP="00F61DEC">
            <m:oMathPara>
              <m:oMath>
                <m:sSub>
                  <m:sSubPr>
                    <m:ctrlPr>
                      <w:rPr>
                        <w:rFonts w:ascii="Cambria Math" w:hAnsi="Cambria Math"/>
                        <w:i/>
                      </w:rPr>
                    </m:ctrlPr>
                  </m:sSubPr>
                  <m:e>
                    <m:r>
                      <w:rPr>
                        <w:rFonts w:ascii="Cambria Math" w:hAnsi="Cambria Math"/>
                      </w:rPr>
                      <m:t>r</m:t>
                    </m:r>
                  </m:e>
                  <m:sub>
                    <m:r>
                      <w:rPr>
                        <w:rFonts w:ascii="Cambria Math" w:hAnsi="Cambria Math"/>
                      </w:rPr>
                      <m:t>f</m:t>
                    </m:r>
                  </m:sub>
                </m:sSub>
              </m:oMath>
            </m:oMathPara>
          </w:p>
        </w:tc>
        <w:tc>
          <w:tcPr>
            <w:tcW w:w="284" w:type="dxa"/>
          </w:tcPr>
          <w:p w14:paraId="093D2FEC" w14:textId="77777777" w:rsidR="00DD3875" w:rsidRPr="002F4C3F" w:rsidRDefault="00DD3875" w:rsidP="00F61DEC">
            <w:pPr>
              <w:jc w:val="center"/>
            </w:pPr>
            <w:r>
              <w:rPr>
                <w:rFonts w:hint="eastAsia"/>
              </w:rPr>
              <w:t>:</w:t>
            </w:r>
          </w:p>
        </w:tc>
        <w:tc>
          <w:tcPr>
            <w:tcW w:w="5953" w:type="dxa"/>
          </w:tcPr>
          <w:p w14:paraId="0B641959" w14:textId="14AA60DB" w:rsidR="00DD3875" w:rsidRDefault="00277856" w:rsidP="00F61DEC">
            <w:r>
              <w:rPr>
                <w:rFonts w:hint="eastAsia"/>
              </w:rPr>
              <w:t>無リスク収益率（当該期間の平均値）</w:t>
            </w:r>
          </w:p>
        </w:tc>
      </w:tr>
      <w:tr w:rsidR="00DD3875" w14:paraId="44713D90" w14:textId="77777777" w:rsidTr="00DA4129">
        <w:tc>
          <w:tcPr>
            <w:tcW w:w="1134" w:type="dxa"/>
          </w:tcPr>
          <w:p w14:paraId="5298DF20" w14:textId="5F497ECE" w:rsidR="00DD3875" w:rsidRDefault="00A0709F" w:rsidP="00F61DE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m:t>
                    </m:r>
                  </m:sub>
                </m:sSub>
              </m:oMath>
            </m:oMathPara>
          </w:p>
        </w:tc>
        <w:tc>
          <w:tcPr>
            <w:tcW w:w="284" w:type="dxa"/>
          </w:tcPr>
          <w:p w14:paraId="4DB4B341" w14:textId="77777777" w:rsidR="00DD3875" w:rsidRPr="00DD3875" w:rsidRDefault="00DD3875" w:rsidP="00F61DEC">
            <w:pPr>
              <w:jc w:val="center"/>
            </w:pPr>
            <w:r>
              <w:rPr>
                <w:rFonts w:hint="eastAsia"/>
              </w:rPr>
              <w:t>:</w:t>
            </w:r>
          </w:p>
        </w:tc>
        <w:tc>
          <w:tcPr>
            <w:tcW w:w="5953" w:type="dxa"/>
          </w:tcPr>
          <w:p w14:paraId="284D9C48" w14:textId="7574B72B" w:rsidR="00DD3875" w:rsidRDefault="00277856" w:rsidP="00F61DEC">
            <w:r>
              <w:rPr>
                <w:rFonts w:hint="eastAsia"/>
              </w:rPr>
              <w:t>市場ポートフォリオの代替となる市場インデックスの平均値</w:t>
            </w:r>
          </w:p>
        </w:tc>
      </w:tr>
    </w:tbl>
    <w:p w14:paraId="651C21FD" w14:textId="74D6C17B" w:rsidR="002041E5" w:rsidRDefault="002041E5" w:rsidP="002041E5">
      <w:pPr>
        <w:rPr>
          <w:rFonts w:eastAsiaTheme="minorHAnsi"/>
        </w:rPr>
      </w:pPr>
    </w:p>
    <w:p w14:paraId="40702B06" w14:textId="49C7E230" w:rsidR="00156895" w:rsidRDefault="00012FF3" w:rsidP="002041E5">
      <w:pPr>
        <w:rPr>
          <w:rFonts w:eastAsiaTheme="minorHAnsi"/>
        </w:rPr>
      </w:pPr>
      <w:r>
        <w:rPr>
          <w:rFonts w:eastAsiaTheme="minorHAnsi" w:hint="eastAsia"/>
        </w:rPr>
        <w:t>・</w:t>
      </w:r>
      <w:r w:rsidR="00D0207F">
        <w:rPr>
          <w:rFonts w:eastAsiaTheme="minorHAnsi" w:hint="eastAsia"/>
        </w:rPr>
        <w:t>運用資産が複数の投資家（ないし，運用機関）によって運用されている</w:t>
      </w:r>
      <w:r w:rsidR="004A05BA">
        <w:rPr>
          <w:rFonts w:eastAsiaTheme="minorHAnsi" w:hint="eastAsia"/>
        </w:rPr>
        <w:t>場合，リスク指標としては標準偏差より</w:t>
      </w:r>
      <w:r w:rsidR="00156895">
        <w:rPr>
          <w:rFonts w:eastAsiaTheme="minorHAnsi" w:hint="eastAsia"/>
        </w:rPr>
        <w:t>βを用いる方が良い．</w:t>
      </w:r>
    </w:p>
    <w:p w14:paraId="143D2B46" w14:textId="4122BABA" w:rsidR="00156895" w:rsidRDefault="00156895" w:rsidP="002041E5">
      <w:pPr>
        <w:rPr>
          <w:rFonts w:eastAsiaTheme="minorHAnsi"/>
        </w:rPr>
      </w:pPr>
      <w:r>
        <w:rPr>
          <w:rFonts w:eastAsiaTheme="minorHAnsi" w:hint="eastAsia"/>
        </w:rPr>
        <w:t>⇒このような場合においては，</w:t>
      </w:r>
      <w:r w:rsidR="009D336D">
        <w:rPr>
          <w:rFonts w:eastAsiaTheme="minorHAnsi" w:hint="eastAsia"/>
        </w:rPr>
        <w:t>T</w:t>
      </w:r>
      <w:r w:rsidR="009D336D">
        <w:rPr>
          <w:rFonts w:eastAsiaTheme="minorHAnsi"/>
        </w:rPr>
        <w:t>reynor</w:t>
      </w:r>
      <w:r w:rsidR="009D336D">
        <w:rPr>
          <w:rFonts w:eastAsiaTheme="minorHAnsi" w:hint="eastAsia"/>
        </w:rPr>
        <w:t>尺度あるいはJ</w:t>
      </w:r>
      <w:r w:rsidR="009D336D">
        <w:rPr>
          <w:rFonts w:eastAsiaTheme="minorHAnsi"/>
        </w:rPr>
        <w:t>ensen</w:t>
      </w:r>
      <w:r w:rsidR="009D336D">
        <w:rPr>
          <w:rFonts w:eastAsiaTheme="minorHAnsi" w:hint="eastAsia"/>
        </w:rPr>
        <w:t>尺度の方が適している．</w:t>
      </w:r>
    </w:p>
    <w:p w14:paraId="6C62572C" w14:textId="3228AC48" w:rsidR="009D336D" w:rsidRDefault="009D336D" w:rsidP="002041E5">
      <w:pPr>
        <w:rPr>
          <w:rFonts w:eastAsiaTheme="minorHAnsi"/>
        </w:rPr>
      </w:pPr>
      <w:r>
        <w:rPr>
          <w:rFonts w:eastAsiaTheme="minorHAnsi" w:hint="eastAsia"/>
        </w:rPr>
        <w:t>・</w:t>
      </w:r>
      <w:r w:rsidR="00DB6474">
        <w:rPr>
          <w:rFonts w:eastAsiaTheme="minorHAnsi" w:hint="eastAsia"/>
        </w:rPr>
        <w:t>リスクの異なる資産</w:t>
      </w:r>
      <w:r w:rsidR="00870B53">
        <w:rPr>
          <w:rFonts w:eastAsiaTheme="minorHAnsi" w:hint="eastAsia"/>
        </w:rPr>
        <w:t>を比較するような場合は，Jensenの尺度といった</w:t>
      </w:r>
      <w:r w:rsidR="00EA4699">
        <w:rPr>
          <w:rFonts w:eastAsiaTheme="minorHAnsi" w:hint="eastAsia"/>
        </w:rPr>
        <w:t>証券市場線からの距離による比較ではなく，リスク1単位当たりのリスクプレミアムにより比較すべきである．</w:t>
      </w:r>
    </w:p>
    <w:p w14:paraId="5D6618BA" w14:textId="575303DD" w:rsidR="007F6093" w:rsidRPr="007F6093" w:rsidRDefault="007F6093" w:rsidP="002041E5">
      <w:pPr>
        <w:rPr>
          <w:rFonts w:eastAsiaTheme="minorHAnsi" w:hint="eastAsia"/>
        </w:rPr>
      </w:pPr>
      <w:r>
        <w:rPr>
          <w:rFonts w:eastAsiaTheme="minorHAnsi" w:hint="eastAsia"/>
        </w:rPr>
        <w:lastRenderedPageBreak/>
        <w:t>⇒このような場合は，Shape尺度やTreynor尺度が適している．</w:t>
      </w:r>
      <w:bookmarkStart w:id="0" w:name="_GoBack"/>
      <w:bookmarkEnd w:id="0"/>
    </w:p>
    <w:p w14:paraId="739F1A3B" w14:textId="77777777" w:rsidR="00FE4151" w:rsidRPr="001D2C8D" w:rsidRDefault="00FE4151" w:rsidP="002041E5">
      <w:pPr>
        <w:rPr>
          <w:rFonts w:eastAsiaTheme="minorHAnsi" w:hint="eastAsia"/>
        </w:rPr>
      </w:pPr>
    </w:p>
    <w:p w14:paraId="5726FA03" w14:textId="224D86F6" w:rsidR="00C62914" w:rsidRPr="001D2C8D" w:rsidRDefault="001D2C8D" w:rsidP="00415BFD">
      <w:pPr>
        <w:pStyle w:val="1"/>
        <w:numPr>
          <w:ilvl w:val="0"/>
          <w:numId w:val="1"/>
        </w:numPr>
        <w:jc w:val="left"/>
        <w:rPr>
          <w:rFonts w:asciiTheme="minorHAnsi" w:eastAsiaTheme="minorHAnsi" w:hAnsiTheme="minorHAnsi"/>
          <w:sz w:val="22"/>
          <w:szCs w:val="22"/>
        </w:rPr>
      </w:pPr>
      <w:r w:rsidRPr="001D2C8D">
        <w:rPr>
          <w:rFonts w:asciiTheme="minorHAnsi" w:eastAsiaTheme="minorHAnsi" w:hAnsiTheme="minorHAnsi" w:hint="eastAsia"/>
          <w:sz w:val="22"/>
          <w:szCs w:val="22"/>
        </w:rPr>
        <w:t>アトリビューション分析</w:t>
      </w:r>
    </w:p>
    <w:p w14:paraId="7BA509A7" w14:textId="17B9518B" w:rsidR="00130312" w:rsidRDefault="007305ED" w:rsidP="00193B32">
      <w:r>
        <w:rPr>
          <w:rFonts w:hint="eastAsia"/>
        </w:rPr>
        <w:t>パフォーマンス尺度を計算する</w:t>
      </w:r>
    </w:p>
    <w:p w14:paraId="65079924" w14:textId="704FCF13" w:rsidR="00130312" w:rsidRDefault="007305ED" w:rsidP="00193B32">
      <w:r>
        <w:rPr>
          <w:rFonts w:hint="eastAsia"/>
        </w:rPr>
        <w:t>⇒具体的に評価基準となるベンチマーク</w:t>
      </w:r>
      <w:r w:rsidR="00130312">
        <w:rPr>
          <w:rFonts w:hint="eastAsia"/>
        </w:rPr>
        <w:t>インデックスを決定する必要がある．</w:t>
      </w:r>
    </w:p>
    <w:p w14:paraId="40C7FAF2" w14:textId="77777777" w:rsidR="00130312" w:rsidRDefault="00130312" w:rsidP="00193B32"/>
    <w:p w14:paraId="1432F551" w14:textId="4825A35D" w:rsidR="007305ED" w:rsidRDefault="002557D0" w:rsidP="00193B32">
      <w:r>
        <w:rPr>
          <w:rFonts w:hint="eastAsia"/>
        </w:rPr>
        <w:t>パフォーマンス</w:t>
      </w:r>
      <w:r w:rsidR="00A71C0E">
        <w:rPr>
          <w:rFonts w:hint="eastAsia"/>
        </w:rPr>
        <w:t>評価における問題克服のために，Sha</w:t>
      </w:r>
      <w:r w:rsidR="00A71C0E">
        <w:t>r</w:t>
      </w:r>
      <w:r w:rsidR="00A71C0E">
        <w:rPr>
          <w:rFonts w:hint="eastAsia"/>
        </w:rPr>
        <w:t>pe</w:t>
      </w:r>
      <w:r w:rsidR="00A71C0E">
        <w:t>(1992)</w:t>
      </w:r>
      <w:r w:rsidR="00A71C0E">
        <w:rPr>
          <w:rFonts w:hint="eastAsia"/>
        </w:rPr>
        <w:t>が以下の方法を提示．</w:t>
      </w:r>
    </w:p>
    <w:p w14:paraId="1645DF28" w14:textId="714A9E55" w:rsidR="007E3D52" w:rsidRDefault="007B12DD" w:rsidP="00193B32">
      <w:r>
        <w:rPr>
          <w:rFonts w:hint="eastAsia"/>
        </w:rPr>
        <w:t>【Sharpeが示した方法】</w:t>
      </w:r>
    </w:p>
    <w:p w14:paraId="04D68A68" w14:textId="1D20F497" w:rsidR="007B12DD" w:rsidRDefault="00B87C24" w:rsidP="00193B32">
      <w:r>
        <w:rPr>
          <w:rFonts w:hint="eastAsia"/>
        </w:rPr>
        <w:t>ファンドリターンが</w:t>
      </w:r>
      <w:r w:rsidR="006762E7">
        <w:rPr>
          <w:rFonts w:hint="eastAsia"/>
        </w:rPr>
        <w:t>複数のファクターで説明されるようなマルチファクターモデルを仮定．</w:t>
      </w:r>
    </w:p>
    <w:p w14:paraId="14540B24" w14:textId="1874D909" w:rsidR="006762E7" w:rsidRPr="001B43D7" w:rsidRDefault="00A0709F" w:rsidP="00193B32">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P</m:t>
              </m:r>
            </m:sub>
          </m:sSub>
          <m:r>
            <w:rPr>
              <w:rFonts w:ascii="Cambria Math" w:hAnsi="Cambria Math"/>
            </w:rPr>
            <m:t xml:space="preserve"> .</m:t>
          </m:r>
        </m:oMath>
      </m:oMathPara>
    </w:p>
    <w:p w14:paraId="471BDB51" w14:textId="2F2C5119" w:rsidR="001B43D7" w:rsidRDefault="001E7835" w:rsidP="00193B32">
      <w:r>
        <w:rPr>
          <w:rFonts w:hint="eastAsia"/>
        </w:rPr>
        <w:t>ただし，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hint="eastAsia"/>
          </w:rPr>
          <m:t>，</m:t>
        </m:r>
        <m:r>
          <w:rPr>
            <w:rFonts w:ascii="Cambria Math" w:hAnsi="Cambria Math"/>
          </w:rPr>
          <m:t>i=1,2,</m:t>
        </m:r>
        <m:r>
          <w:rPr>
            <w:rFonts w:ascii="Cambria Math" w:hAnsi="Cambria Math" w:hint="eastAsia"/>
          </w:rPr>
          <m:t>…</m:t>
        </m:r>
        <m:r>
          <w:rPr>
            <w:rFonts w:ascii="Cambria Math" w:hAnsi="Cambria Math"/>
          </w:rPr>
          <m:t>,n</m:t>
        </m:r>
      </m:oMath>
      <w:r w:rsidR="006D439B">
        <w:rPr>
          <w:rFonts w:hint="eastAsia"/>
        </w:rPr>
        <w:t xml:space="preserve"> はリスクファクター，</w:t>
      </w:r>
      <m:oMath>
        <m:sSub>
          <m:sSubPr>
            <m:ctrlPr>
              <w:rPr>
                <w:rFonts w:ascii="Cambria Math" w:hAnsi="Cambria Math"/>
                <w:i/>
              </w:rPr>
            </m:ctrlPr>
          </m:sSubPr>
          <m:e>
            <m:r>
              <w:rPr>
                <w:rFonts w:ascii="Cambria Math" w:hAnsi="Cambria Math"/>
              </w:rPr>
              <m:t>ϵ</m:t>
            </m:r>
          </m:e>
          <m:sub>
            <m:r>
              <w:rPr>
                <w:rFonts w:ascii="Cambria Math" w:hAnsi="Cambria Math"/>
              </w:rPr>
              <m:t>P</m:t>
            </m:r>
          </m:sub>
        </m:sSub>
      </m:oMath>
      <w:r w:rsidR="006D439B">
        <w:rPr>
          <w:rFonts w:hint="eastAsia"/>
        </w:rPr>
        <w:t xml:space="preserve"> はリスクファクターに関係しない残</w:t>
      </w:r>
      <w:r w:rsidR="00415BFD">
        <w:rPr>
          <w:rFonts w:hint="eastAsia"/>
        </w:rPr>
        <w:t>差</w:t>
      </w:r>
      <w:r w:rsidR="006D439B">
        <w:rPr>
          <w:rFonts w:hint="eastAsia"/>
        </w:rPr>
        <w:t>リターン</w:t>
      </w:r>
      <w:r w:rsidR="00415BFD">
        <w:rPr>
          <w:rFonts w:hint="eastAsia"/>
        </w:rPr>
        <w:t>を表す．</w:t>
      </w:r>
    </w:p>
    <w:p w14:paraId="1242C40B" w14:textId="2B949D78" w:rsidR="001379FB" w:rsidRDefault="00634EF3" w:rsidP="00193B32">
      <w:pPr>
        <w:rPr>
          <w:rFonts w:hint="eastAsia"/>
        </w:rPr>
      </w:pPr>
      <w:r>
        <w:rPr>
          <w:rFonts w:hint="eastAsia"/>
        </w:rPr>
        <w:t>以下の2次計画問題を解くことで，ファンドリターンを複数のインデックスリターン</w:t>
      </w:r>
      <w:r w:rsidR="00CB0322">
        <w:rPr>
          <w:rFonts w:hint="eastAsia"/>
        </w:rPr>
        <w:t>に効率的に分解する方法を提案．</w:t>
      </w:r>
    </w:p>
    <w:tbl>
      <w:tblPr>
        <w:tblStyle w:val="a6"/>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359"/>
        <w:gridCol w:w="1275"/>
      </w:tblGrid>
      <w:tr w:rsidR="008D7BDE" w14:paraId="19B5FDA9" w14:textId="77777777" w:rsidTr="00127BA8">
        <w:tc>
          <w:tcPr>
            <w:tcW w:w="8359" w:type="dxa"/>
          </w:tcPr>
          <w:p w14:paraId="7905F7DB" w14:textId="3B5D8335" w:rsidR="008D7BDE" w:rsidRPr="000844AE" w:rsidRDefault="00F536A1" w:rsidP="00424B7B">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i=1,2,…,n</m:t>
                        </m:r>
                      </m:lim>
                    </m:limLow>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P,t</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j,t</m:t>
                                            </m:r>
                                          </m:sub>
                                        </m:sSub>
                                      </m:e>
                                    </m:nary>
                                  </m:e>
                                </m:d>
                              </m:e>
                            </m:d>
                          </m:e>
                          <m:sup>
                            <m:r>
                              <w:rPr>
                                <w:rFonts w:ascii="Cambria Math" w:hAnsi="Cambria Math"/>
                              </w:rPr>
                              <m:t>2</m:t>
                            </m:r>
                          </m:sup>
                        </m:sSup>
                      </m:e>
                    </m:nary>
                  </m:e>
                </m:func>
              </m:oMath>
            </m:oMathPara>
          </w:p>
          <w:p w14:paraId="6F72D291" w14:textId="77777777" w:rsidR="000844AE" w:rsidRDefault="004E39B3" w:rsidP="00424B7B">
            <w:r>
              <w:rPr>
                <w:rFonts w:hint="eastAsia"/>
              </w:rPr>
              <w:t>ただし，</w:t>
            </w:r>
          </w:p>
          <w:p w14:paraId="47AA793C" w14:textId="085C4D13" w:rsidR="004E39B3" w:rsidRDefault="002D6C7E" w:rsidP="00424B7B">
            <w:pPr>
              <w:rPr>
                <w:rFonts w:hint="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=1 , </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≥0 </m:t>
                    </m:r>
                    <m:r>
                      <w:rPr>
                        <w:rFonts w:ascii="Cambria Math" w:hAnsi="Cambria Math"/>
                      </w:rPr>
                      <m:t xml:space="preserve"> ;j=1,2,…,n</m:t>
                    </m:r>
                    <m:r>
                      <w:rPr>
                        <w:rFonts w:ascii="Cambria Math" w:hAnsi="Cambria Math"/>
                      </w:rPr>
                      <m:t xml:space="preserve"> </m:t>
                    </m:r>
                  </m:e>
                </m:nary>
              </m:oMath>
            </m:oMathPara>
          </w:p>
        </w:tc>
        <w:tc>
          <w:tcPr>
            <w:tcW w:w="1275" w:type="dxa"/>
          </w:tcPr>
          <w:p w14:paraId="63BB3FAB" w14:textId="77777777" w:rsidR="008F4494" w:rsidRDefault="008F4494" w:rsidP="008F4494">
            <w:pPr>
              <w:jc w:val="center"/>
              <w:rPr>
                <w:rFonts w:ascii="游明朝" w:eastAsia="游明朝" w:hAnsi="游明朝" w:cs="Times New Roman"/>
              </w:rPr>
            </w:pPr>
          </w:p>
          <w:p w14:paraId="53B02C9E" w14:textId="1B4C934A" w:rsidR="008F4494" w:rsidRDefault="006F34AB" w:rsidP="008F4494">
            <w:pPr>
              <w:jc w:val="center"/>
              <w:rPr>
                <w:rFonts w:ascii="游明朝" w:eastAsia="游明朝" w:hAnsi="游明朝" w:cs="Times New Roman" w:hint="eastAsia"/>
              </w:rPr>
            </w:pPr>
            <w:r>
              <w:rPr>
                <w:rFonts w:ascii="游明朝" w:eastAsia="游明朝" w:hAnsi="游明朝" w:cs="Times New Roman" w:hint="eastAsia"/>
              </w:rPr>
              <w:t>(</w:t>
            </w:r>
            <w:r>
              <w:rPr>
                <w:rFonts w:ascii="游明朝" w:eastAsia="游明朝" w:hAnsi="游明朝" w:cs="Times New Roman"/>
              </w:rPr>
              <w:t>2.1</w:t>
            </w:r>
            <w:r w:rsidR="00152083">
              <w:rPr>
                <w:rFonts w:ascii="游明朝" w:eastAsia="游明朝" w:hAnsi="游明朝" w:cs="Times New Roman"/>
              </w:rPr>
              <w:t>2</w:t>
            </w:r>
            <w:r>
              <w:rPr>
                <w:rFonts w:ascii="游明朝" w:eastAsia="游明朝" w:hAnsi="游明朝" w:cs="Times New Roman"/>
              </w:rPr>
              <w:t>)</w:t>
            </w:r>
          </w:p>
          <w:p w14:paraId="00B1849E" w14:textId="353944C4" w:rsidR="008F4494" w:rsidRDefault="008F4494" w:rsidP="008F4494">
            <w:pPr>
              <w:jc w:val="center"/>
              <w:rPr>
                <w:rFonts w:ascii="游明朝" w:eastAsia="游明朝" w:hAnsi="游明朝" w:cs="Times New Roman"/>
              </w:rPr>
            </w:pPr>
          </w:p>
          <w:p w14:paraId="686C3C27" w14:textId="77777777" w:rsidR="008F4494" w:rsidRDefault="008F4494" w:rsidP="008F4494">
            <w:pPr>
              <w:rPr>
                <w:rFonts w:hint="eastAsia"/>
              </w:rPr>
            </w:pPr>
          </w:p>
          <w:p w14:paraId="71F9DD91" w14:textId="71872390" w:rsidR="00152083" w:rsidRDefault="00152083" w:rsidP="008F4494">
            <w:pPr>
              <w:jc w:val="center"/>
              <w:rPr>
                <w:rFonts w:hint="eastAsia"/>
              </w:rPr>
            </w:pPr>
            <w:r>
              <w:rPr>
                <w:rFonts w:hint="eastAsia"/>
              </w:rPr>
              <w:t>(</w:t>
            </w:r>
            <w:r>
              <w:t>2.13)</w:t>
            </w:r>
          </w:p>
        </w:tc>
      </w:tr>
    </w:tbl>
    <w:p w14:paraId="191013F7" w14:textId="6E34DA53" w:rsidR="004159A3" w:rsidRDefault="004159A3" w:rsidP="00193B32"/>
    <w:p w14:paraId="532CB215" w14:textId="5BFB482F" w:rsidR="00A67D02" w:rsidRDefault="005B73DA" w:rsidP="00415BFD">
      <w:pPr>
        <w:jc w:val="left"/>
      </w:pPr>
      <w:r>
        <w:t>Shape(1992)</w:t>
      </w:r>
      <w:r>
        <w:rPr>
          <w:rFonts w:hint="eastAsia"/>
        </w:rPr>
        <w:t>の提案した方法は，</w:t>
      </w:r>
      <w:r w:rsidR="00332FA1">
        <w:rPr>
          <w:rFonts w:hint="eastAsia"/>
        </w:rPr>
        <w:t>分析対象ファンドは各市場ごとのインデックスファンドを適当に</w:t>
      </w:r>
      <w:r w:rsidR="00223BA9">
        <w:rPr>
          <w:rFonts w:hint="eastAsia"/>
        </w:rPr>
        <w:t>組み合わせたものとみなした</w:t>
      </w:r>
      <w:r w:rsidR="005448CC">
        <w:rPr>
          <w:rFonts w:hint="eastAsia"/>
        </w:rPr>
        <w:t>上</w:t>
      </w:r>
      <w:r w:rsidR="00223BA9">
        <w:rPr>
          <w:rFonts w:hint="eastAsia"/>
        </w:rPr>
        <w:t>で，</w:t>
      </w:r>
      <w:r w:rsidR="005448CC">
        <w:rPr>
          <w:rFonts w:hint="eastAsia"/>
        </w:rPr>
        <w:t>パフォーマンス評価期間</w:t>
      </w:r>
      <w:r w:rsidR="00DD68EA">
        <w:rPr>
          <w:rFonts w:hint="eastAsia"/>
        </w:rPr>
        <w:t>における平均的なインデックスウェイトは残渣リスクが最小となるように2次計画</w:t>
      </w:r>
      <w:r w:rsidR="009C73C5">
        <w:rPr>
          <w:rFonts w:hint="eastAsia"/>
        </w:rPr>
        <w:t>法で決定しようとするものである．</w:t>
      </w:r>
    </w:p>
    <w:p w14:paraId="520D2CAF" w14:textId="5C714E25" w:rsidR="009C73C5" w:rsidRPr="001B43D7" w:rsidRDefault="00575187" w:rsidP="00415BFD">
      <w:pPr>
        <w:jc w:val="left"/>
        <w:rPr>
          <w:rFonts w:hint="eastAsia"/>
        </w:rPr>
      </w:pPr>
      <w:r>
        <w:rPr>
          <w:rFonts w:hint="eastAsia"/>
        </w:rPr>
        <w:t>ファンドパフォーマンスの要因分解を</w:t>
      </w:r>
      <w:r w:rsidRPr="00906988">
        <w:rPr>
          <w:rFonts w:hint="eastAsia"/>
          <w:color w:val="FF0000"/>
        </w:rPr>
        <w:t>アトリビューション分析</w:t>
      </w:r>
      <w:r>
        <w:rPr>
          <w:rFonts w:hint="eastAsia"/>
        </w:rPr>
        <w:t>というが，</w:t>
      </w:r>
      <w:r w:rsidR="00906988">
        <w:rPr>
          <w:rFonts w:hint="eastAsia"/>
        </w:rPr>
        <w:t>これもその一種．</w:t>
      </w:r>
    </w:p>
    <w:sectPr w:rsidR="009C73C5" w:rsidRPr="001B43D7" w:rsidSect="008F449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6E9FA" w14:textId="77777777" w:rsidR="00A0709F" w:rsidRDefault="00A0709F" w:rsidP="00012FF3">
      <w:r>
        <w:separator/>
      </w:r>
    </w:p>
  </w:endnote>
  <w:endnote w:type="continuationSeparator" w:id="0">
    <w:p w14:paraId="205B6CB9" w14:textId="77777777" w:rsidR="00A0709F" w:rsidRDefault="00A0709F" w:rsidP="0001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4C2D5" w14:textId="77777777" w:rsidR="00A0709F" w:rsidRDefault="00A0709F" w:rsidP="00012FF3">
      <w:r>
        <w:separator/>
      </w:r>
    </w:p>
  </w:footnote>
  <w:footnote w:type="continuationSeparator" w:id="0">
    <w:p w14:paraId="09D5F8F2" w14:textId="77777777" w:rsidR="00A0709F" w:rsidRDefault="00A0709F" w:rsidP="00012FF3">
      <w:r>
        <w:continuationSeparator/>
      </w:r>
    </w:p>
  </w:footnote>
  <w:footnote w:id="1">
    <w:p w14:paraId="240092E1" w14:textId="66F2B101" w:rsidR="00012FF3" w:rsidRPr="00012FF3" w:rsidRDefault="00012FF3">
      <w:pPr>
        <w:pStyle w:val="a8"/>
        <w:rPr>
          <w:rFonts w:hint="eastAsia"/>
          <w:sz w:val="18"/>
          <w:szCs w:val="18"/>
        </w:rPr>
      </w:pPr>
      <w:r>
        <w:rPr>
          <w:rStyle w:val="aa"/>
        </w:rPr>
        <w:footnoteRef/>
      </w:r>
      <w:r>
        <w:t xml:space="preserve"> </w:t>
      </w:r>
      <w:r>
        <w:rPr>
          <w:rFonts w:ascii="Arial" w:hAnsi="Arial" w:cs="Arial"/>
          <w:color w:val="202124"/>
          <w:shd w:val="clear" w:color="auto" w:fill="FFFFFF"/>
        </w:rPr>
        <w:t>主にアクティブ・ファンドの運用成績を測る場合に用いられ、数値が大きいほど良く、一般的にこの値が</w:t>
      </w:r>
      <w:r>
        <w:rPr>
          <w:rFonts w:ascii="Arial" w:hAnsi="Arial" w:cs="Arial"/>
          <w:color w:val="202124"/>
          <w:shd w:val="clear" w:color="auto" w:fill="FFFFFF"/>
        </w:rPr>
        <w:t>0.5</w:t>
      </w:r>
      <w:r>
        <w:rPr>
          <w:rFonts w:ascii="Arial" w:hAnsi="Arial" w:cs="Arial"/>
          <w:color w:val="202124"/>
          <w:shd w:val="clear" w:color="auto" w:fill="FFFFFF"/>
        </w:rPr>
        <w:t>以上であれば優良と評価され</w:t>
      </w:r>
      <w:r>
        <w:rPr>
          <w:rFonts w:ascii="Arial" w:hAnsi="Arial" w:cs="Arial" w:hint="eastAsia"/>
          <w:color w:val="202124"/>
          <w:shd w:val="clear" w:color="auto" w:fill="FFFFFF"/>
        </w:rPr>
        <w:t>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337F"/>
    <w:multiLevelType w:val="hybridMultilevel"/>
    <w:tmpl w:val="8C4CA89E"/>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26676F98"/>
    <w:multiLevelType w:val="hybridMultilevel"/>
    <w:tmpl w:val="E454F572"/>
    <w:lvl w:ilvl="0" w:tplc="C554DA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B4D3E44"/>
    <w:multiLevelType w:val="hybridMultilevel"/>
    <w:tmpl w:val="B176AEE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F97230F"/>
    <w:multiLevelType w:val="hybridMultilevel"/>
    <w:tmpl w:val="BFA00D80"/>
    <w:lvl w:ilvl="0" w:tplc="C554DAEE">
      <w:start w:val="1"/>
      <w:numFmt w:val="bullet"/>
      <w:lvlText w:val=""/>
      <w:lvlJc w:val="left"/>
      <w:pPr>
        <w:ind w:left="420" w:hanging="420"/>
      </w:pPr>
      <w:rPr>
        <w:rFonts w:ascii="Wingdings" w:hAnsi="Wingdings" w:hint="default"/>
      </w:rPr>
    </w:lvl>
    <w:lvl w:ilvl="1" w:tplc="C554DAEE">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E2B677C"/>
    <w:multiLevelType w:val="hybridMultilevel"/>
    <w:tmpl w:val="8E503A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B4034EF"/>
    <w:multiLevelType w:val="hybridMultilevel"/>
    <w:tmpl w:val="0798AE82"/>
    <w:lvl w:ilvl="0" w:tplc="C554DAE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1D"/>
    <w:rsid w:val="00012FF3"/>
    <w:rsid w:val="0004075B"/>
    <w:rsid w:val="000844AE"/>
    <w:rsid w:val="000C37B2"/>
    <w:rsid w:val="000C41D1"/>
    <w:rsid w:val="000F5DE6"/>
    <w:rsid w:val="00127BA8"/>
    <w:rsid w:val="00130312"/>
    <w:rsid w:val="001379FB"/>
    <w:rsid w:val="00152083"/>
    <w:rsid w:val="00153E01"/>
    <w:rsid w:val="00156895"/>
    <w:rsid w:val="00164EA0"/>
    <w:rsid w:val="00193B32"/>
    <w:rsid w:val="001B43D7"/>
    <w:rsid w:val="001D2C8D"/>
    <w:rsid w:val="001E7835"/>
    <w:rsid w:val="002041E5"/>
    <w:rsid w:val="00223914"/>
    <w:rsid w:val="00223BA9"/>
    <w:rsid w:val="002557D0"/>
    <w:rsid w:val="00277856"/>
    <w:rsid w:val="002D6C7E"/>
    <w:rsid w:val="002F4C3F"/>
    <w:rsid w:val="00332FA1"/>
    <w:rsid w:val="0037270D"/>
    <w:rsid w:val="00373E1D"/>
    <w:rsid w:val="003B141C"/>
    <w:rsid w:val="004159A3"/>
    <w:rsid w:val="00415BFD"/>
    <w:rsid w:val="00423F9D"/>
    <w:rsid w:val="004A05BA"/>
    <w:rsid w:val="004C67FB"/>
    <w:rsid w:val="004E39B3"/>
    <w:rsid w:val="004F48CB"/>
    <w:rsid w:val="00534609"/>
    <w:rsid w:val="005448CC"/>
    <w:rsid w:val="00570922"/>
    <w:rsid w:val="005717BA"/>
    <w:rsid w:val="00575187"/>
    <w:rsid w:val="005805A0"/>
    <w:rsid w:val="00582D49"/>
    <w:rsid w:val="0058341A"/>
    <w:rsid w:val="005B73DA"/>
    <w:rsid w:val="00634EF3"/>
    <w:rsid w:val="006762E7"/>
    <w:rsid w:val="006A01C0"/>
    <w:rsid w:val="006D439B"/>
    <w:rsid w:val="006F34AB"/>
    <w:rsid w:val="00714C21"/>
    <w:rsid w:val="007305ED"/>
    <w:rsid w:val="00773BCC"/>
    <w:rsid w:val="007A757B"/>
    <w:rsid w:val="007B12DD"/>
    <w:rsid w:val="007B7106"/>
    <w:rsid w:val="007E2C7A"/>
    <w:rsid w:val="007E3D52"/>
    <w:rsid w:val="007F6093"/>
    <w:rsid w:val="00804F4C"/>
    <w:rsid w:val="00870B53"/>
    <w:rsid w:val="00886257"/>
    <w:rsid w:val="008D7BDE"/>
    <w:rsid w:val="008F4494"/>
    <w:rsid w:val="00906988"/>
    <w:rsid w:val="00931A5F"/>
    <w:rsid w:val="00944E75"/>
    <w:rsid w:val="009C1BD1"/>
    <w:rsid w:val="009C73C5"/>
    <w:rsid w:val="009D336D"/>
    <w:rsid w:val="009D74FE"/>
    <w:rsid w:val="00A0709F"/>
    <w:rsid w:val="00A30836"/>
    <w:rsid w:val="00A659A4"/>
    <w:rsid w:val="00A67D02"/>
    <w:rsid w:val="00A71C0E"/>
    <w:rsid w:val="00AA3B57"/>
    <w:rsid w:val="00AD4D9C"/>
    <w:rsid w:val="00AE21C0"/>
    <w:rsid w:val="00B87C24"/>
    <w:rsid w:val="00BC487C"/>
    <w:rsid w:val="00C62914"/>
    <w:rsid w:val="00CB0322"/>
    <w:rsid w:val="00D0207F"/>
    <w:rsid w:val="00DA4129"/>
    <w:rsid w:val="00DB6474"/>
    <w:rsid w:val="00DD3875"/>
    <w:rsid w:val="00DD68EA"/>
    <w:rsid w:val="00DE2483"/>
    <w:rsid w:val="00DE51CB"/>
    <w:rsid w:val="00E11D5C"/>
    <w:rsid w:val="00E71B7A"/>
    <w:rsid w:val="00E8459C"/>
    <w:rsid w:val="00EA4699"/>
    <w:rsid w:val="00EB7069"/>
    <w:rsid w:val="00F26838"/>
    <w:rsid w:val="00F536A1"/>
    <w:rsid w:val="00FE4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64A5B3"/>
  <w15:chartTrackingRefBased/>
  <w15:docId w15:val="{CF02F98F-BDE3-4E0D-A13E-A80B489B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D49"/>
    <w:pPr>
      <w:widowControl w:val="0"/>
      <w:jc w:val="both"/>
    </w:pPr>
  </w:style>
  <w:style w:type="paragraph" w:styleId="1">
    <w:name w:val="heading 1"/>
    <w:basedOn w:val="a"/>
    <w:next w:val="a"/>
    <w:link w:val="10"/>
    <w:uiPriority w:val="9"/>
    <w:qFormat/>
    <w:rsid w:val="00373E1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73E1D"/>
    <w:rPr>
      <w:rFonts w:asciiTheme="majorHAnsi" w:eastAsiaTheme="majorEastAsia" w:hAnsiTheme="majorHAnsi" w:cstheme="majorBidi"/>
      <w:sz w:val="24"/>
      <w:szCs w:val="24"/>
    </w:rPr>
  </w:style>
  <w:style w:type="paragraph" w:styleId="a3">
    <w:name w:val="Title"/>
    <w:basedOn w:val="a"/>
    <w:next w:val="a"/>
    <w:link w:val="a4"/>
    <w:uiPriority w:val="10"/>
    <w:qFormat/>
    <w:rsid w:val="00373E1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73E1D"/>
    <w:rPr>
      <w:rFonts w:asciiTheme="majorHAnsi" w:eastAsiaTheme="majorEastAsia" w:hAnsiTheme="majorHAnsi" w:cstheme="majorBidi"/>
      <w:sz w:val="32"/>
      <w:szCs w:val="32"/>
    </w:rPr>
  </w:style>
  <w:style w:type="paragraph" w:styleId="a5">
    <w:name w:val="List Paragraph"/>
    <w:basedOn w:val="a"/>
    <w:uiPriority w:val="34"/>
    <w:qFormat/>
    <w:rsid w:val="00373E1D"/>
    <w:pPr>
      <w:ind w:leftChars="400" w:left="840"/>
    </w:pPr>
  </w:style>
  <w:style w:type="table" w:styleId="a6">
    <w:name w:val="Table Grid"/>
    <w:basedOn w:val="a1"/>
    <w:uiPriority w:val="39"/>
    <w:rsid w:val="00040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164EA0"/>
    <w:rPr>
      <w:color w:val="808080"/>
    </w:rPr>
  </w:style>
  <w:style w:type="paragraph" w:styleId="a8">
    <w:name w:val="footnote text"/>
    <w:basedOn w:val="a"/>
    <w:link w:val="a9"/>
    <w:uiPriority w:val="99"/>
    <w:semiHidden/>
    <w:unhideWhenUsed/>
    <w:rsid w:val="00012FF3"/>
    <w:pPr>
      <w:snapToGrid w:val="0"/>
      <w:jc w:val="left"/>
    </w:pPr>
  </w:style>
  <w:style w:type="character" w:customStyle="1" w:styleId="a9">
    <w:name w:val="脚注文字列 (文字)"/>
    <w:basedOn w:val="a0"/>
    <w:link w:val="a8"/>
    <w:uiPriority w:val="99"/>
    <w:semiHidden/>
    <w:rsid w:val="00012FF3"/>
  </w:style>
  <w:style w:type="character" w:styleId="aa">
    <w:name w:val="footnote reference"/>
    <w:basedOn w:val="a0"/>
    <w:uiPriority w:val="99"/>
    <w:semiHidden/>
    <w:unhideWhenUsed/>
    <w:rsid w:val="00012F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87EA2-016F-44E3-BCD5-1036B547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2</Pages>
  <Words>238</Words>
  <Characters>1360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82</cp:revision>
  <dcterms:created xsi:type="dcterms:W3CDTF">2020-11-21T01:03:00Z</dcterms:created>
  <dcterms:modified xsi:type="dcterms:W3CDTF">2020-12-01T07:32:00Z</dcterms:modified>
</cp:coreProperties>
</file>